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E11EF">
      <w:pPr>
        <w:spacing w:before="0" w:after="120" w:line="276" w:lineRule="auto"/>
        <w:jc w:val="both"/>
      </w:pPr>
      <w:r>
        <w:rPr>
          <w:rFonts w:ascii="Times New Roman" w:hAnsi="Times New Roman" w:eastAsia="Times New Roman" w:cs="Times New Roman"/>
          <w:b/>
          <w:i w:val="0"/>
          <w:color w:val="000000"/>
          <w:sz w:val="22"/>
        </w:rPr>
        <w:t>Supplementary Materials</w:t>
      </w:r>
    </w:p>
    <w:p w14:paraId="21FCB6E7">
      <w:pPr>
        <w:spacing w:before="0" w:after="120" w:line="276" w:lineRule="auto"/>
        <w:jc w:val="both"/>
      </w:pPr>
      <w:r>
        <w:rPr>
          <w:rFonts w:ascii="Times New Roman" w:hAnsi="Times New Roman" w:eastAsia="Times New Roman" w:cs="Times New Roman"/>
          <w:b/>
          <w:i w:val="0"/>
          <w:color w:val="000000"/>
          <w:sz w:val="22"/>
        </w:rPr>
        <w:t>Damage-Aware Diffusion Restoration of Intangible Heritage Brocade Images with Pattern-Consistency Loss an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i w:val="0"/>
          <w:color w:val="000000"/>
          <w:sz w:val="22"/>
        </w:rPr>
        <w:t>d Interpretable Cultural Feature Mapping</w:t>
      </w:r>
    </w:p>
    <w:p w14:paraId="57521B63">
      <w:pPr>
        <w:spacing w:before="0" w:after="120" w:line="276" w:lineRule="auto"/>
        <w:jc w:val="both"/>
      </w:pPr>
      <w:r>
        <w:rPr>
          <w:rFonts w:ascii="Times New Roman" w:hAnsi="Times New Roman" w:eastAsia="Times New Roman" w:cs="Times New Roman"/>
          <w:b/>
          <w:i w:val="0"/>
          <w:color w:val="000000"/>
          <w:sz w:val="22"/>
        </w:rPr>
        <w:t xml:space="preserve">Purpose.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2"/>
        </w:rPr>
        <w:t>These supplementary materials provide submission-ready reproducibility documentation for the manuscript. They document corpus construction, source-permission governance, original-image-level data partitioning, controlled damage-mask generation, model and environment reporting, baseline fairness, expert evaluation, viewer-experiment procedures, feature-mapping diagnostics, and copyright safeguards. The materials avoid redistributing copyright-restricted textile images and instead provide metadata, protocols, aggregate evidence, and audit-ready documentation consistent with the manuscript.</w:t>
      </w:r>
    </w:p>
    <w:p w14:paraId="37B0285D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S1. Empirical-data integration summary</w:t>
      </w:r>
    </w:p>
    <w:p w14:paraId="260E2634">
      <w:pPr>
        <w:spacing w:before="0" w:after="120" w:line="276" w:lineRule="auto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>Table S1 summarizes the empirical information integrated into the manuscript and clarifies how each component supports the reported analysis.</w:t>
      </w:r>
    </w:p>
    <w:p w14:paraId="63450577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S1 | Empirical-data integration summary.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8"/>
        <w:gridCol w:w="3059"/>
        <w:gridCol w:w="3196"/>
      </w:tblGrid>
      <w:tr w14:paraId="25889019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5CD7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Component</w:t>
            </w:r>
          </w:p>
        </w:tc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F01C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Integrated value</w:t>
            </w:r>
          </w:p>
        </w:tc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5A67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Manuscript/supplementary treatment</w:t>
            </w:r>
          </w:p>
        </w:tc>
      </w:tr>
      <w:tr w14:paraId="2972C49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0AD2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Image corpus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096E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2,784 verified original textile images across eight categories; category counts retained in Table 1.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1A3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Used for corpus description, split design, metadata schema, and category-level reporting.</w:t>
            </w:r>
          </w:p>
        </w:tc>
      </w:tr>
      <w:tr w14:paraId="1F25762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5CA8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Data partitioning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1789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70/15/15 split: 1,949 training, 417 validation, 418 test images; original-image-ID-level partitioning.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8299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All derivatives from the same original image inherit the same split_id to prevent leakage.</w:t>
            </w:r>
          </w:p>
        </w:tc>
      </w:tr>
      <w:tr w14:paraId="67E02B9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92C6D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Mask and damage data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B32F8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3,200 controlled image-mask pairs; eight simulated degradation types; 124 real damage examples for expert validation only.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C304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Reported in Table 6 and documented through the damage-mask protocol.</w:t>
            </w:r>
          </w:p>
        </w:tc>
      </w:tr>
      <w:tr w14:paraId="391F8DF2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45A8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Model results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2A7D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Objective restoration results, ablations, expert scores, viewer balance, reliability, mediation, and robustness tables.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AEB4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Integrated in Results Tables 7-13.</w:t>
            </w:r>
          </w:p>
        </w:tc>
      </w:tr>
      <w:tr w14:paraId="68791EE9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0009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Expert evaluation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7494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Five blinded experts; 200 images rated by each expert; ICC(2,1)=0.83 for cultural plausibility.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304C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Used to validate cultural plausibility and failure-mode taxonomy.</w:t>
            </w:r>
          </w:p>
        </w:tc>
      </w:tr>
      <w:tr w14:paraId="2859B6F7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AF11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Viewer experiment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6AD2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N=512 after exclusions; four balanced conditions with 128 participants per condition.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1A1B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Used for randomized viewer experiment, reliability analysis, SEM, and multilevel mediation.</w:t>
            </w:r>
          </w:p>
        </w:tc>
      </w:tr>
      <w:tr w14:paraId="129A97E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0636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Feature mapping</w:t>
            </w:r>
          </w:p>
        </w:tc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19FC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Aggregate UMAP retention, CAM alignment, and failure-case taxonomy summarized in Figure 5.</w:t>
            </w:r>
          </w:p>
        </w:tc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CAA4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Reported as aggregate interpretability evidence to avoid redistributing restricted images.</w:t>
            </w:r>
          </w:p>
        </w:tc>
      </w:tr>
    </w:tbl>
    <w:p w14:paraId="52FF2320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The table summarizes empirical components integrated into the main manuscript.</w:t>
      </w:r>
    </w:p>
    <w:p w14:paraId="6588CD1A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S2. Reproducibility and data-governance documentation</w:t>
      </w:r>
    </w:p>
    <w:p w14:paraId="6A7B5BCA">
      <w:pPr>
        <w:spacing w:before="0" w:after="120" w:line="276" w:lineRule="auto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>The study separates auditability from unrestricted redistribution. Copyright-restricted source images are not redistributed. Reproducibility is supported by metadata structure, partition rules, mask-generation procedures, model settings, evaluation metrics, anonymized-rating structure, and aggregate feature-mapping evidence.</w:t>
      </w:r>
    </w:p>
    <w:p w14:paraId="1F9370A2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S2 | Reproducibility and data-governance documentation.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3104"/>
        <w:gridCol w:w="3091"/>
      </w:tblGrid>
      <w:tr w14:paraId="6736A7FD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10D4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Documentation component</w:t>
            </w:r>
          </w:p>
        </w:tc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965E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Content documented</w:t>
            </w:r>
          </w:p>
        </w:tc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0D7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Purpose</w:t>
            </w:r>
          </w:p>
        </w:tc>
      </w:tr>
      <w:tr w14:paraId="4EF679BF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AB3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README and workflow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F169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Package structure, software requirements, data restrictions, and replication sequence.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94E2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Allows editors and reviewers to understand the analysis pipeline.</w:t>
            </w:r>
          </w:p>
        </w:tc>
      </w:tr>
      <w:tr w14:paraId="47B4D9D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35F9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Corpus metadata schema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FA10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image_id, category, source institution, source URL, access date, image type, license/reuse statement, redistribution status, split_id, and duplicate-group information.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3C3F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source transparency and copyright governance.</w:t>
            </w:r>
          </w:p>
        </w:tc>
      </w:tr>
      <w:tr w14:paraId="2E36FE7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9305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Source-link audit protocol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F10A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Source categories, permission/reuse fields, access-date fields, and metadata-only redistribution policy.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0C10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Prevents unauthorized circulation of heritage images.</w:t>
            </w:r>
          </w:p>
        </w:tc>
      </w:tr>
      <w:tr w14:paraId="009F328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7C4A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Mask-generation protocol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7C4F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Mask proportions, random seed policy, degradation parameters, and original-image-level inheritance.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A5D5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reproducible controlled damage simulation.</w:t>
            </w:r>
          </w:p>
        </w:tc>
      </w:tr>
      <w:tr w14:paraId="2565D0B3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C7F4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Model and environment reporting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7BA9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Stable Diffusion inpainting v1.5, optimizer, learning rate, batch size, epochs, early stopping, hardware, guidance scale, seeds, and environment categories.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FDD9C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computational audit and replication where source-image access permits.</w:t>
            </w:r>
          </w:p>
        </w:tc>
      </w:tr>
      <w:tr w14:paraId="148840D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F04B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Analysis workflow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711BA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Objective metrics, expert-rating analysis, SEM, multilevel mediation, robustness checks, and cluster-robust inference.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2912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statistical reproducibility.</w:t>
            </w:r>
          </w:p>
        </w:tc>
      </w:tr>
      <w:tr w14:paraId="5BDE3D65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1D90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Ethics and survey documentation</w:t>
            </w:r>
          </w:p>
        </w:tc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D250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Consent procedure, screening rules, attention checks, compensation, anonymization, and synthetic-image labeling.</w:t>
            </w:r>
          </w:p>
        </w:tc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FFE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participant-protection review.</w:t>
            </w:r>
          </w:p>
        </w:tc>
      </w:tr>
    </w:tbl>
    <w:p w14:paraId="2EB87D84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Documentation supports auditability while avoiding unrestricted redistribution of source images.</w:t>
      </w:r>
    </w:p>
    <w:p w14:paraId="1AFE84DD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S3. Corpus metadata schema and source-link audit</w:t>
      </w:r>
    </w:p>
    <w:p w14:paraId="7C27B820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S3 | Corpus metadata schema and source-link audit.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7"/>
        <w:gridCol w:w="731"/>
        <w:gridCol w:w="1519"/>
        <w:gridCol w:w="1579"/>
        <w:gridCol w:w="739"/>
        <w:gridCol w:w="2318"/>
      </w:tblGrid>
      <w:tr w14:paraId="3DEACC16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8" w:type="dxa"/>
            <w:gridSpan w:val="2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E4E2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Field</w:t>
            </w:r>
          </w:p>
        </w:tc>
        <w:tc>
          <w:tcPr>
            <w:tcW w:w="3408" w:type="dxa"/>
            <w:gridSpan w:val="2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E16D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Definition</w:t>
            </w:r>
          </w:p>
        </w:tc>
        <w:tc>
          <w:tcPr>
            <w:tcW w:w="3408" w:type="dxa"/>
            <w:gridSpan w:val="2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AD1A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Required format/example</w:t>
            </w:r>
          </w:p>
        </w:tc>
      </w:tr>
      <w:tr w14:paraId="3F967CA3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7656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image_id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8C34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Unique anonymized ID for each original image.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3E59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ICH_000001</w:t>
            </w:r>
          </w:p>
        </w:tc>
      </w:tr>
      <w:tr w14:paraId="06FC522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C518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category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2E92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Textile heritage category.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C71A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Miao embroidery; Dong brocade; Zhuang brocade; Tujia brocade; Yi embroidery; Nanjing Yunjin; Shu brocade; Song brocade</w:t>
            </w:r>
          </w:p>
        </w:tc>
      </w:tr>
      <w:tr w14:paraId="290ACE9B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EF1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verified_original_n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486E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Original count by category before augmentation or masking.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65DA2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342, 338, 351, 326, 340, 365, 347, 375</w:t>
            </w:r>
          </w:p>
        </w:tc>
      </w:tr>
      <w:tr w14:paraId="5D1C3075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C1FF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source_institution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BB2C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Museum, ICH portal, cultural institution, archive, or educational source.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F7D7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Institution name or source category</w:t>
            </w:r>
          </w:p>
        </w:tc>
      </w:tr>
      <w:tr w14:paraId="67E2711F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4142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source_url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80DF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Stable URL where the source page can be accessed.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7988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URL or archived source-link record</w:t>
            </w:r>
          </w:p>
        </w:tc>
      </w:tr>
      <w:tr w14:paraId="2F1681A2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CBB7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access_date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E31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Date when the source page was checked.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D8FD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YYYY-MM-DD</w:t>
            </w:r>
          </w:p>
        </w:tc>
      </w:tr>
      <w:tr w14:paraId="27A7872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AB78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license_or_reuse_statement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070E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Visible license, terms of use, permission note, or restricted-access status.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82BD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CC BY; public domain; educational use; restricted; permission required</w:t>
            </w:r>
          </w:p>
        </w:tc>
      </w:tr>
      <w:tr w14:paraId="480561F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B7A58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redistribution_status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76C4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Whether original image can be redistributed.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539D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allowed / metadata-only / permission required</w:t>
            </w:r>
          </w:p>
        </w:tc>
      </w:tr>
      <w:tr w14:paraId="424EB3D9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8974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image_type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358A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Type of source visual record.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CA47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object photograph / archival photograph / digital reproduction</w:t>
            </w:r>
          </w:p>
        </w:tc>
      </w:tr>
      <w:tr w14:paraId="43CF0D5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C454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split_id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81D9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Data partition assigned before augmentation or mask generation.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1E89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train / validation / test</w:t>
            </w:r>
          </w:p>
        </w:tc>
      </w:tr>
      <w:tr w14:paraId="57BB89E6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E5E5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duplicate_group_id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CC6C1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Hash or perceptual-similarity duplicate group.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64E2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hash or pHash group</w:t>
            </w:r>
          </w:p>
        </w:tc>
      </w:tr>
      <w:tr w14:paraId="2ED724A7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3E77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Category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BE8C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Verified original N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7231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Source type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AE44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Redistribution rule</w:t>
            </w:r>
          </w:p>
        </w:tc>
      </w:tr>
      <w:tr w14:paraId="50EC8F4B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C52E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Miao embroidery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9C05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342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B0AC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Museum/ICH portal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C96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Metadata-only unless license explicitly permits image redistribution.</w:t>
            </w:r>
          </w:p>
        </w:tc>
      </w:tr>
      <w:tr w14:paraId="4552D3DB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2136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Dong brocade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1F30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338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5087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Museum/ICH portal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AFAC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Metadata-only unless license explicitly permits image redistribution.</w:t>
            </w:r>
          </w:p>
        </w:tc>
      </w:tr>
      <w:tr w14:paraId="23010B0C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0192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Zhuang brocade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7A2D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351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DFDB5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Museum/ICH portal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B141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Metadata-only unless license explicitly permits image redistribution.</w:t>
            </w:r>
          </w:p>
        </w:tc>
      </w:tr>
      <w:tr w14:paraId="3FDB2632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2218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Tujia brocade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D06E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326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E007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Museum/ICH portal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2CCB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Metadata-only unless license explicitly permits image redistribution.</w:t>
            </w:r>
          </w:p>
        </w:tc>
      </w:tr>
      <w:tr w14:paraId="55AEE379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3D8B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Yi embroidery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6533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340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1F8D5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Museum/ICH portal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B6D0A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Metadata-only unless license explicitly permits image redistribution.</w:t>
            </w:r>
          </w:p>
        </w:tc>
      </w:tr>
      <w:tr w14:paraId="4E1E1EBA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5567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Nanjing Yunjin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C2F28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365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C735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Museum/official archive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D889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Metadata-only unless license explicitly permits image redistribution.</w:t>
            </w:r>
          </w:p>
        </w:tc>
      </w:tr>
      <w:tr w14:paraId="34D528AD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443E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Shu brocade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5BC8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347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D781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Museum/official archive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8AE0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Metadata-only unless license explicitly permits image redistribution.</w:t>
            </w:r>
          </w:p>
        </w:tc>
      </w:tr>
      <w:tr w14:paraId="1118FF3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8E77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Song brocade</w:t>
            </w:r>
          </w:p>
        </w:tc>
        <w:tc>
          <w:tcPr>
            <w:tcW w:w="2556" w:type="dxa"/>
            <w:gridSpan w:val="2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CB23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375</w:t>
            </w:r>
          </w:p>
        </w:tc>
        <w:tc>
          <w:tcPr>
            <w:tcW w:w="2556" w:type="dxa"/>
            <w:gridSpan w:val="2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5B2C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Museum/official archive</w:t>
            </w:r>
          </w:p>
        </w:tc>
        <w:tc>
          <w:tcPr>
            <w:tcW w:w="2556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AB69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Metadata-only unless license explicitly permits image redistribution.</w:t>
            </w:r>
          </w:p>
        </w:tc>
      </w:tr>
    </w:tbl>
    <w:p w14:paraId="2D075A85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Metadata fields are maintained for each verified original image.</w:t>
      </w:r>
    </w:p>
    <w:p w14:paraId="6433BC2F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S4. Original-image-level split and damage-mask protocol</w:t>
      </w:r>
    </w:p>
    <w:p w14:paraId="5FF4F988">
      <w:pPr>
        <w:spacing w:before="0" w:after="120" w:line="276" w:lineRule="auto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>Partition rule. The split was performed before any augmentation or mask generation. Every mask variant, augmented sample, and restored output derived from the same original image inherited the same split_id. This rule prevents leakage between train, validation, and test partitions.</w:t>
      </w:r>
    </w:p>
    <w:p w14:paraId="33C74A99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S4 | Original-image-level split and damage-mask protocol.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6"/>
        <w:gridCol w:w="2287"/>
        <w:gridCol w:w="2302"/>
        <w:gridCol w:w="2338"/>
      </w:tblGrid>
      <w:tr w14:paraId="57AD85E5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</w:tblPrEx>
        <w:trPr>
          <w:cantSplit/>
          <w:tblHeader/>
          <w:jc w:val="center"/>
        </w:trPr>
        <w:tc>
          <w:tcPr>
            <w:tcW w:w="2556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657E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Mask/degradation type</w:t>
            </w:r>
          </w:p>
        </w:tc>
        <w:tc>
          <w:tcPr>
            <w:tcW w:w="2556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D023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Proportion</w:t>
            </w:r>
          </w:p>
        </w:tc>
        <w:tc>
          <w:tcPr>
            <w:tcW w:w="2556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8363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Purpose</w:t>
            </w:r>
          </w:p>
        </w:tc>
        <w:tc>
          <w:tcPr>
            <w:tcW w:w="2556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7109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Reproducibility requirement</w:t>
            </w:r>
          </w:p>
        </w:tc>
      </w:tr>
      <w:tr w14:paraId="6A56ECAA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9539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Random rectangular mask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5CF3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30%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E790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Tests basic missing-region completion.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F591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Store mask coordinates and seed.</w:t>
            </w:r>
          </w:p>
        </w:tc>
      </w:tr>
      <w:tr w14:paraId="4B8D88C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A62E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Irregular free-form mask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08C0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25%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920E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Tests realistic torn or missing regions.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7AD7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Store brush parameters and seed.</w:t>
            </w:r>
          </w:p>
        </w:tc>
      </w:tr>
      <w:tr w14:paraId="26143D1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FCCF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Stain-like mask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C52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15%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0F81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Simulates local staining or occlusion.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C48E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Store opacity, color, and seed.</w:t>
            </w:r>
          </w:p>
        </w:tc>
      </w:tr>
      <w:tr w14:paraId="3C4935BF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720C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Edge loss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2528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10%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1AD1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Tests incomplete borders.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0637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Store edge location and width.</w:t>
            </w:r>
          </w:p>
        </w:tc>
      </w:tr>
      <w:tr w14:paraId="266FBBA7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859C2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Motif-patch removal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1033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10%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D98A5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Tests culturally meaningful local pattern recovery.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190B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Store motif patch coordinates.</w:t>
            </w:r>
          </w:p>
        </w:tc>
      </w:tr>
      <w:tr w14:paraId="7025054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13AF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Color fading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40D4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5%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713B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Tests degradation of chromatic rhythm.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FC6F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Store fading intensity.</w:t>
            </w:r>
          </w:p>
        </w:tc>
      </w:tr>
      <w:tr w14:paraId="3437DC35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899F5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Blur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2161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3%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1B0B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Tests low-resolution or softness degradation.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1D28E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Store kernel size and sigma.</w:t>
            </w:r>
          </w:p>
        </w:tc>
      </w:tr>
      <w:tr w14:paraId="56B4A925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3542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Compression noise</w:t>
            </w:r>
          </w:p>
        </w:tc>
        <w:tc>
          <w:tcPr>
            <w:tcW w:w="2556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88FD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2%</w:t>
            </w:r>
          </w:p>
        </w:tc>
        <w:tc>
          <w:tcPr>
            <w:tcW w:w="2556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53FF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Tests archival or web compression.</w:t>
            </w:r>
          </w:p>
        </w:tc>
        <w:tc>
          <w:tcPr>
            <w:tcW w:w="2556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D57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Store JPEG quality level.</w:t>
            </w:r>
          </w:p>
        </w:tc>
      </w:tr>
    </w:tbl>
    <w:p w14:paraId="6FDF50CD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Mask variants inherit the split_id of the source image to prevent data leakage.</w:t>
      </w:r>
    </w:p>
    <w:p w14:paraId="5B81DE1C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S5. Model configuration and baseline audit</w:t>
      </w:r>
    </w:p>
    <w:p w14:paraId="6E6DFF30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S5 | Model configuration and baseline audit.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2"/>
        <w:gridCol w:w="741"/>
        <w:gridCol w:w="1560"/>
        <w:gridCol w:w="1584"/>
        <w:gridCol w:w="748"/>
        <w:gridCol w:w="2338"/>
      </w:tblGrid>
      <w:tr w14:paraId="5FC0DCCD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8" w:type="dxa"/>
            <w:gridSpan w:val="2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F200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Item</w:t>
            </w:r>
          </w:p>
        </w:tc>
        <w:tc>
          <w:tcPr>
            <w:tcW w:w="3408" w:type="dxa"/>
            <w:gridSpan w:val="2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11D0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Manuscript value</w:t>
            </w:r>
          </w:p>
        </w:tc>
        <w:tc>
          <w:tcPr>
            <w:tcW w:w="3408" w:type="dxa"/>
            <w:gridSpan w:val="2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3C63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Audit note</w:t>
            </w:r>
          </w:p>
        </w:tc>
      </w:tr>
      <w:tr w14:paraId="5C3C9DF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B5B3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Base model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04DA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Stable Diffusion inpainting v1.5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71E9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Used as the conditional latent diffusion backbone.</w:t>
            </w:r>
          </w:p>
        </w:tc>
      </w:tr>
      <w:tr w14:paraId="04F11D4D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EE2EB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Optimizer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DCC7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AdamW; learning rate = 1e-5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13FB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Consistent across PCDR-ITH runs.</w:t>
            </w:r>
          </w:p>
        </w:tc>
      </w:tr>
      <w:tr w14:paraId="7A1C55A7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71B4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Batch/epochs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AF3E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Batch size = 8; 200 epochs; early stopping patience = 15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A0EC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Training stopped according to validation performance.</w:t>
            </w:r>
          </w:p>
        </w:tc>
      </w:tr>
      <w:tr w14:paraId="60ABD9AA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6313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Hardware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5AC8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Single NVIDIA A100 80GB; training time approximately 72 hours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F044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Reported to contextualize computational cost.</w:t>
            </w:r>
          </w:p>
        </w:tc>
      </w:tr>
      <w:tr w14:paraId="14D0BBA3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54DC2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Guidance scale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7C5DF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7.5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2343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Used consistently across diffusion-restoration runs.</w:t>
            </w:r>
          </w:p>
        </w:tc>
      </w:tr>
      <w:tr w14:paraId="1EC760B9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359A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Random seeds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72C5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Mask seeds 1-1000; analysis seed = 42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8745E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Supports deterministic mask generation and analysis scripts.</w:t>
            </w:r>
          </w:p>
        </w:tc>
      </w:tr>
      <w:tr w14:paraId="559E691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861A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Environment categories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93DE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Python, PyTorch, CUDA, diffusers, transformers, R, lavaan, lme4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B95B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Exact versions should match the final analysis environment maintained by the authors.</w:t>
            </w:r>
          </w:p>
        </w:tc>
      </w:tr>
      <w:tr w14:paraId="78260FBC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673F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Checkpoint governance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91C5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Checkpoint hash or model-audit record retained by authors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451A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Checkpoint sharing is subject to base-model license and source-image restrictions.</w:t>
            </w:r>
          </w:p>
        </w:tc>
      </w:tr>
      <w:tr w14:paraId="258E109C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05BA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Condition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B8A7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Shared inputs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49671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Distinct manipulation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F148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Audit rationale</w:t>
            </w:r>
          </w:p>
        </w:tc>
      </w:tr>
      <w:tr w14:paraId="47CBB458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08E1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Damaged input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322F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Same original-image IDs and mask protocol.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D56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No restoration model.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8002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Baseline visual condition.</w:t>
            </w:r>
          </w:p>
        </w:tc>
      </w:tr>
      <w:tr w14:paraId="2215481B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4EBC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LaMa baseline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3362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Same resolution, mask protocol, and evaluation IDs.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38A1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Non-diffusion inpainting without heritage-specific loss.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5F3B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Strong non-diffusion comparison.</w:t>
            </w:r>
          </w:p>
        </w:tc>
      </w:tr>
      <w:tr w14:paraId="0BE24DCF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F18E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RePaint-style diffusion baseline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910DA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Same resolution, mask protocol, and evaluation IDs.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B35E5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Diffusion inpainting without pattern-consistency loss.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07E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Tests benefit beyond generic diffusion prior.</w:t>
            </w:r>
          </w:p>
        </w:tc>
      </w:tr>
      <w:tr w14:paraId="301AF496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174D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PCDR-ITH full model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6DA6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Same resolution, mask protocol, and evaluation IDs.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645A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Conditional latent diffusion with local, global, and attention losses.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CEF3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Main technical contribution.</w:t>
            </w:r>
          </w:p>
        </w:tc>
      </w:tr>
      <w:tr w14:paraId="1841F8BF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86CA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Ablation A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6FC0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Same as full model.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5D717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Remove local motif loss.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AF68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Tests local-motif component.</w:t>
            </w:r>
          </w:p>
        </w:tc>
      </w:tr>
      <w:tr w14:paraId="3D0C228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D7AD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Ablation B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BC13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Same as full model.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3EE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Remove global layout loss.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8F834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Tests layout component.</w:t>
            </w:r>
          </w:p>
        </w:tc>
      </w:tr>
      <w:tr w14:paraId="141C1448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36F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Ablation C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6214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Same as full model.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405C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Remove attention-alignment component.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D711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Tests interpretability component.</w:t>
            </w:r>
          </w:p>
        </w:tc>
      </w:tr>
      <w:tr w14:paraId="7EE7A50A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6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7720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Ablation D</w:t>
            </w:r>
          </w:p>
        </w:tc>
        <w:tc>
          <w:tcPr>
            <w:tcW w:w="2556" w:type="dxa"/>
            <w:gridSpan w:val="2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C180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Same as full model.</w:t>
            </w:r>
          </w:p>
        </w:tc>
        <w:tc>
          <w:tcPr>
            <w:tcW w:w="2556" w:type="dxa"/>
            <w:gridSpan w:val="2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9D4A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Remove mask conditioning.</w:t>
            </w:r>
          </w:p>
        </w:tc>
        <w:tc>
          <w:tcPr>
            <w:tcW w:w="2556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EAD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Tests damage-awareness component.</w:t>
            </w:r>
          </w:p>
        </w:tc>
      </w:tr>
    </w:tbl>
    <w:p w14:paraId="59681BAF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Model and baseline settings are reported to support computational audit.</w:t>
      </w:r>
    </w:p>
    <w:p w14:paraId="53D160E4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S6. Expert evaluation materials</w:t>
      </w:r>
    </w:p>
    <w:p w14:paraId="440F7007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S6 | Expert evaluation materials.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3"/>
        <w:gridCol w:w="1267"/>
        <w:gridCol w:w="607"/>
        <w:gridCol w:w="1869"/>
        <w:gridCol w:w="606"/>
        <w:gridCol w:w="1217"/>
        <w:gridCol w:w="1864"/>
      </w:tblGrid>
      <w:tr w14:paraId="0F57EAED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8" w:type="dxa"/>
            <w:gridSpan w:val="2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59403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Dimension</w:t>
            </w:r>
          </w:p>
        </w:tc>
        <w:tc>
          <w:tcPr>
            <w:tcW w:w="3408" w:type="dxa"/>
            <w:gridSpan w:val="3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99C7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Operational definition</w:t>
            </w:r>
          </w:p>
        </w:tc>
        <w:tc>
          <w:tcPr>
            <w:tcW w:w="3408" w:type="dxa"/>
            <w:gridSpan w:val="2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108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Scale anchors</w:t>
            </w:r>
          </w:p>
        </w:tc>
      </w:tr>
      <w:tr w14:paraId="10185E17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34CD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Motif fidelity</w:t>
            </w:r>
          </w:p>
        </w:tc>
        <w:tc>
          <w:tcPr>
            <w:tcW w:w="3408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2D5F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Restored motifs retain category-consistent symbolic forms and boundary continuity.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8627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1 = motif lost or replaced; 7 = motif structure retained.</w:t>
            </w:r>
          </w:p>
        </w:tc>
      </w:tr>
      <w:tr w14:paraId="5B19F329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52DF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Cultural plausibility</w:t>
            </w:r>
          </w:p>
        </w:tc>
        <w:tc>
          <w:tcPr>
            <w:tcW w:w="3408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8711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Restored pattern matches known textile grammar and avoids cross-tradition substitution.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F6B5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1 = culturally unsupported; 7 = highly plausible.</w:t>
            </w:r>
          </w:p>
        </w:tc>
      </w:tr>
      <w:tr w14:paraId="53B1AC6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6136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Naturalness</w:t>
            </w:r>
          </w:p>
        </w:tc>
        <w:tc>
          <w:tcPr>
            <w:tcW w:w="3408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3E76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Restored area is visually continuous with the surrounding image.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774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1 = visually discontinuous; 7 = visually seamless.</w:t>
            </w:r>
          </w:p>
        </w:tc>
      </w:tr>
      <w:tr w14:paraId="3283F4EE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DEC2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Hallucination risk</w:t>
            </w:r>
          </w:p>
        </w:tc>
        <w:tc>
          <w:tcPr>
            <w:tcW w:w="3408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A2C48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Likelihood that restoration introduced unsupported decorative or symbolic content.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528E7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1 = low risk; 7 = high risk.</w:t>
            </w:r>
          </w:p>
        </w:tc>
      </w:tr>
      <w:tr w14:paraId="651BBB88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48F9E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Exhibition usability</w:t>
            </w:r>
          </w:p>
        </w:tc>
        <w:tc>
          <w:tcPr>
            <w:tcW w:w="3408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5180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Suitability for annotated digital display with appropriate uncertainty labeling.</w:t>
            </w:r>
          </w:p>
        </w:tc>
        <w:tc>
          <w:tcPr>
            <w:tcW w:w="340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EA44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1 = not usable; 7 = usable with minimal concern.</w:t>
            </w:r>
          </w:p>
        </w:tc>
      </w:tr>
      <w:tr w14:paraId="04619CA5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D659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Expert ID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AC195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Background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9B98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Experience statement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DD7C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Images rated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3195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Blinding status</w:t>
            </w:r>
          </w:p>
        </w:tc>
      </w:tr>
      <w:tr w14:paraId="46F802A7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A16AC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E1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EB9E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ICH researcher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AAA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More than ten years of relevant research experience.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785E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200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EFA5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Blinded</w:t>
            </w:r>
          </w:p>
        </w:tc>
      </w:tr>
      <w:tr w14:paraId="7F49C2BB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A2E5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E2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B3C3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ICH researcher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DDA35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More than ten years of relevant research experience.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2F246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200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DE34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Blinded</w:t>
            </w:r>
          </w:p>
        </w:tc>
      </w:tr>
      <w:tr w14:paraId="28901FC8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57FF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E3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E6B5C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Textile museum curator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FB01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Professional curatorial experience in textile or heritage collections.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FE1A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200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3024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Blinded</w:t>
            </w:r>
          </w:p>
        </w:tc>
      </w:tr>
      <w:tr w14:paraId="4F1B6B7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8C22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E4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9F13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Design historian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0CC7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Academic expertise in design history and visual-cultural analysis.</w:t>
            </w:r>
          </w:p>
        </w:tc>
        <w:tc>
          <w:tcPr>
            <w:tcW w:w="204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96C9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200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71D9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Blinded</w:t>
            </w:r>
          </w:p>
        </w:tc>
      </w:tr>
      <w:tr w14:paraId="3AA9BBFF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45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2226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E5</w:t>
            </w:r>
          </w:p>
        </w:tc>
        <w:tc>
          <w:tcPr>
            <w:tcW w:w="2045" w:type="dxa"/>
            <w:gridSpan w:val="2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D094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Ethnic minority textile inheritor</w:t>
            </w:r>
          </w:p>
        </w:tc>
        <w:tc>
          <w:tcPr>
            <w:tcW w:w="2045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765A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Practice-based knowledge of minority textile traditions.</w:t>
            </w:r>
          </w:p>
        </w:tc>
        <w:tc>
          <w:tcPr>
            <w:tcW w:w="2045" w:type="dxa"/>
            <w:gridSpan w:val="2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D673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200</w:t>
            </w:r>
          </w:p>
        </w:tc>
        <w:tc>
          <w:tcPr>
            <w:tcW w:w="2045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E5A1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5"/>
              </w:rPr>
              <w:t>Blinded</w:t>
            </w:r>
          </w:p>
        </w:tc>
      </w:tr>
    </w:tbl>
    <w:p w14:paraId="75737973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Expert identities are anonymized and ratings are reported in aggregate form.</w:t>
      </w:r>
    </w:p>
    <w:p w14:paraId="169786D7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S7. Viewer experiment and ethics documentation</w:t>
      </w:r>
    </w:p>
    <w:p w14:paraId="55A60BFB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S7 | Viewer experiment and ethics documentation.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2"/>
        <w:gridCol w:w="3114"/>
        <w:gridCol w:w="3087"/>
      </w:tblGrid>
      <w:tr w14:paraId="06D06B26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522B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Documented component</w:t>
            </w:r>
          </w:p>
        </w:tc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0262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Manuscript value</w:t>
            </w:r>
          </w:p>
        </w:tc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BE0B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Audit purpose</w:t>
            </w:r>
          </w:p>
        </w:tc>
      </w:tr>
      <w:tr w14:paraId="6B82D89B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652B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Ethics approval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E0FD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IRB-2025-ICH-042; full institutional details handled through journal submission metadata or title-page documentation.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C908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Confirms ethics review while preserving double-anonymous review where applicable.</w:t>
            </w:r>
          </w:p>
        </w:tc>
      </w:tr>
      <w:tr w14:paraId="3BF9B93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26A3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Consent procedure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C592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Participants consented online before participation.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EB5E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Documents voluntary participation and anonymized data use.</w:t>
            </w:r>
          </w:p>
        </w:tc>
      </w:tr>
      <w:tr w14:paraId="6EAF4572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7FE8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Recruitment and screening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F14D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English-reading adult respondents recruited through Prolific; normal or corrected vision; no prior participation in similar studies.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5425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participant eligibility and interpretation of non-expert authenticity judgments.</w:t>
            </w:r>
          </w:p>
        </w:tc>
      </w:tr>
      <w:tr w14:paraId="7F46568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C5D2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Attention checks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BBF4D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48 low-attention/speeder cases excluded before final N = 512.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D3EC6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data-quality control.</w:t>
            </w:r>
          </w:p>
        </w:tc>
      </w:tr>
      <w:tr w14:paraId="2E3BE64C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C564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Compensation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A753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USD 12/hour; average payment USD 2.40; median completion time 12 minutes.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F422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Documents compensation consistency.</w:t>
            </w:r>
          </w:p>
        </w:tc>
      </w:tr>
      <w:tr w14:paraId="4A82625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61BB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Anonymized data structure</w:t>
            </w:r>
          </w:p>
        </w:tc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90CD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Condition assignment, image IDs, item responses, exclusion flags, and demographic covariates.</w:t>
            </w:r>
          </w:p>
        </w:tc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C6F4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SEM and robustness analyses while protecting participant identity.</w:t>
            </w:r>
          </w:p>
        </w:tc>
      </w:tr>
    </w:tbl>
    <w:p w14:paraId="4A472E4B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Viewer data and ethics documentation are reported using anonymized and aggregate information.</w:t>
      </w:r>
    </w:p>
    <w:p w14:paraId="5FB8397E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S8. Feature mapping and qualitative audit</w:t>
      </w:r>
    </w:p>
    <w:p w14:paraId="7CA6BAB4">
      <w:pPr>
        <w:spacing w:before="0" w:after="120" w:line="276" w:lineRule="auto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>Feature-mapping evidence is reported in aggregate form to support interpretability claims without reproducing copyright-restricted textile images. The audit focuses on category-retention behavior, CAM alignment, and expert-coded failure modes.</w:t>
      </w:r>
    </w:p>
    <w:p w14:paraId="1CFFF553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S8 | Feature mapping and qualitative audit.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1"/>
        <w:gridCol w:w="3084"/>
        <w:gridCol w:w="3098"/>
      </w:tblGrid>
      <w:tr w14:paraId="740C927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B2BC7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Supplementary evidence</w:t>
            </w:r>
          </w:p>
        </w:tc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E3BF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Content summarized</w:t>
            </w:r>
          </w:p>
        </w:tc>
        <w:tc>
          <w:tcPr>
            <w:tcW w:w="3408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BA8A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Use in manuscript</w:t>
            </w:r>
          </w:p>
        </w:tc>
      </w:tr>
      <w:tr w14:paraId="609A1AE9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CF33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UMAP retention audit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EF0E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PCDR-ITH retained restored samples within original category clusters for seven of eight categories.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73BB2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Section 5.4 and Figure 5 Panel A.</w:t>
            </w:r>
          </w:p>
        </w:tc>
      </w:tr>
      <w:tr w14:paraId="28D2C9EA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CCD7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Heritage-specific metric gains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BE05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PCDR-ITH improved local motif alignment, global layout preservation, and CAM alignment relative to the diffusion baseline.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3389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Figure 5 Panel B and H1.</w:t>
            </w:r>
          </w:p>
        </w:tc>
      </w:tr>
      <w:tr w14:paraId="0B92C4DD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75AB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CAM/attention audit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053EC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PCDR-ITH activated symbolic motifs more consistently than the diffusion baseline.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58A2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the cultural-feature interpretability argument.</w:t>
            </w:r>
          </w:p>
        </w:tc>
      </w:tr>
      <w:tr w14:paraId="6C975CBF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E5B0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Failure taxonomy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E302B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Expert-coded failures included motif substitution, symmetry breaking, over-smoothing, color-rhythm distortion, and invented decorative units.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48E6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Supports Section 5.10 and limitation discussion.</w:t>
            </w:r>
          </w:p>
        </w:tc>
      </w:tr>
      <w:tr w14:paraId="6034A50C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C2779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Failure mode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290C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Number of reviewed cases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A95E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Interpretive implication</w:t>
            </w:r>
          </w:p>
        </w:tc>
      </w:tr>
      <w:tr w14:paraId="228CAACC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3601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Motif substitution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0E30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6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26EA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Model replaces a culturally specific motif with a more generic decorative form.</w:t>
            </w:r>
          </w:p>
        </w:tc>
      </w:tr>
      <w:tr w14:paraId="269E250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9B0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Symmetry breaking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BB36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5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36CC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Local restoration appears plausible but disrupts global layout or reflection pattern.</w:t>
            </w:r>
          </w:p>
        </w:tc>
      </w:tr>
      <w:tr w14:paraId="3FA3C182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7E67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Over-smoothing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99803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5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AB71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Restored area becomes visually seamless but weakens textile texture or motif boundary.</w:t>
            </w:r>
          </w:p>
        </w:tc>
      </w:tr>
      <w:tr w14:paraId="0B817AF8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028A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Color-rhythm distortion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3A99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4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5DAA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Chromatic repetition or tonal rhythm deviates from surrounding textile structure.</w:t>
            </w:r>
          </w:p>
        </w:tc>
      </w:tr>
      <w:tr w14:paraId="79D3CCB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3E3C2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Invented decorative units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ED82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3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7E07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Generated content introduces unsupported symbolic or ornamental elements.</w:t>
            </w:r>
          </w:p>
        </w:tc>
      </w:tr>
      <w:tr w14:paraId="49A5E260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CF55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Total</w:t>
            </w:r>
          </w:p>
        </w:tc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5BCB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23</w:t>
            </w:r>
          </w:p>
        </w:tc>
        <w:tc>
          <w:tcPr>
            <w:tcW w:w="3408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C7C60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Failure cases justify expert review and synthetic-output labeling.</w:t>
            </w:r>
          </w:p>
        </w:tc>
      </w:tr>
    </w:tbl>
    <w:p w14:paraId="69E6D4EF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Feature-mapping evidence is reported in aggregate form with restricted image-level panels handled through source-governed documentation.</w:t>
      </w:r>
    </w:p>
    <w:p w14:paraId="22C39450">
      <w:pPr>
        <w:pStyle w:val="3"/>
        <w:keepNext/>
        <w:spacing w:before="280" w:after="80"/>
        <w:jc w:val="left"/>
      </w:pPr>
      <w:r>
        <w:rPr>
          <w:rFonts w:ascii="Times New Roman" w:hAnsi="Times New Roman" w:eastAsia="Times New Roman" w:cs="Times New Roman"/>
          <w:b/>
          <w:i w:val="0"/>
          <w:color w:val="000000"/>
          <w:sz w:val="28"/>
        </w:rPr>
        <w:t>S9. Copyright and responsible-use safeguards</w:t>
      </w:r>
    </w:p>
    <w:p w14:paraId="08CAF082">
      <w:pPr>
        <w:keepNext/>
        <w:spacing w:before="200" w:after="8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0"/>
        </w:rPr>
        <w:t>Table S9 | Copyright and responsible-use safeguards.</w:t>
      </w:r>
    </w:p>
    <w:tbl>
      <w:tblPr>
        <w:tblStyle w:val="32"/>
        <w:tblW w:w="5000" w:type="pct"/>
        <w:jc w:val="center"/>
        <w:tblBorders>
          <w:top w:val="single" w:color="B7B7B7" w:sz="6" w:space="0"/>
          <w:left w:val="single" w:color="B7B7B7" w:sz="6" w:space="0"/>
          <w:bottom w:val="single" w:color="B7B7B7" w:sz="6" w:space="0"/>
          <w:right w:val="single" w:color="B7B7B7" w:sz="6" w:space="0"/>
          <w:insideH w:val="single" w:color="B7B7B7" w:sz="6" w:space="0"/>
          <w:insideV w:val="single" w:color="B7B7B7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9"/>
      </w:tblGrid>
      <w:tr w14:paraId="63574473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</w:tblPrEx>
        <w:trPr>
          <w:cantSplit/>
          <w:tblHeader/>
          <w:jc w:val="center"/>
        </w:trPr>
        <w:tc>
          <w:tcPr>
            <w:tcW w:w="5112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AB1E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Safeguard</w:t>
            </w:r>
          </w:p>
        </w:tc>
        <w:tc>
          <w:tcPr>
            <w:tcW w:w="5112" w:type="dxa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7B23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6"/>
              </w:rPr>
              <w:t>Submission-ready statement</w:t>
            </w:r>
          </w:p>
        </w:tc>
      </w:tr>
      <w:tr w14:paraId="537573C9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B707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Source-image redistribution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468A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Original images are not redistributed unless explicit permission or license allows redistribution.</w:t>
            </w:r>
          </w:p>
        </w:tc>
      </w:tr>
      <w:tr w14:paraId="54D0CDB1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818A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Metadata-only strategy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30D9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Restricted images are represented through metadata, source-link categories, access-date fields, license/reuse statements, and redistribution status.</w:t>
            </w:r>
          </w:p>
        </w:tc>
      </w:tr>
      <w:tr w14:paraId="66CCBA7F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0D26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Synthetic-output labeling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013A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Restored outputs are treated as synthetic restoration outputs, not as original historical records.</w:t>
            </w:r>
          </w:p>
        </w:tc>
      </w:tr>
      <w:tr w14:paraId="77B31136">
        <w:tblPrEx>
          <w:tblBorders>
            <w:top w:val="single" w:color="B7B7B7" w:sz="6" w:space="0"/>
            <w:left w:val="single" w:color="B7B7B7" w:sz="6" w:space="0"/>
            <w:bottom w:val="single" w:color="B7B7B7" w:sz="6" w:space="0"/>
            <w:right w:val="single" w:color="B7B7B7" w:sz="6" w:space="0"/>
            <w:insideH w:val="single" w:color="B7B7B7" w:sz="6" w:space="0"/>
            <w:insideV w:val="single" w:color="B7B7B7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112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1244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Expert oversight</w:t>
            </w:r>
          </w:p>
        </w:tc>
        <w:tc>
          <w:tcPr>
            <w:tcW w:w="5112" w:type="dxa"/>
            <w:tcBorders>
              <w:left w:val="nil"/>
              <w:bottom w:val="single" w:color="000000" w:sz="10" w:space="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5B3D9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i w:val="0"/>
                <w:color w:val="000000"/>
                <w:sz w:val="16"/>
              </w:rPr>
              <w:t>Expert cultural-plausibility ratings and failure-mode coding are used to detect hallucinated or culturally unsupported details.</w:t>
            </w:r>
          </w:p>
        </w:tc>
      </w:tr>
    </w:tbl>
    <w:p w14:paraId="7AE34112">
      <w:pPr>
        <w:spacing w:before="40" w:after="1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18"/>
        </w:rPr>
        <w:t xml:space="preserve">Note. </w:t>
      </w:r>
      <w:r>
        <w:rPr>
          <w:rFonts w:ascii="Times New Roman" w:hAnsi="Times New Roman" w:eastAsia="Times New Roman"/>
          <w:b w:val="0"/>
          <w:i w:val="0"/>
          <w:color w:val="000000"/>
          <w:sz w:val="18"/>
        </w:rPr>
        <w:t>Copyright and responsible-use safeguards distinguish synthetic restoration outputs from original heritage records.</w:t>
      </w:r>
    </w:p>
    <w:p w14:paraId="3413295E">
      <w:pPr>
        <w:spacing w:after="0"/>
      </w:pPr>
    </w:p>
    <w:sectPr>
      <w:pgSz w:w="11909" w:h="16834"/>
      <w:pgMar w:top="1296" w:right="1368" w:bottom="1224" w:left="1368" w:header="504" w:footer="50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DF48CC"/>
    <w:rsid w:val="1CCB1867"/>
    <w:rsid w:val="23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2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  <w:rPr>
      <w:rFonts w:ascii="Times New Roman" w:hAnsi="Times New Roman" w:eastAsia="Times New Roman"/>
      <w:color w:val="000000"/>
      <w:sz w:val="22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538</Words>
  <Characters>4204</Characters>
  <Lines>0</Lines>
  <Paragraphs>0</Paragraphs>
  <TotalTime>0</TotalTime>
  <ScaleCrop>false</ScaleCrop>
  <LinksUpToDate>false</LinksUpToDate>
  <CharactersWithSpaces>4675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喵喵</dc:creator>
  <cp:lastModifiedBy>咔咔.</cp:lastModifiedBy>
  <dcterms:modified xsi:type="dcterms:W3CDTF">2026-06-09T09:38:54Z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FF73F7AD218846CD9820BA10B7065156_13</vt:lpwstr>
  </property>
</Properties>
</file>