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939641" w14:textId="77777777" w:rsidR="00E91A01" w:rsidRDefault="00000000">
      <w:pPr>
        <w:jc w:val="center"/>
        <w:rPr>
          <w:rFonts w:ascii="Times New Roman" w:hAnsi="Times New Roman" w:cs="Times New Roman"/>
          <w:b/>
          <w:bCs/>
          <w:color w:val="000000" w:themeColor="text1"/>
          <w:sz w:val="40"/>
          <w:szCs w:val="40"/>
        </w:rPr>
      </w:pPr>
      <w:r>
        <w:rPr>
          <w:rFonts w:ascii="Times New Roman" w:hAnsi="Times New Roman" w:cs="Times New Roman" w:hint="eastAsia"/>
          <w:b/>
          <w:bCs/>
          <w:color w:val="000000" w:themeColor="text1"/>
          <w:sz w:val="40"/>
          <w:szCs w:val="40"/>
        </w:rPr>
        <w:t>Supplementary information</w:t>
      </w:r>
    </w:p>
    <w:p w14:paraId="4BF809D7" w14:textId="77777777" w:rsidR="00E91A01" w:rsidRDefault="00E91A01">
      <w:pPr>
        <w:jc w:val="center"/>
        <w:rPr>
          <w:rFonts w:hint="eastAsia"/>
          <w:b/>
          <w:bCs/>
          <w:sz w:val="28"/>
          <w:szCs w:val="32"/>
        </w:rPr>
      </w:pPr>
    </w:p>
    <w:p w14:paraId="059E48DD" w14:textId="77777777" w:rsidR="00E91A01" w:rsidRDefault="00000000">
      <w:pPr>
        <w:spacing w:line="360" w:lineRule="auto"/>
        <w:jc w:val="center"/>
        <w:rPr>
          <w:rFonts w:ascii="Times New Roman" w:hAnsi="Times New Roman" w:cs="Times New Roman"/>
          <w:b/>
          <w:sz w:val="28"/>
          <w:szCs w:val="24"/>
        </w:rPr>
      </w:pPr>
      <w:r>
        <w:rPr>
          <w:rFonts w:ascii="Times New Roman" w:hAnsi="Times New Roman" w:cs="Times New Roman"/>
          <w:b/>
          <w:sz w:val="28"/>
          <w:szCs w:val="24"/>
        </w:rPr>
        <w:t>Room-temperature gas mixture identification with a single magnetic-field-assisted metal oxide sensor</w:t>
      </w:r>
    </w:p>
    <w:p w14:paraId="245DEBE7" w14:textId="77777777" w:rsidR="00E91A01" w:rsidRDefault="00E91A01">
      <w:pPr>
        <w:spacing w:line="360" w:lineRule="auto"/>
        <w:jc w:val="center"/>
        <w:rPr>
          <w:rFonts w:ascii="Times New Roman" w:hAnsi="Times New Roman" w:cs="Times New Roman"/>
          <w:b/>
          <w:sz w:val="24"/>
        </w:rPr>
      </w:pPr>
    </w:p>
    <w:p w14:paraId="422FB770" w14:textId="77777777" w:rsidR="00E91A01" w:rsidRDefault="00000000">
      <w:pPr>
        <w:widowControl/>
        <w:spacing w:line="360" w:lineRule="auto"/>
        <w:jc w:val="center"/>
        <w:rPr>
          <w:rFonts w:ascii="Times New Roman" w:hAnsi="Times New Roman" w:cs="Times New Roman"/>
          <w:sz w:val="24"/>
        </w:rPr>
      </w:pPr>
      <w:r>
        <w:rPr>
          <w:rFonts w:ascii="Times New Roman" w:hAnsi="Times New Roman" w:cs="Times New Roman" w:hint="eastAsia"/>
          <w:sz w:val="24"/>
        </w:rPr>
        <w:t>Yu Chen</w:t>
      </w:r>
      <w:r>
        <w:rPr>
          <w:rFonts w:ascii="Times New Roman" w:hAnsi="Times New Roman" w:cs="Times New Roman" w:hint="eastAsia"/>
          <w:sz w:val="24"/>
          <w:vertAlign w:val="superscript"/>
        </w:rPr>
        <w:t>1</w:t>
      </w:r>
      <w:r>
        <w:rPr>
          <w:rFonts w:ascii="Times New Roman" w:hAnsi="Times New Roman" w:cs="Times New Roman" w:hint="eastAsia"/>
          <w:sz w:val="24"/>
        </w:rPr>
        <w:t>, Haifeng Sun</w:t>
      </w:r>
      <w:r>
        <w:rPr>
          <w:rFonts w:ascii="Times New Roman" w:hAnsi="Times New Roman" w:cs="Times New Roman" w:hint="eastAsia"/>
          <w:sz w:val="24"/>
          <w:vertAlign w:val="superscript"/>
        </w:rPr>
        <w:t>1</w:t>
      </w:r>
      <w:r>
        <w:rPr>
          <w:rFonts w:ascii="Times New Roman" w:hAnsi="Times New Roman" w:cs="Times New Roman" w:hint="eastAsia"/>
          <w:sz w:val="24"/>
        </w:rPr>
        <w:t>, Lulu Du</w:t>
      </w:r>
      <w:r>
        <w:rPr>
          <w:rFonts w:ascii="Times New Roman" w:hAnsi="Times New Roman" w:cs="Times New Roman" w:hint="eastAsia"/>
          <w:sz w:val="24"/>
          <w:vertAlign w:val="superscript"/>
        </w:rPr>
        <w:t>1</w:t>
      </w:r>
      <w:r>
        <w:rPr>
          <w:rFonts w:ascii="Times New Roman" w:hAnsi="Times New Roman" w:cs="Times New Roman" w:hint="eastAsia"/>
          <w:sz w:val="24"/>
        </w:rPr>
        <w:t xml:space="preserve"> Kaifeng Xue</w:t>
      </w:r>
      <w:proofErr w:type="gramStart"/>
      <w:r>
        <w:rPr>
          <w:rFonts w:ascii="Times New Roman" w:hAnsi="Times New Roman" w:cs="Times New Roman" w:hint="eastAsia"/>
          <w:sz w:val="24"/>
          <w:vertAlign w:val="superscript"/>
        </w:rPr>
        <w:t>2,</w:t>
      </w:r>
      <w:r>
        <w:rPr>
          <w:rFonts w:ascii="Times New Roman" w:hAnsi="Times New Roman" w:cs="Times New Roman" w:hint="eastAsia"/>
          <w:sz w:val="24"/>
        </w:rPr>
        <w:t>*</w:t>
      </w:r>
      <w:proofErr w:type="gramEnd"/>
      <w:r>
        <w:rPr>
          <w:rFonts w:ascii="Times New Roman" w:hAnsi="Times New Roman" w:cs="Times New Roman" w:hint="eastAsia"/>
          <w:sz w:val="24"/>
        </w:rPr>
        <w:t xml:space="preserve">, </w:t>
      </w:r>
      <w:proofErr w:type="spellStart"/>
      <w:r>
        <w:rPr>
          <w:rFonts w:ascii="Times New Roman" w:hAnsi="Times New Roman" w:cs="Times New Roman" w:hint="eastAsia"/>
          <w:sz w:val="24"/>
        </w:rPr>
        <w:t>Pinhua</w:t>
      </w:r>
      <w:proofErr w:type="spellEnd"/>
      <w:r>
        <w:rPr>
          <w:rFonts w:ascii="Times New Roman" w:hAnsi="Times New Roman" w:cs="Times New Roman" w:hint="eastAsia"/>
          <w:sz w:val="24"/>
        </w:rPr>
        <w:t xml:space="preserve"> Zhang</w:t>
      </w:r>
      <w:proofErr w:type="gramStart"/>
      <w:r>
        <w:rPr>
          <w:rFonts w:ascii="Times New Roman" w:hAnsi="Times New Roman" w:cs="Times New Roman" w:hint="eastAsia"/>
          <w:sz w:val="24"/>
          <w:vertAlign w:val="superscript"/>
        </w:rPr>
        <w:t>1,</w:t>
      </w:r>
      <w:r>
        <w:rPr>
          <w:rFonts w:ascii="Times New Roman" w:hAnsi="Times New Roman" w:cs="Times New Roman" w:hint="eastAsia"/>
          <w:sz w:val="24"/>
        </w:rPr>
        <w:t>*</w:t>
      </w:r>
      <w:proofErr w:type="gramEnd"/>
      <w:r>
        <w:rPr>
          <w:rFonts w:ascii="Times New Roman" w:hAnsi="Times New Roman" w:cs="Times New Roman" w:hint="eastAsia"/>
          <w:sz w:val="24"/>
        </w:rPr>
        <w:t>, Lijuan Xue</w:t>
      </w:r>
      <w:proofErr w:type="gramStart"/>
      <w:r>
        <w:rPr>
          <w:rFonts w:ascii="Times New Roman" w:hAnsi="Times New Roman" w:cs="Times New Roman" w:hint="eastAsia"/>
          <w:sz w:val="24"/>
          <w:vertAlign w:val="superscript"/>
        </w:rPr>
        <w:t>1,</w:t>
      </w:r>
      <w:r>
        <w:rPr>
          <w:rFonts w:ascii="Times New Roman" w:hAnsi="Times New Roman" w:cs="Times New Roman" w:hint="eastAsia"/>
          <w:sz w:val="24"/>
        </w:rPr>
        <w:t>*</w:t>
      </w:r>
      <w:proofErr w:type="gramEnd"/>
      <w:r>
        <w:rPr>
          <w:rFonts w:ascii="Times New Roman" w:hAnsi="Times New Roman" w:cs="Times New Roman" w:hint="eastAsia"/>
          <w:sz w:val="24"/>
        </w:rPr>
        <w:t xml:space="preserve">, </w:t>
      </w:r>
      <w:proofErr w:type="spellStart"/>
      <w:r>
        <w:rPr>
          <w:rFonts w:ascii="Times New Roman" w:hAnsi="Times New Roman" w:cs="Times New Roman" w:hint="eastAsia"/>
          <w:sz w:val="24"/>
        </w:rPr>
        <w:t>Guangliang</w:t>
      </w:r>
      <w:proofErr w:type="spellEnd"/>
      <w:r>
        <w:rPr>
          <w:rFonts w:ascii="Times New Roman" w:hAnsi="Times New Roman" w:cs="Times New Roman" w:hint="eastAsia"/>
          <w:sz w:val="24"/>
        </w:rPr>
        <w:t xml:space="preserve"> Cui</w:t>
      </w:r>
      <w:proofErr w:type="gramStart"/>
      <w:r>
        <w:rPr>
          <w:rFonts w:ascii="Times New Roman" w:hAnsi="Times New Roman" w:cs="Times New Roman" w:hint="eastAsia"/>
          <w:sz w:val="24"/>
          <w:vertAlign w:val="superscript"/>
        </w:rPr>
        <w:t>1,</w:t>
      </w:r>
      <w:r>
        <w:rPr>
          <w:rFonts w:ascii="Times New Roman" w:hAnsi="Times New Roman" w:cs="Times New Roman" w:hint="eastAsia"/>
          <w:sz w:val="24"/>
        </w:rPr>
        <w:t>*</w:t>
      </w:r>
      <w:proofErr w:type="gramEnd"/>
    </w:p>
    <w:p w14:paraId="3B9D1835" w14:textId="77777777" w:rsidR="00E91A01" w:rsidRDefault="00000000">
      <w:pPr>
        <w:widowControl/>
        <w:spacing w:line="360" w:lineRule="auto"/>
        <w:rPr>
          <w:rFonts w:ascii="Times New Roman" w:hAnsi="Times New Roman" w:cs="Times New Roman"/>
          <w:sz w:val="24"/>
        </w:rPr>
      </w:pPr>
      <w:r>
        <w:rPr>
          <w:rFonts w:ascii="Times New Roman" w:hAnsi="Times New Roman" w:cs="Times New Roman" w:hint="eastAsia"/>
          <w:sz w:val="24"/>
          <w:vertAlign w:val="superscript"/>
        </w:rPr>
        <w:t xml:space="preserve">1 </w:t>
      </w:r>
      <w:r>
        <w:rPr>
          <w:rFonts w:ascii="Times New Roman" w:hAnsi="Times New Roman" w:cs="Times New Roman"/>
          <w:sz w:val="24"/>
        </w:rPr>
        <w:t>School of Physics and Electrical Engineering, Linyi University, Linyi, 276000, China.</w:t>
      </w:r>
    </w:p>
    <w:p w14:paraId="14B67EE6" w14:textId="77777777" w:rsidR="00E91A01" w:rsidRDefault="00000000">
      <w:pPr>
        <w:widowControl/>
        <w:spacing w:line="360" w:lineRule="auto"/>
        <w:rPr>
          <w:rFonts w:ascii="Times New Roman" w:hAnsi="Times New Roman" w:cs="Times New Roman"/>
          <w:sz w:val="24"/>
        </w:rPr>
      </w:pPr>
      <w:r>
        <w:rPr>
          <w:rFonts w:ascii="Times New Roman" w:hAnsi="Times New Roman" w:cs="Times New Roman" w:hint="eastAsia"/>
          <w:sz w:val="24"/>
          <w:vertAlign w:val="superscript"/>
        </w:rPr>
        <w:t>2</w:t>
      </w:r>
      <w:r>
        <w:rPr>
          <w:rFonts w:ascii="Times New Roman" w:hAnsi="Times New Roman" w:cs="Times New Roman" w:hint="eastAsia"/>
          <w:sz w:val="24"/>
        </w:rPr>
        <w:t xml:space="preserve"> </w:t>
      </w:r>
      <w:r>
        <w:rPr>
          <w:rFonts w:ascii="Times New Roman" w:hAnsi="Times New Roman" w:cs="Times New Roman"/>
          <w:sz w:val="24"/>
        </w:rPr>
        <w:t>School of Mechanical and Vehicle Engineering, Linyi University, Linyi, 276000, China.</w:t>
      </w:r>
    </w:p>
    <w:p w14:paraId="382F08A2" w14:textId="77777777" w:rsidR="00E91A01" w:rsidRDefault="00000000">
      <w:pPr>
        <w:widowControl/>
        <w:spacing w:line="360" w:lineRule="auto"/>
        <w:rPr>
          <w:rFonts w:ascii="Times New Roman" w:hAnsi="Times New Roman" w:cs="Times New Roman"/>
          <w:sz w:val="24"/>
        </w:rPr>
      </w:pPr>
      <w:r>
        <w:rPr>
          <w:rFonts w:ascii="Times New Roman" w:hAnsi="Times New Roman" w:cs="Times New Roman"/>
          <w:sz w:val="24"/>
        </w:rPr>
        <w:t>*Corresponding authors: xuekaifeng@lyu.edu.cn</w:t>
      </w:r>
      <w:r>
        <w:rPr>
          <w:rFonts w:ascii="Times New Roman" w:hAnsi="Times New Roman" w:cs="Times New Roman" w:hint="eastAsia"/>
          <w:sz w:val="24"/>
        </w:rPr>
        <w:t xml:space="preserve">; </w:t>
      </w:r>
      <w:r>
        <w:rPr>
          <w:rFonts w:ascii="Times New Roman" w:hAnsi="Times New Roman" w:cs="Times New Roman"/>
          <w:sz w:val="24"/>
        </w:rPr>
        <w:t>zhangpinhua@lyu.edu.cn; xuelijuan@lyu.edu.cn;</w:t>
      </w:r>
      <w:r>
        <w:rPr>
          <w:rFonts w:ascii="Times New Roman" w:hAnsi="Times New Roman" w:cs="Times New Roman" w:hint="eastAsia"/>
          <w:sz w:val="24"/>
        </w:rPr>
        <w:t xml:space="preserve"> </w:t>
      </w:r>
      <w:r>
        <w:rPr>
          <w:rStyle w:val="ad"/>
          <w:rFonts w:ascii="Times New Roman" w:hAnsi="Times New Roman" w:cs="Times New Roman"/>
          <w:color w:val="auto"/>
          <w:sz w:val="24"/>
        </w:rPr>
        <w:t>cuiguangliang@lyu.edu.cn</w:t>
      </w:r>
      <w:r>
        <w:rPr>
          <w:rFonts w:ascii="Times New Roman" w:hAnsi="Times New Roman" w:cs="Times New Roman"/>
          <w:sz w:val="24"/>
        </w:rPr>
        <w:t>;</w:t>
      </w:r>
    </w:p>
    <w:p w14:paraId="7F6B08D6" w14:textId="77777777" w:rsidR="00E91A01" w:rsidRDefault="00E91A01">
      <w:pPr>
        <w:widowControl/>
        <w:spacing w:line="360" w:lineRule="auto"/>
        <w:rPr>
          <w:rFonts w:ascii="Times New Roman" w:hAnsi="Times New Roman" w:cs="Times New Roman"/>
          <w:sz w:val="24"/>
        </w:rPr>
      </w:pPr>
    </w:p>
    <w:p w14:paraId="483EFFB7" w14:textId="77777777" w:rsidR="00E91A01" w:rsidRDefault="00000000">
      <w:pPr>
        <w:widowControl/>
        <w:spacing w:line="360" w:lineRule="auto"/>
        <w:rPr>
          <w:rFonts w:ascii="Times New Roman" w:hAnsi="Times New Roman" w:cs="Times New Roman"/>
          <w:sz w:val="24"/>
        </w:rPr>
      </w:pPr>
      <w:r>
        <w:rPr>
          <w:rFonts w:ascii="Times New Roman" w:hAnsi="Times New Roman" w:cs="Times New Roman"/>
          <w:sz w:val="24"/>
        </w:rPr>
        <w:t xml:space="preserve">Keywords: </w:t>
      </w:r>
      <w:proofErr w:type="spellStart"/>
      <w:r>
        <w:rPr>
          <w:rFonts w:ascii="Times New Roman" w:hAnsi="Times New Roman" w:cs="Times New Roman"/>
          <w:sz w:val="24"/>
        </w:rPr>
        <w:t>ZnO</w:t>
      </w:r>
      <w:proofErr w:type="spellEnd"/>
      <w:r>
        <w:rPr>
          <w:rFonts w:ascii="Times New Roman" w:hAnsi="Times New Roman" w:cs="Times New Roman" w:hint="eastAsia"/>
          <w:sz w:val="24"/>
        </w:rPr>
        <w:t xml:space="preserve">, </w:t>
      </w:r>
      <w:r>
        <w:rPr>
          <w:rFonts w:ascii="Times New Roman" w:hAnsi="Times New Roman" w:cs="Times New Roman"/>
          <w:sz w:val="24"/>
        </w:rPr>
        <w:t>Co</w:t>
      </w:r>
      <w:r>
        <w:rPr>
          <w:rFonts w:ascii="Times New Roman" w:hAnsi="Times New Roman" w:cs="Times New Roman"/>
          <w:sz w:val="24"/>
          <w:vertAlign w:val="subscript"/>
        </w:rPr>
        <w:t>3</w:t>
      </w:r>
      <w:r>
        <w:rPr>
          <w:rFonts w:ascii="Times New Roman" w:hAnsi="Times New Roman" w:cs="Times New Roman"/>
          <w:sz w:val="24"/>
        </w:rPr>
        <w:t>O</w:t>
      </w:r>
      <w:r>
        <w:rPr>
          <w:rFonts w:ascii="Times New Roman" w:hAnsi="Times New Roman" w:cs="Times New Roman"/>
          <w:sz w:val="24"/>
          <w:vertAlign w:val="subscript"/>
        </w:rPr>
        <w:t>4</w:t>
      </w:r>
      <w:r>
        <w:rPr>
          <w:rFonts w:ascii="Times New Roman" w:hAnsi="Times New Roman" w:cs="Times New Roman" w:hint="eastAsia"/>
          <w:sz w:val="24"/>
        </w:rPr>
        <w:t xml:space="preserve">, </w:t>
      </w:r>
      <w:r w:rsidR="00993B5E" w:rsidRPr="00993B5E">
        <w:rPr>
          <w:rFonts w:ascii="Times New Roman" w:hAnsi="Times New Roman" w:cs="Times New Roman" w:hint="eastAsia"/>
          <w:sz w:val="24"/>
        </w:rPr>
        <w:t>Gas Sensor</w:t>
      </w:r>
      <w:r>
        <w:rPr>
          <w:rFonts w:ascii="Times New Roman" w:hAnsi="Times New Roman" w:cs="Times New Roman" w:hint="eastAsia"/>
          <w:sz w:val="24"/>
        </w:rPr>
        <w:t>, Gas identification, Magnetic field, Heterostructure</w:t>
      </w:r>
    </w:p>
    <w:p w14:paraId="33E4E0A1" w14:textId="77777777" w:rsidR="00E91A01" w:rsidRDefault="00000000">
      <w:pPr>
        <w:widowControl/>
        <w:spacing w:after="120" w:line="278" w:lineRule="auto"/>
        <w:jc w:val="left"/>
        <w:rPr>
          <w:rFonts w:ascii="Times New Roman" w:hAnsi="Times New Roman" w:cs="Times New Roman"/>
          <w:sz w:val="24"/>
        </w:rPr>
      </w:pPr>
      <w:r>
        <w:rPr>
          <w:rFonts w:ascii="Times New Roman" w:hAnsi="Times New Roman" w:cs="Times New Roman"/>
          <w:sz w:val="24"/>
        </w:rPr>
        <w:br w:type="page"/>
      </w:r>
    </w:p>
    <w:p w14:paraId="6E8A4F76" w14:textId="77777777" w:rsidR="00E91A01" w:rsidRDefault="00000000">
      <w:pPr>
        <w:widowControl/>
        <w:spacing w:after="120" w:line="278" w:lineRule="auto"/>
        <w:jc w:val="center"/>
        <w:rPr>
          <w:rFonts w:ascii="Times New Roman" w:hAnsi="Times New Roman" w:cs="Times New Roman"/>
          <w:sz w:val="24"/>
        </w:rPr>
      </w:pPr>
      <w:r>
        <w:rPr>
          <w:noProof/>
        </w:rPr>
        <w:lastRenderedPageBreak/>
        <w:drawing>
          <wp:inline distT="0" distB="0" distL="0" distR="0" wp14:anchorId="02FD4F88" wp14:editId="4AE0CE8D">
            <wp:extent cx="3600450" cy="3359150"/>
            <wp:effectExtent l="0" t="0" r="0" b="0"/>
            <wp:docPr id="5967466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46696" name="图片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3600450" cy="3359150"/>
                    </a:xfrm>
                    <a:prstGeom prst="rect">
                      <a:avLst/>
                    </a:prstGeom>
                    <a:noFill/>
                    <a:ln>
                      <a:noFill/>
                    </a:ln>
                  </pic:spPr>
                </pic:pic>
              </a:graphicData>
            </a:graphic>
          </wp:inline>
        </w:drawing>
      </w:r>
    </w:p>
    <w:p w14:paraId="4B174CF0" w14:textId="77777777" w:rsidR="00E91A01" w:rsidRDefault="00000000">
      <w:pPr>
        <w:widowControl/>
        <w:spacing w:after="120" w:line="278" w:lineRule="auto"/>
        <w:jc w:val="center"/>
        <w:rPr>
          <w:rFonts w:ascii="Times New Roman" w:hAnsi="Times New Roman" w:cs="Times New Roman"/>
          <w:sz w:val="24"/>
        </w:rPr>
      </w:pPr>
      <w:r>
        <w:rPr>
          <w:rFonts w:ascii="Times New Roman" w:hAnsi="Times New Roman" w:cs="Times New Roman"/>
          <w:b/>
          <w:bCs/>
          <w:sz w:val="24"/>
        </w:rPr>
        <w:t>F</w:t>
      </w:r>
      <w:r>
        <w:rPr>
          <w:rFonts w:ascii="Times New Roman" w:hAnsi="Times New Roman" w:cs="Times New Roman" w:hint="eastAsia"/>
          <w:b/>
          <w:bCs/>
          <w:sz w:val="24"/>
        </w:rPr>
        <w:t>igure S1</w:t>
      </w:r>
      <w:r>
        <w:rPr>
          <w:rFonts w:ascii="Times New Roman" w:hAnsi="Times New Roman" w:cs="Times New Roman" w:hint="eastAsia"/>
          <w:sz w:val="24"/>
        </w:rPr>
        <w:t xml:space="preserve">. </w:t>
      </w:r>
      <w:r>
        <w:rPr>
          <w:rFonts w:ascii="Times New Roman" w:hAnsi="Times New Roman" w:cs="Times New Roman"/>
          <w:sz w:val="24"/>
        </w:rPr>
        <w:t xml:space="preserve">XPS survey spectra of the </w:t>
      </w:r>
      <w:proofErr w:type="spellStart"/>
      <w:r>
        <w:rPr>
          <w:rFonts w:ascii="Times New Roman" w:hAnsi="Times New Roman" w:cs="Times New Roman"/>
          <w:sz w:val="24"/>
        </w:rPr>
        <w:t>ZnO</w:t>
      </w:r>
      <w:proofErr w:type="spellEnd"/>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before and after exposure to H</w:t>
      </w:r>
      <w:r>
        <w:rPr>
          <w:rFonts w:ascii="Times New Roman" w:hAnsi="Times New Roman" w:cs="Times New Roman" w:hint="eastAsia"/>
          <w:sz w:val="24"/>
          <w:vertAlign w:val="subscript"/>
        </w:rPr>
        <w:t>2</w:t>
      </w:r>
      <w:r>
        <w:rPr>
          <w:rFonts w:ascii="Times New Roman" w:hAnsi="Times New Roman" w:cs="Times New Roman"/>
          <w:sz w:val="24"/>
        </w:rPr>
        <w:t>S and SO</w:t>
      </w:r>
      <w:r>
        <w:rPr>
          <w:rFonts w:ascii="Times New Roman" w:hAnsi="Times New Roman" w:cs="Times New Roman" w:hint="eastAsia"/>
          <w:sz w:val="24"/>
          <w:vertAlign w:val="subscript"/>
        </w:rPr>
        <w:t>2</w:t>
      </w:r>
      <w:r>
        <w:rPr>
          <w:rFonts w:ascii="Times New Roman" w:hAnsi="Times New Roman" w:cs="Times New Roman"/>
          <w:sz w:val="24"/>
        </w:rPr>
        <w:t xml:space="preserve"> gases.</w:t>
      </w:r>
    </w:p>
    <w:p w14:paraId="57EF82C1" w14:textId="77777777" w:rsidR="00E91A01" w:rsidRDefault="00993B5E">
      <w:pPr>
        <w:spacing w:after="120" w:line="360" w:lineRule="auto"/>
        <w:ind w:firstLineChars="100" w:firstLine="240"/>
        <w:rPr>
          <w:rFonts w:ascii="Times New Roman" w:hAnsi="Times New Roman" w:cs="Times New Roman"/>
          <w:sz w:val="24"/>
        </w:rPr>
      </w:pPr>
      <w:r>
        <w:rPr>
          <w:rFonts w:ascii="Times New Roman" w:hAnsi="Times New Roman" w:cs="Times New Roman"/>
          <w:b/>
          <w:bCs/>
          <w:sz w:val="24"/>
        </w:rPr>
        <w:t>Fig</w:t>
      </w:r>
      <w:r>
        <w:rPr>
          <w:rFonts w:ascii="Times New Roman" w:hAnsi="Times New Roman" w:cs="Times New Roman" w:hint="eastAsia"/>
          <w:b/>
          <w:bCs/>
          <w:sz w:val="24"/>
        </w:rPr>
        <w:t>.</w:t>
      </w:r>
      <w:r>
        <w:rPr>
          <w:rFonts w:ascii="Times New Roman" w:hAnsi="Times New Roman" w:cs="Times New Roman"/>
          <w:b/>
          <w:bCs/>
          <w:sz w:val="24"/>
        </w:rPr>
        <w:t xml:space="preserve"> S</w:t>
      </w:r>
      <w:r>
        <w:rPr>
          <w:rFonts w:ascii="Times New Roman" w:hAnsi="Times New Roman" w:cs="Times New Roman" w:hint="eastAsia"/>
          <w:b/>
          <w:bCs/>
          <w:sz w:val="24"/>
        </w:rPr>
        <w:t>1</w:t>
      </w:r>
      <w:r>
        <w:rPr>
          <w:rFonts w:ascii="Times New Roman" w:hAnsi="Times New Roman" w:cs="Times New Roman"/>
          <w:sz w:val="24"/>
        </w:rPr>
        <w:t xml:space="preserve"> shows the XPS survey spectra of the </w:t>
      </w:r>
      <w:proofErr w:type="spellStart"/>
      <w:r>
        <w:rPr>
          <w:rFonts w:ascii="Times New Roman" w:hAnsi="Times New Roman" w:cs="Times New Roman"/>
          <w:sz w:val="24"/>
        </w:rPr>
        <w:t>ZnO</w:t>
      </w:r>
      <w:proofErr w:type="spellEnd"/>
      <w:r>
        <w:rPr>
          <w:rFonts w:ascii="Times New Roman" w:hAnsi="Times New Roman" w:cs="Times New Roman"/>
          <w:sz w:val="24"/>
        </w:rPr>
        <w:t>/Co</w:t>
      </w:r>
      <w:r>
        <w:rPr>
          <w:rFonts w:ascii="Times New Roman" w:hAnsi="Times New Roman" w:cs="Times New Roman"/>
          <w:sz w:val="24"/>
          <w:vertAlign w:val="subscript"/>
        </w:rPr>
        <w:t>3</w:t>
      </w:r>
      <w:r>
        <w:rPr>
          <w:rFonts w:ascii="Times New Roman" w:hAnsi="Times New Roman" w:cs="Times New Roman"/>
          <w:sz w:val="24"/>
        </w:rPr>
        <w:t>O</w:t>
      </w:r>
      <w:r>
        <w:rPr>
          <w:rFonts w:ascii="Times New Roman" w:hAnsi="Times New Roman" w:cs="Times New Roman"/>
          <w:sz w:val="24"/>
          <w:vertAlign w:val="subscript"/>
        </w:rPr>
        <w:t>4</w:t>
      </w:r>
      <w:r>
        <w:rPr>
          <w:rFonts w:ascii="Times New Roman" w:hAnsi="Times New Roman" w:cs="Times New Roman"/>
          <w:sz w:val="24"/>
        </w:rPr>
        <w:t xml:space="preserve"> heterostructure before and after exposure to H</w:t>
      </w:r>
      <w:r>
        <w:rPr>
          <w:rFonts w:ascii="Times New Roman" w:hAnsi="Times New Roman" w:cs="Times New Roman"/>
          <w:sz w:val="24"/>
          <w:vertAlign w:val="subscript"/>
        </w:rPr>
        <w:t>2</w:t>
      </w:r>
      <w:r>
        <w:rPr>
          <w:rFonts w:ascii="Times New Roman" w:hAnsi="Times New Roman" w:cs="Times New Roman"/>
          <w:sz w:val="24"/>
        </w:rPr>
        <w:t>S and SO</w:t>
      </w:r>
      <w:r>
        <w:rPr>
          <w:rFonts w:ascii="Times New Roman" w:hAnsi="Times New Roman" w:cs="Times New Roman"/>
          <w:sz w:val="24"/>
          <w:vertAlign w:val="subscript"/>
        </w:rPr>
        <w:t>2</w:t>
      </w:r>
      <w:r>
        <w:rPr>
          <w:rFonts w:ascii="Times New Roman" w:hAnsi="Times New Roman" w:cs="Times New Roman"/>
          <w:sz w:val="24"/>
        </w:rPr>
        <w:t>. No discernible S 2p signal was detected for the pristine sample, whereas a distinct S 2p signal emerged after exposure to either H</w:t>
      </w:r>
      <w:r>
        <w:rPr>
          <w:rFonts w:ascii="Times New Roman" w:hAnsi="Times New Roman" w:cs="Times New Roman"/>
          <w:sz w:val="24"/>
          <w:vertAlign w:val="subscript"/>
        </w:rPr>
        <w:t>2</w:t>
      </w:r>
      <w:r>
        <w:rPr>
          <w:rFonts w:ascii="Times New Roman" w:hAnsi="Times New Roman" w:cs="Times New Roman"/>
          <w:sz w:val="24"/>
        </w:rPr>
        <w:t>S or SO</w:t>
      </w:r>
      <w:r>
        <w:rPr>
          <w:rFonts w:ascii="Times New Roman" w:hAnsi="Times New Roman" w:cs="Times New Roman"/>
          <w:sz w:val="24"/>
          <w:vertAlign w:val="subscript"/>
        </w:rPr>
        <w:t>2</w:t>
      </w:r>
      <w:r>
        <w:rPr>
          <w:rFonts w:ascii="Times New Roman" w:hAnsi="Times New Roman" w:cs="Times New Roman"/>
          <w:sz w:val="24"/>
        </w:rPr>
        <w:t>, indicating the incorporation and retention of sulfur-containing species on the surface. These results suggest gas</w:t>
      </w:r>
      <w:r>
        <w:rPr>
          <w:rFonts w:ascii="Times New Roman" w:hAnsi="Times New Roman" w:cs="Times New Roman" w:hint="eastAsia"/>
          <w:sz w:val="24"/>
        </w:rPr>
        <w:t>-</w:t>
      </w:r>
      <w:r>
        <w:rPr>
          <w:rFonts w:ascii="Times New Roman" w:hAnsi="Times New Roman" w:cs="Times New Roman"/>
          <w:sz w:val="24"/>
        </w:rPr>
        <w:t>surface interactions, likely involving chemisorption and surface sulfidation</w:t>
      </w:r>
      <w:r>
        <w:rPr>
          <w:rFonts w:ascii="Times New Roman" w:hAnsi="Times New Roman" w:cs="Times New Roman" w:hint="eastAsia"/>
          <w:sz w:val="24"/>
        </w:rPr>
        <w:t xml:space="preserve"> or </w:t>
      </w:r>
      <w:r>
        <w:rPr>
          <w:rFonts w:ascii="Times New Roman" w:hAnsi="Times New Roman" w:cs="Times New Roman"/>
          <w:sz w:val="24"/>
        </w:rPr>
        <w:t>oxidation processes.</w:t>
      </w:r>
    </w:p>
    <w:p w14:paraId="1A7811B7" w14:textId="77777777" w:rsidR="00E91A01" w:rsidRDefault="00000000">
      <w:pPr>
        <w:widowControl/>
        <w:spacing w:after="160" w:line="278" w:lineRule="auto"/>
        <w:jc w:val="left"/>
        <w:rPr>
          <w:rFonts w:ascii="Times New Roman" w:hAnsi="Times New Roman" w:cs="Times New Roman"/>
          <w:sz w:val="24"/>
        </w:rPr>
      </w:pPr>
      <w:r>
        <w:rPr>
          <w:rFonts w:ascii="Times New Roman" w:hAnsi="Times New Roman" w:cs="Times New Roman"/>
          <w:sz w:val="24"/>
        </w:rPr>
        <w:br w:type="page"/>
      </w:r>
    </w:p>
    <w:p w14:paraId="0B4C46AA" w14:textId="77777777" w:rsidR="00E91A01" w:rsidRDefault="00000000">
      <w:pPr>
        <w:widowControl/>
        <w:spacing w:after="120" w:line="278" w:lineRule="auto"/>
        <w:jc w:val="center"/>
        <w:rPr>
          <w:rFonts w:ascii="Times New Roman" w:hAnsi="Times New Roman" w:cs="Times New Roman"/>
          <w:sz w:val="24"/>
        </w:rPr>
      </w:pPr>
      <w:r>
        <w:rPr>
          <w:noProof/>
        </w:rPr>
        <w:lastRenderedPageBreak/>
        <w:drawing>
          <wp:inline distT="0" distB="0" distL="0" distR="0" wp14:anchorId="2D60CF44" wp14:editId="75FC3E97">
            <wp:extent cx="5274310" cy="2033270"/>
            <wp:effectExtent l="0" t="0" r="2540" b="5080"/>
            <wp:docPr id="1308807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07315" name="图片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74310" cy="2033270"/>
                    </a:xfrm>
                    <a:prstGeom prst="rect">
                      <a:avLst/>
                    </a:prstGeom>
                    <a:noFill/>
                    <a:ln>
                      <a:noFill/>
                    </a:ln>
                  </pic:spPr>
                </pic:pic>
              </a:graphicData>
            </a:graphic>
          </wp:inline>
        </w:drawing>
      </w:r>
    </w:p>
    <w:p w14:paraId="083FAF8B" w14:textId="77777777" w:rsidR="00E91A01" w:rsidRDefault="00000000">
      <w:pPr>
        <w:widowControl/>
        <w:spacing w:after="120"/>
        <w:jc w:val="center"/>
        <w:rPr>
          <w:rFonts w:ascii="Times New Roman" w:hAnsi="Times New Roman" w:cs="Times New Roman"/>
          <w:sz w:val="24"/>
        </w:rPr>
      </w:pPr>
      <w:r>
        <w:rPr>
          <w:rFonts w:ascii="Times New Roman" w:hAnsi="Times New Roman" w:cs="Times New Roman"/>
          <w:b/>
          <w:bCs/>
          <w:sz w:val="24"/>
        </w:rPr>
        <w:t xml:space="preserve">Figure </w:t>
      </w:r>
      <w:r>
        <w:rPr>
          <w:rFonts w:ascii="Times New Roman" w:hAnsi="Times New Roman" w:cs="Times New Roman" w:hint="eastAsia"/>
          <w:b/>
          <w:bCs/>
          <w:sz w:val="24"/>
        </w:rPr>
        <w:t>S2</w:t>
      </w:r>
      <w:r>
        <w:rPr>
          <w:rFonts w:ascii="Times New Roman" w:hAnsi="Times New Roman" w:cs="Times New Roman"/>
          <w:sz w:val="24"/>
        </w:rPr>
        <w:t>. H</w:t>
      </w:r>
      <w:r>
        <w:rPr>
          <w:rFonts w:ascii="Times New Roman" w:hAnsi="Times New Roman" w:cs="Times New Roman" w:hint="eastAsia"/>
          <w:sz w:val="24"/>
          <w:vertAlign w:val="subscript"/>
        </w:rPr>
        <w:t>2</w:t>
      </w:r>
      <w:r>
        <w:rPr>
          <w:rFonts w:ascii="Times New Roman" w:hAnsi="Times New Roman" w:cs="Times New Roman"/>
          <w:sz w:val="24"/>
        </w:rPr>
        <w:t xml:space="preserve">S sensing performance of the </w:t>
      </w:r>
      <w:proofErr w:type="spellStart"/>
      <w:r>
        <w:rPr>
          <w:rFonts w:ascii="Times New Roman" w:hAnsi="Times New Roman" w:cs="Times New Roman"/>
          <w:sz w:val="24"/>
        </w:rPr>
        <w:t>ZnO</w:t>
      </w:r>
      <w:proofErr w:type="spellEnd"/>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sensor under magnetic field regulation. (a) Dynamic response curves of the sensor toward 1 ppm H</w:t>
      </w:r>
      <w:r>
        <w:rPr>
          <w:rFonts w:ascii="Times New Roman" w:hAnsi="Times New Roman" w:cs="Times New Roman" w:hint="eastAsia"/>
          <w:sz w:val="24"/>
          <w:vertAlign w:val="subscript"/>
        </w:rPr>
        <w:t>2</w:t>
      </w:r>
      <w:r>
        <w:rPr>
          <w:rFonts w:ascii="Times New Roman" w:hAnsi="Times New Roman" w:cs="Times New Roman"/>
          <w:sz w:val="24"/>
        </w:rPr>
        <w:t xml:space="preserve">S under different magnetic field intensities; (b) corresponding recovery </w:t>
      </w:r>
      <w:r>
        <w:rPr>
          <w:rFonts w:ascii="Times New Roman" w:hAnsi="Times New Roman" w:cs="Times New Roman" w:hint="eastAsia"/>
          <w:sz w:val="24"/>
        </w:rPr>
        <w:t>percentage</w:t>
      </w:r>
      <w:r>
        <w:rPr>
          <w:rFonts w:ascii="Times New Roman" w:hAnsi="Times New Roman" w:cs="Times New Roman"/>
          <w:sz w:val="24"/>
        </w:rPr>
        <w:t xml:space="preserve"> after H</w:t>
      </w:r>
      <w:r>
        <w:rPr>
          <w:rFonts w:ascii="Times New Roman" w:hAnsi="Times New Roman" w:cs="Times New Roman" w:hint="eastAsia"/>
          <w:sz w:val="24"/>
          <w:vertAlign w:val="subscript"/>
        </w:rPr>
        <w:t>2</w:t>
      </w:r>
      <w:r>
        <w:rPr>
          <w:rFonts w:ascii="Times New Roman" w:hAnsi="Times New Roman" w:cs="Times New Roman"/>
          <w:sz w:val="24"/>
        </w:rPr>
        <w:t>S purging</w:t>
      </w:r>
      <w:r w:rsidR="00993B5E">
        <w:rPr>
          <w:rFonts w:ascii="Times New Roman" w:hAnsi="Times New Roman" w:cs="Times New Roman" w:hint="eastAsia"/>
          <w:sz w:val="24"/>
        </w:rPr>
        <w:t>.</w:t>
      </w:r>
    </w:p>
    <w:p w14:paraId="0E3E1B6D" w14:textId="77777777" w:rsidR="00E91A01" w:rsidRDefault="00993B5E">
      <w:pPr>
        <w:widowControl/>
        <w:spacing w:after="120" w:line="360" w:lineRule="auto"/>
        <w:ind w:firstLineChars="100" w:firstLine="240"/>
        <w:rPr>
          <w:rFonts w:ascii="Times New Roman" w:hAnsi="Times New Roman" w:cs="Times New Roman"/>
          <w:sz w:val="24"/>
        </w:rPr>
      </w:pPr>
      <w:r>
        <w:rPr>
          <w:rFonts w:ascii="Times New Roman" w:hAnsi="Times New Roman" w:cs="Times New Roman"/>
          <w:b/>
          <w:bCs/>
          <w:sz w:val="24"/>
        </w:rPr>
        <w:t>Fig</w:t>
      </w:r>
      <w:r>
        <w:rPr>
          <w:rFonts w:ascii="Times New Roman" w:hAnsi="Times New Roman" w:cs="Times New Roman" w:hint="eastAsia"/>
          <w:b/>
          <w:bCs/>
          <w:sz w:val="24"/>
        </w:rPr>
        <w:t>.</w:t>
      </w:r>
      <w:r>
        <w:rPr>
          <w:rFonts w:ascii="Times New Roman" w:hAnsi="Times New Roman" w:cs="Times New Roman"/>
          <w:b/>
          <w:bCs/>
          <w:sz w:val="24"/>
        </w:rPr>
        <w:t xml:space="preserve"> </w:t>
      </w:r>
      <w:r>
        <w:rPr>
          <w:rFonts w:ascii="Times New Roman" w:hAnsi="Times New Roman" w:cs="Times New Roman" w:hint="eastAsia"/>
          <w:b/>
          <w:bCs/>
          <w:sz w:val="24"/>
        </w:rPr>
        <w:t>S2</w:t>
      </w:r>
      <w:r>
        <w:rPr>
          <w:rFonts w:ascii="Times New Roman" w:hAnsi="Times New Roman" w:cs="Times New Roman"/>
          <w:sz w:val="24"/>
        </w:rPr>
        <w:t xml:space="preserve">a summarizes the response behavior of the </w:t>
      </w:r>
      <w:proofErr w:type="spellStart"/>
      <w:r>
        <w:rPr>
          <w:rFonts w:ascii="Times New Roman" w:hAnsi="Times New Roman" w:cs="Times New Roman"/>
          <w:sz w:val="24"/>
        </w:rPr>
        <w:t>ZnO</w:t>
      </w:r>
      <w:proofErr w:type="spellEnd"/>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sensor toward 1 ppm H</w:t>
      </w:r>
      <w:r>
        <w:rPr>
          <w:rFonts w:ascii="Times New Roman" w:hAnsi="Times New Roman" w:cs="Times New Roman" w:hint="eastAsia"/>
          <w:sz w:val="24"/>
          <w:vertAlign w:val="subscript"/>
        </w:rPr>
        <w:t>2</w:t>
      </w:r>
      <w:r>
        <w:rPr>
          <w:rFonts w:ascii="Times New Roman" w:hAnsi="Times New Roman" w:cs="Times New Roman"/>
          <w:sz w:val="24"/>
        </w:rPr>
        <w:t xml:space="preserve">S under different magnetic field intensities. As the magnetic field intensity increased from 22.1 to 157.6 </w:t>
      </w:r>
      <w:proofErr w:type="spellStart"/>
      <w:r>
        <w:rPr>
          <w:rFonts w:ascii="Times New Roman" w:hAnsi="Times New Roman" w:cs="Times New Roman"/>
          <w:sz w:val="24"/>
        </w:rPr>
        <w:t>mT</w:t>
      </w:r>
      <w:proofErr w:type="spellEnd"/>
      <w:r>
        <w:rPr>
          <w:rFonts w:ascii="Times New Roman" w:hAnsi="Times New Roman" w:cs="Times New Roman"/>
          <w:sz w:val="24"/>
        </w:rPr>
        <w:t xml:space="preserve">, the recovery performance of the sensor was significantly improved. Specifically, the recovery percentage increased from 62.3% at 22.1 </w:t>
      </w:r>
      <w:proofErr w:type="spellStart"/>
      <w:r>
        <w:rPr>
          <w:rFonts w:ascii="Times New Roman" w:hAnsi="Times New Roman" w:cs="Times New Roman"/>
          <w:sz w:val="24"/>
        </w:rPr>
        <w:t>mT</w:t>
      </w:r>
      <w:proofErr w:type="spellEnd"/>
      <w:r>
        <w:rPr>
          <w:rFonts w:ascii="Times New Roman" w:hAnsi="Times New Roman" w:cs="Times New Roman"/>
          <w:sz w:val="24"/>
        </w:rPr>
        <w:t xml:space="preserve"> to 89.7% at 90.7 </w:t>
      </w:r>
      <w:proofErr w:type="spellStart"/>
      <w:r>
        <w:rPr>
          <w:rFonts w:ascii="Times New Roman" w:hAnsi="Times New Roman" w:cs="Times New Roman"/>
          <w:sz w:val="24"/>
        </w:rPr>
        <w:t>mT</w:t>
      </w:r>
      <w:proofErr w:type="spellEnd"/>
      <w:r>
        <w:rPr>
          <w:rFonts w:ascii="Times New Roman" w:hAnsi="Times New Roman" w:cs="Times New Roman"/>
          <w:sz w:val="24"/>
        </w:rPr>
        <w:t xml:space="preserve">, and further increased to 99.6% at 157.6 </w:t>
      </w:r>
      <w:proofErr w:type="spellStart"/>
      <w:r>
        <w:rPr>
          <w:rFonts w:ascii="Times New Roman" w:hAnsi="Times New Roman" w:cs="Times New Roman"/>
          <w:sz w:val="24"/>
        </w:rPr>
        <w:t>mT</w:t>
      </w:r>
      <w:proofErr w:type="spellEnd"/>
      <w:r>
        <w:rPr>
          <w:rFonts w:ascii="Times New Roman" w:hAnsi="Times New Roman" w:cs="Times New Roman" w:hint="eastAsia"/>
          <w:sz w:val="24"/>
        </w:rPr>
        <w:t xml:space="preserve"> (as shown in </w:t>
      </w:r>
      <w:r>
        <w:rPr>
          <w:rFonts w:ascii="Times New Roman" w:hAnsi="Times New Roman" w:cs="Times New Roman"/>
          <w:b/>
          <w:bCs/>
          <w:sz w:val="24"/>
        </w:rPr>
        <w:t>Fig</w:t>
      </w:r>
      <w:r>
        <w:rPr>
          <w:rFonts w:ascii="Times New Roman" w:hAnsi="Times New Roman" w:cs="Times New Roman" w:hint="eastAsia"/>
          <w:b/>
          <w:bCs/>
          <w:sz w:val="24"/>
        </w:rPr>
        <w:t>.</w:t>
      </w:r>
      <w:r>
        <w:rPr>
          <w:rFonts w:ascii="Times New Roman" w:hAnsi="Times New Roman" w:cs="Times New Roman"/>
          <w:b/>
          <w:bCs/>
          <w:sz w:val="24"/>
        </w:rPr>
        <w:t xml:space="preserve"> </w:t>
      </w:r>
      <w:r>
        <w:rPr>
          <w:rFonts w:ascii="Times New Roman" w:hAnsi="Times New Roman" w:cs="Times New Roman" w:hint="eastAsia"/>
          <w:b/>
          <w:bCs/>
          <w:sz w:val="24"/>
        </w:rPr>
        <w:t>S2</w:t>
      </w:r>
      <w:r>
        <w:rPr>
          <w:rFonts w:ascii="Times New Roman" w:hAnsi="Times New Roman" w:cs="Times New Roman"/>
          <w:sz w:val="24"/>
        </w:rPr>
        <w:t>b</w:t>
      </w:r>
      <w:r>
        <w:rPr>
          <w:rFonts w:ascii="Times New Roman" w:hAnsi="Times New Roman" w:cs="Times New Roman" w:hint="eastAsia"/>
          <w:sz w:val="24"/>
        </w:rPr>
        <w:t>)</w:t>
      </w:r>
      <w:r>
        <w:rPr>
          <w:rFonts w:ascii="Times New Roman" w:hAnsi="Times New Roman" w:cs="Times New Roman"/>
          <w:sz w:val="24"/>
        </w:rPr>
        <w:t xml:space="preserve">, indicating that a stronger magnetic field is more favorable for promoting sensor recovery. </w:t>
      </w:r>
      <w:r>
        <w:rPr>
          <w:rFonts w:ascii="Times New Roman" w:hAnsi="Times New Roman" w:cs="Times New Roman" w:hint="eastAsia"/>
          <w:sz w:val="24"/>
        </w:rPr>
        <w:t>As shown</w:t>
      </w:r>
      <w:r>
        <w:rPr>
          <w:rFonts w:ascii="Times New Roman" w:hAnsi="Times New Roman" w:cs="Times New Roman"/>
          <w:sz w:val="24"/>
        </w:rPr>
        <w:t xml:space="preserve"> </w:t>
      </w:r>
      <w:r>
        <w:rPr>
          <w:rFonts w:ascii="Times New Roman" w:hAnsi="Times New Roman" w:cs="Times New Roman" w:hint="eastAsia"/>
          <w:sz w:val="24"/>
        </w:rPr>
        <w:t xml:space="preserve">in </w:t>
      </w:r>
      <w:r>
        <w:rPr>
          <w:rFonts w:ascii="Times New Roman" w:hAnsi="Times New Roman" w:cs="Times New Roman"/>
          <w:b/>
          <w:bCs/>
          <w:sz w:val="24"/>
        </w:rPr>
        <w:t>Fig</w:t>
      </w:r>
      <w:r>
        <w:rPr>
          <w:rFonts w:ascii="Times New Roman" w:hAnsi="Times New Roman" w:cs="Times New Roman" w:hint="eastAsia"/>
          <w:b/>
          <w:bCs/>
          <w:sz w:val="24"/>
        </w:rPr>
        <w:t>.</w:t>
      </w:r>
      <w:r>
        <w:rPr>
          <w:rFonts w:ascii="Times New Roman" w:hAnsi="Times New Roman" w:cs="Times New Roman"/>
          <w:b/>
          <w:bCs/>
          <w:sz w:val="24"/>
        </w:rPr>
        <w:t xml:space="preserve"> </w:t>
      </w:r>
      <w:r>
        <w:rPr>
          <w:rFonts w:ascii="Times New Roman" w:hAnsi="Times New Roman" w:cs="Times New Roman" w:hint="eastAsia"/>
          <w:b/>
          <w:bCs/>
          <w:sz w:val="24"/>
        </w:rPr>
        <w:t>S2</w:t>
      </w:r>
      <w:r>
        <w:rPr>
          <w:rFonts w:ascii="Times New Roman" w:hAnsi="Times New Roman" w:cs="Times New Roman"/>
          <w:sz w:val="24"/>
        </w:rPr>
        <w:t>b</w:t>
      </w:r>
      <w:r>
        <w:rPr>
          <w:rFonts w:ascii="Times New Roman" w:hAnsi="Times New Roman" w:cs="Times New Roman" w:hint="eastAsia"/>
          <w:sz w:val="24"/>
        </w:rPr>
        <w:t>, nearly complete recovery is achieved at 157.6</w:t>
      </w:r>
      <w:r>
        <w:rPr>
          <w:rFonts w:ascii="Times New Roman" w:hAnsi="Times New Roman" w:cs="Times New Roman" w:hint="eastAsia"/>
          <w:sz w:val="24"/>
        </w:rPr>
        <w:t> </w:t>
      </w:r>
      <w:proofErr w:type="spellStart"/>
      <w:r>
        <w:rPr>
          <w:rFonts w:ascii="Times New Roman" w:hAnsi="Times New Roman" w:cs="Times New Roman" w:hint="eastAsia"/>
          <w:sz w:val="24"/>
        </w:rPr>
        <w:t>mT.</w:t>
      </w:r>
      <w:proofErr w:type="spellEnd"/>
      <w:r>
        <w:rPr>
          <w:rFonts w:ascii="Times New Roman" w:hAnsi="Times New Roman" w:cs="Times New Roman" w:hint="eastAsia"/>
          <w:sz w:val="24"/>
        </w:rPr>
        <w:t xml:space="preserve"> Hence, this magnetic field strength was adopted as the standard for all subsequent experiments.</w:t>
      </w:r>
    </w:p>
    <w:p w14:paraId="7FAED359" w14:textId="77777777" w:rsidR="00E91A01" w:rsidRDefault="00000000">
      <w:pPr>
        <w:widowControl/>
        <w:spacing w:after="120" w:line="360" w:lineRule="auto"/>
        <w:ind w:firstLineChars="100" w:firstLine="240"/>
        <w:jc w:val="center"/>
        <w:rPr>
          <w:rFonts w:ascii="Times New Roman" w:hAnsi="Times New Roman" w:cs="Times New Roman"/>
          <w:sz w:val="24"/>
        </w:rPr>
      </w:pPr>
      <w:r>
        <w:rPr>
          <w:rFonts w:ascii="Times New Roman" w:hAnsi="Times New Roman" w:cs="Times New Roman"/>
          <w:sz w:val="24"/>
        </w:rPr>
        <w:br w:type="page"/>
      </w:r>
      <w:r>
        <w:rPr>
          <w:noProof/>
        </w:rPr>
        <w:lastRenderedPageBreak/>
        <w:drawing>
          <wp:inline distT="0" distB="0" distL="0" distR="0" wp14:anchorId="68FA0D5B" wp14:editId="5BDF487A">
            <wp:extent cx="3597275" cy="3036570"/>
            <wp:effectExtent l="0" t="0" r="3175" b="0"/>
            <wp:docPr id="8941506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50605" name="图片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597275" cy="3036570"/>
                    </a:xfrm>
                    <a:prstGeom prst="rect">
                      <a:avLst/>
                    </a:prstGeom>
                    <a:noFill/>
                    <a:ln>
                      <a:noFill/>
                    </a:ln>
                  </pic:spPr>
                </pic:pic>
              </a:graphicData>
            </a:graphic>
          </wp:inline>
        </w:drawing>
      </w:r>
    </w:p>
    <w:p w14:paraId="70EF0AB8" w14:textId="77777777" w:rsidR="00E91A01" w:rsidRDefault="00000000">
      <w:pPr>
        <w:widowControl/>
        <w:spacing w:after="120" w:line="360" w:lineRule="auto"/>
        <w:ind w:firstLineChars="100" w:firstLine="240"/>
        <w:jc w:val="center"/>
        <w:rPr>
          <w:rFonts w:ascii="Times New Roman" w:hAnsi="Times New Roman" w:cs="Times New Roman"/>
          <w:sz w:val="24"/>
        </w:rPr>
      </w:pPr>
      <w:r>
        <w:rPr>
          <w:rFonts w:ascii="Times New Roman" w:hAnsi="Times New Roman" w:cs="Times New Roman" w:hint="eastAsia"/>
          <w:b/>
          <w:bCs/>
          <w:sz w:val="24"/>
        </w:rPr>
        <w:t>Figure S3</w:t>
      </w:r>
      <w:r>
        <w:rPr>
          <w:rFonts w:ascii="Times New Roman" w:hAnsi="Times New Roman" w:cs="Times New Roman" w:hint="eastAsia"/>
          <w:sz w:val="24"/>
        </w:rPr>
        <w:t>.</w:t>
      </w:r>
      <w:r>
        <w:rPr>
          <w:rFonts w:ascii="Times New Roman" w:hAnsi="Times New Roman" w:cs="Times New Roman"/>
          <w:sz w:val="24"/>
        </w:rPr>
        <w:t xml:space="preserve"> </w:t>
      </w:r>
      <w:r>
        <w:rPr>
          <w:rFonts w:ascii="Times New Roman" w:hAnsi="Times New Roman" w:cs="Times New Roman" w:hint="eastAsia"/>
          <w:sz w:val="24"/>
        </w:rPr>
        <w:t>D</w:t>
      </w:r>
      <w:r>
        <w:rPr>
          <w:rFonts w:ascii="Times New Roman" w:hAnsi="Times New Roman" w:cs="Times New Roman"/>
          <w:sz w:val="24"/>
        </w:rPr>
        <w:t>ynamic response curves of the sensor toward different H</w:t>
      </w:r>
      <w:r>
        <w:rPr>
          <w:rFonts w:ascii="Times New Roman" w:hAnsi="Times New Roman" w:cs="Times New Roman" w:hint="eastAsia"/>
          <w:sz w:val="24"/>
          <w:vertAlign w:val="subscript"/>
        </w:rPr>
        <w:t>2</w:t>
      </w:r>
      <w:r>
        <w:rPr>
          <w:rFonts w:ascii="Times New Roman" w:hAnsi="Times New Roman" w:cs="Times New Roman"/>
          <w:sz w:val="24"/>
        </w:rPr>
        <w:t>S concentrations with and without an applied magnetic field</w:t>
      </w:r>
      <w:r w:rsidR="00993B5E">
        <w:rPr>
          <w:rFonts w:ascii="Times New Roman" w:hAnsi="Times New Roman" w:cs="Times New Roman" w:hint="eastAsia"/>
          <w:sz w:val="24"/>
        </w:rPr>
        <w:t>.</w:t>
      </w:r>
    </w:p>
    <w:p w14:paraId="1D7B2BC2" w14:textId="77777777" w:rsidR="00E91A01" w:rsidRDefault="00993B5E">
      <w:pPr>
        <w:widowControl/>
        <w:spacing w:after="120" w:line="360" w:lineRule="auto"/>
        <w:ind w:firstLineChars="100" w:firstLine="240"/>
        <w:rPr>
          <w:rFonts w:ascii="Times New Roman" w:hAnsi="Times New Roman" w:cs="Times New Roman"/>
          <w:sz w:val="24"/>
        </w:rPr>
      </w:pPr>
      <w:r>
        <w:rPr>
          <w:rFonts w:ascii="Times New Roman" w:hAnsi="Times New Roman" w:cs="Times New Roman"/>
          <w:b/>
          <w:bCs/>
          <w:sz w:val="24"/>
        </w:rPr>
        <w:t>Fig</w:t>
      </w:r>
      <w:r>
        <w:rPr>
          <w:rFonts w:ascii="Times New Roman" w:hAnsi="Times New Roman" w:cs="Times New Roman" w:hint="eastAsia"/>
          <w:b/>
          <w:bCs/>
          <w:sz w:val="24"/>
        </w:rPr>
        <w:t>.</w:t>
      </w:r>
      <w:r>
        <w:rPr>
          <w:rFonts w:ascii="Times New Roman" w:hAnsi="Times New Roman" w:cs="Times New Roman"/>
          <w:b/>
          <w:bCs/>
          <w:sz w:val="24"/>
        </w:rPr>
        <w:t xml:space="preserve"> </w:t>
      </w:r>
      <w:r>
        <w:rPr>
          <w:rFonts w:ascii="Times New Roman" w:hAnsi="Times New Roman" w:cs="Times New Roman" w:hint="eastAsia"/>
          <w:b/>
          <w:bCs/>
          <w:sz w:val="24"/>
        </w:rPr>
        <w:t>S3</w:t>
      </w:r>
      <w:r>
        <w:rPr>
          <w:rFonts w:ascii="Times New Roman" w:hAnsi="Times New Roman" w:cs="Times New Roman"/>
          <w:sz w:val="24"/>
        </w:rPr>
        <w:t xml:space="preserve"> compares the dynamic gas-sensing responses of the sensor </w:t>
      </w:r>
      <w:r>
        <w:rPr>
          <w:rFonts w:ascii="Times New Roman" w:hAnsi="Times New Roman" w:cs="Times New Roman" w:hint="eastAsia"/>
          <w:sz w:val="24"/>
        </w:rPr>
        <w:t>to various H</w:t>
      </w:r>
      <w:r>
        <w:rPr>
          <w:rFonts w:ascii="Times New Roman" w:hAnsi="Times New Roman" w:cs="Times New Roman" w:hint="eastAsia"/>
          <w:sz w:val="24"/>
          <w:vertAlign w:val="subscript"/>
        </w:rPr>
        <w:t>2</w:t>
      </w:r>
      <w:r>
        <w:rPr>
          <w:rFonts w:ascii="Times New Roman" w:hAnsi="Times New Roman" w:cs="Times New Roman" w:hint="eastAsia"/>
          <w:sz w:val="24"/>
        </w:rPr>
        <w:t>S concentrations (1</w:t>
      </w:r>
      <w:r>
        <w:rPr>
          <w:rFonts w:ascii="Times New Roman" w:hAnsi="Times New Roman" w:cs="Times New Roman"/>
          <w:sz w:val="24"/>
        </w:rPr>
        <w:t>–</w:t>
      </w:r>
      <w:r>
        <w:rPr>
          <w:rFonts w:ascii="Times New Roman" w:hAnsi="Times New Roman" w:cs="Times New Roman" w:hint="eastAsia"/>
          <w:sz w:val="24"/>
        </w:rPr>
        <w:t xml:space="preserve">100 ppm) </w:t>
      </w:r>
      <w:r>
        <w:rPr>
          <w:rFonts w:ascii="Times New Roman" w:hAnsi="Times New Roman" w:cs="Times New Roman"/>
          <w:sz w:val="24"/>
        </w:rPr>
        <w:t xml:space="preserve">with and without a 157.6 </w:t>
      </w:r>
      <w:proofErr w:type="spellStart"/>
      <w:r>
        <w:rPr>
          <w:rFonts w:ascii="Times New Roman" w:hAnsi="Times New Roman" w:cs="Times New Roman"/>
          <w:sz w:val="24"/>
        </w:rPr>
        <w:t>mT</w:t>
      </w:r>
      <w:proofErr w:type="spellEnd"/>
      <w:r>
        <w:rPr>
          <w:rFonts w:ascii="Times New Roman" w:hAnsi="Times New Roman" w:cs="Times New Roman"/>
          <w:sz w:val="24"/>
        </w:rPr>
        <w:t xml:space="preserve"> magnetic field, further confirming the role of the magnetic field in facilitating sensor recovery. In the absence of a magnetic field, the sensor exhibited only </w:t>
      </w:r>
      <w:r>
        <w:rPr>
          <w:rFonts w:ascii="Times New Roman" w:hAnsi="Times New Roman" w:cs="Times New Roman" w:hint="eastAsia"/>
          <w:sz w:val="24"/>
        </w:rPr>
        <w:t>minimal</w:t>
      </w:r>
      <w:r>
        <w:rPr>
          <w:rFonts w:ascii="Times New Roman" w:hAnsi="Times New Roman" w:cs="Times New Roman"/>
          <w:sz w:val="24"/>
        </w:rPr>
        <w:t xml:space="preserve"> recovery after H</w:t>
      </w:r>
      <w:r>
        <w:rPr>
          <w:rFonts w:ascii="Times New Roman" w:hAnsi="Times New Roman" w:cs="Times New Roman" w:hint="eastAsia"/>
          <w:sz w:val="24"/>
          <w:vertAlign w:val="subscript"/>
        </w:rPr>
        <w:t>2</w:t>
      </w:r>
      <w:r>
        <w:rPr>
          <w:rFonts w:ascii="Times New Roman" w:hAnsi="Times New Roman" w:cs="Times New Roman"/>
          <w:sz w:val="24"/>
        </w:rPr>
        <w:t>S removal, whereas nearly complete recovery was achieved under the applied magnetic field.</w:t>
      </w:r>
      <w:r>
        <w:rPr>
          <w:rFonts w:ascii="Times New Roman" w:hAnsi="Times New Roman" w:cs="Times New Roman" w:hint="eastAsia"/>
          <w:sz w:val="24"/>
        </w:rPr>
        <w:t xml:space="preserve"> </w:t>
      </w:r>
    </w:p>
    <w:p w14:paraId="194A6F25" w14:textId="77777777" w:rsidR="00E91A01" w:rsidRDefault="00000000">
      <w:pPr>
        <w:widowControl/>
        <w:spacing w:line="360" w:lineRule="auto"/>
        <w:rPr>
          <w:rFonts w:ascii="Times New Roman" w:hAnsi="Times New Roman" w:cs="Times New Roman"/>
          <w:sz w:val="24"/>
        </w:rPr>
      </w:pPr>
      <w:r>
        <w:rPr>
          <w:rFonts w:ascii="Times New Roman" w:hAnsi="Times New Roman" w:cs="Times New Roman"/>
          <w:sz w:val="24"/>
        </w:rPr>
        <w:br w:type="page"/>
      </w:r>
    </w:p>
    <w:p w14:paraId="5796A4B9" w14:textId="77777777" w:rsidR="00E91A01" w:rsidRDefault="00000000">
      <w:pPr>
        <w:widowControl/>
        <w:spacing w:after="120" w:line="360" w:lineRule="auto"/>
        <w:ind w:firstLineChars="100" w:firstLine="210"/>
        <w:jc w:val="center"/>
        <w:rPr>
          <w:rFonts w:ascii="Times New Roman" w:hAnsi="Times New Roman" w:cs="Times New Roman"/>
          <w:sz w:val="24"/>
        </w:rPr>
      </w:pPr>
      <w:r>
        <w:rPr>
          <w:noProof/>
        </w:rPr>
        <w:lastRenderedPageBreak/>
        <w:drawing>
          <wp:inline distT="0" distB="0" distL="0" distR="0" wp14:anchorId="1FEC6A28" wp14:editId="4BB14158">
            <wp:extent cx="5274310" cy="1958975"/>
            <wp:effectExtent l="0" t="0" r="2540" b="3175"/>
            <wp:docPr id="4930907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90761" name="图片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1958975"/>
                    </a:xfrm>
                    <a:prstGeom prst="rect">
                      <a:avLst/>
                    </a:prstGeom>
                    <a:noFill/>
                    <a:ln>
                      <a:noFill/>
                    </a:ln>
                  </pic:spPr>
                </pic:pic>
              </a:graphicData>
            </a:graphic>
          </wp:inline>
        </w:drawing>
      </w:r>
    </w:p>
    <w:p w14:paraId="493A3595" w14:textId="77777777" w:rsidR="00E91A01" w:rsidRDefault="00000000">
      <w:pPr>
        <w:widowControl/>
        <w:spacing w:after="120" w:line="360" w:lineRule="auto"/>
        <w:ind w:firstLineChars="100" w:firstLine="240"/>
        <w:jc w:val="center"/>
        <w:rPr>
          <w:rFonts w:ascii="Times New Roman" w:hAnsi="Times New Roman" w:cs="Times New Roman"/>
          <w:sz w:val="24"/>
        </w:rPr>
      </w:pPr>
      <w:r>
        <w:rPr>
          <w:rFonts w:ascii="Times New Roman" w:hAnsi="Times New Roman" w:cs="Times New Roman" w:hint="eastAsia"/>
          <w:b/>
          <w:bCs/>
          <w:sz w:val="24"/>
        </w:rPr>
        <w:t>Figure S4</w:t>
      </w:r>
      <w:r>
        <w:rPr>
          <w:rFonts w:ascii="Times New Roman" w:hAnsi="Times New Roman" w:cs="Times New Roman" w:hint="eastAsia"/>
          <w:sz w:val="24"/>
        </w:rPr>
        <w:t>. (a</w:t>
      </w:r>
      <w:r>
        <w:rPr>
          <w:rFonts w:ascii="Times New Roman" w:hAnsi="Times New Roman" w:cs="Times New Roman"/>
          <w:sz w:val="24"/>
        </w:rPr>
        <w:t xml:space="preserve">) </w:t>
      </w:r>
      <w:r>
        <w:rPr>
          <w:rFonts w:ascii="Times New Roman" w:hAnsi="Times New Roman" w:cs="Times New Roman" w:hint="eastAsia"/>
          <w:sz w:val="24"/>
        </w:rPr>
        <w:t>D</w:t>
      </w:r>
      <w:r>
        <w:rPr>
          <w:rFonts w:ascii="Times New Roman" w:hAnsi="Times New Roman" w:cs="Times New Roman"/>
          <w:sz w:val="24"/>
        </w:rPr>
        <w:t>ynamic response curves of the sensor toward 1 ppm H</w:t>
      </w:r>
      <w:r>
        <w:rPr>
          <w:rFonts w:ascii="Times New Roman" w:hAnsi="Times New Roman" w:cs="Times New Roman" w:hint="eastAsia"/>
          <w:sz w:val="24"/>
          <w:vertAlign w:val="subscript"/>
        </w:rPr>
        <w:t>2</w:t>
      </w:r>
      <w:r>
        <w:rPr>
          <w:rFonts w:ascii="Times New Roman" w:hAnsi="Times New Roman" w:cs="Times New Roman"/>
          <w:sz w:val="24"/>
        </w:rPr>
        <w:t xml:space="preserve">S at different storage times after magnetization under a 157.6 </w:t>
      </w:r>
      <w:proofErr w:type="spellStart"/>
      <w:r>
        <w:rPr>
          <w:rFonts w:ascii="Times New Roman" w:hAnsi="Times New Roman" w:cs="Times New Roman"/>
          <w:sz w:val="24"/>
        </w:rPr>
        <w:t>mT</w:t>
      </w:r>
      <w:proofErr w:type="spellEnd"/>
      <w:r>
        <w:rPr>
          <w:rFonts w:ascii="Times New Roman" w:hAnsi="Times New Roman" w:cs="Times New Roman"/>
          <w:sz w:val="24"/>
        </w:rPr>
        <w:t xml:space="preserve"> magnetic field for 2 h; (</w:t>
      </w:r>
      <w:r>
        <w:rPr>
          <w:rFonts w:ascii="Times New Roman" w:hAnsi="Times New Roman" w:cs="Times New Roman" w:hint="eastAsia"/>
          <w:sz w:val="24"/>
        </w:rPr>
        <w:t>b</w:t>
      </w:r>
      <w:r>
        <w:rPr>
          <w:rFonts w:ascii="Times New Roman" w:hAnsi="Times New Roman" w:cs="Times New Roman"/>
          <w:sz w:val="24"/>
        </w:rPr>
        <w:t xml:space="preserve">) corresponding response values and recovery </w:t>
      </w:r>
      <w:r>
        <w:rPr>
          <w:rFonts w:ascii="Times New Roman" w:hAnsi="Times New Roman" w:cs="Times New Roman" w:hint="eastAsia"/>
          <w:sz w:val="24"/>
        </w:rPr>
        <w:t>percentage.</w:t>
      </w:r>
    </w:p>
    <w:p w14:paraId="59266FF1" w14:textId="77777777" w:rsidR="00E91A01" w:rsidRDefault="00993B5E">
      <w:pPr>
        <w:widowControl/>
        <w:spacing w:after="120" w:line="360" w:lineRule="auto"/>
        <w:ind w:firstLineChars="100" w:firstLine="240"/>
        <w:rPr>
          <w:rFonts w:ascii="Times New Roman" w:hAnsi="Times New Roman" w:cs="Times New Roman"/>
          <w:sz w:val="24"/>
        </w:rPr>
      </w:pPr>
      <w:r>
        <w:rPr>
          <w:rFonts w:ascii="Times New Roman" w:hAnsi="Times New Roman" w:cs="Times New Roman"/>
          <w:b/>
          <w:bCs/>
          <w:sz w:val="24"/>
        </w:rPr>
        <w:t>Fig</w:t>
      </w:r>
      <w:r>
        <w:rPr>
          <w:rFonts w:ascii="Times New Roman" w:hAnsi="Times New Roman" w:cs="Times New Roman" w:hint="eastAsia"/>
          <w:b/>
          <w:bCs/>
          <w:sz w:val="24"/>
        </w:rPr>
        <w:t>. S</w:t>
      </w:r>
      <w:r>
        <w:rPr>
          <w:rFonts w:ascii="Times New Roman" w:hAnsi="Times New Roman" w:cs="Times New Roman" w:hint="eastAsia"/>
          <w:sz w:val="24"/>
        </w:rPr>
        <w:t>4a</w:t>
      </w:r>
      <w:r>
        <w:rPr>
          <w:rFonts w:ascii="Times New Roman" w:hAnsi="Times New Roman" w:cs="Times New Roman"/>
          <w:sz w:val="24"/>
        </w:rPr>
        <w:t xml:space="preserve"> presents the dynamic response behavior of the sensor after pretreatment under a 157.6 </w:t>
      </w:r>
      <w:proofErr w:type="spellStart"/>
      <w:r>
        <w:rPr>
          <w:rFonts w:ascii="Times New Roman" w:hAnsi="Times New Roman" w:cs="Times New Roman"/>
          <w:sz w:val="24"/>
        </w:rPr>
        <w:t>mT</w:t>
      </w:r>
      <w:proofErr w:type="spellEnd"/>
      <w:r>
        <w:rPr>
          <w:rFonts w:ascii="Times New Roman" w:hAnsi="Times New Roman" w:cs="Times New Roman"/>
          <w:sz w:val="24"/>
        </w:rPr>
        <w:t xml:space="preserve"> magnetic field for 2 h. After removal of the magnetic field, the sensor still exhibited enhanced recovery behavior toward 1 ppm H</w:t>
      </w:r>
      <w:r>
        <w:rPr>
          <w:rFonts w:ascii="Times New Roman" w:hAnsi="Times New Roman" w:cs="Times New Roman" w:hint="eastAsia"/>
          <w:sz w:val="24"/>
          <w:vertAlign w:val="subscript"/>
        </w:rPr>
        <w:t>2</w:t>
      </w:r>
      <w:r>
        <w:rPr>
          <w:rFonts w:ascii="Times New Roman" w:hAnsi="Times New Roman" w:cs="Times New Roman"/>
          <w:sz w:val="24"/>
        </w:rPr>
        <w:t xml:space="preserve">S, with the resistance recovering to approximately 88% of its initial value. However, with increasing storage time after magnetic field removal, both the response value and recovery percentage gradually decreased. After 70 min, the sensing behavior became nearly identical to that observed in the absence of a magnetic field, indicating that the magnetic-field-induced enhancement had largely diminished. </w:t>
      </w:r>
      <w:r>
        <w:rPr>
          <w:rFonts w:ascii="Times New Roman" w:hAnsi="Times New Roman" w:cs="Times New Roman"/>
          <w:b/>
          <w:bCs/>
          <w:sz w:val="24"/>
        </w:rPr>
        <w:t>Fig</w:t>
      </w:r>
      <w:r>
        <w:rPr>
          <w:rFonts w:ascii="Times New Roman" w:hAnsi="Times New Roman" w:cs="Times New Roman" w:hint="eastAsia"/>
          <w:b/>
          <w:bCs/>
          <w:sz w:val="24"/>
        </w:rPr>
        <w:t>.</w:t>
      </w:r>
      <w:r>
        <w:rPr>
          <w:rFonts w:ascii="Times New Roman" w:hAnsi="Times New Roman" w:cs="Times New Roman"/>
          <w:b/>
          <w:bCs/>
          <w:sz w:val="24"/>
        </w:rPr>
        <w:t xml:space="preserve"> </w:t>
      </w:r>
      <w:r>
        <w:rPr>
          <w:rFonts w:ascii="Times New Roman" w:hAnsi="Times New Roman" w:cs="Times New Roman" w:hint="eastAsia"/>
          <w:b/>
          <w:bCs/>
          <w:sz w:val="24"/>
        </w:rPr>
        <w:t>S</w:t>
      </w:r>
      <w:r>
        <w:rPr>
          <w:rFonts w:ascii="Times New Roman" w:hAnsi="Times New Roman" w:cs="Times New Roman" w:hint="eastAsia"/>
          <w:sz w:val="24"/>
        </w:rPr>
        <w:t>4b</w:t>
      </w:r>
      <w:r>
        <w:rPr>
          <w:rFonts w:ascii="Times New Roman" w:hAnsi="Times New Roman" w:cs="Times New Roman"/>
          <w:sz w:val="24"/>
        </w:rPr>
        <w:t xml:space="preserve"> further quantifies this trend, showing that both the response value and recovery percentage decreased monotonically within 70 min. This behavior suggests that the </w:t>
      </w:r>
      <w:proofErr w:type="spellStart"/>
      <w:r>
        <w:rPr>
          <w:rFonts w:ascii="Times New Roman" w:hAnsi="Times New Roman" w:cs="Times New Roman"/>
          <w:sz w:val="24"/>
        </w:rPr>
        <w:t>ZnO</w:t>
      </w:r>
      <w:proofErr w:type="spellEnd"/>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was temporarily magnetized as its magnetic moments became aligned under the external magnetic field; once the field was removed, the moments gradually returned to a disordered state, accompanied by recovery of the gas-sensing properties to their initial non-magnetized state.</w:t>
      </w:r>
    </w:p>
    <w:p w14:paraId="32A15016" w14:textId="77777777" w:rsidR="00E91A01" w:rsidRDefault="00000000">
      <w:pPr>
        <w:widowControl/>
        <w:spacing w:after="160" w:line="278" w:lineRule="auto"/>
        <w:jc w:val="left"/>
        <w:rPr>
          <w:rFonts w:ascii="Times New Roman" w:hAnsi="Times New Roman" w:cs="Times New Roman"/>
          <w:sz w:val="24"/>
        </w:rPr>
      </w:pPr>
      <w:r>
        <w:rPr>
          <w:rFonts w:ascii="Times New Roman" w:hAnsi="Times New Roman" w:cs="Times New Roman"/>
          <w:sz w:val="24"/>
        </w:rPr>
        <w:br w:type="page"/>
      </w:r>
    </w:p>
    <w:p w14:paraId="718A262B" w14:textId="77777777" w:rsidR="00E91A01" w:rsidRDefault="00000000">
      <w:pPr>
        <w:widowControl/>
        <w:spacing w:after="120" w:line="360" w:lineRule="auto"/>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A24AB60" wp14:editId="1BCF7CFC">
            <wp:extent cx="5274310" cy="3171825"/>
            <wp:effectExtent l="0" t="0" r="2540" b="9525"/>
            <wp:docPr id="563280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8077"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171825"/>
                    </a:xfrm>
                    <a:prstGeom prst="rect">
                      <a:avLst/>
                    </a:prstGeom>
                    <a:noFill/>
                    <a:ln>
                      <a:noFill/>
                    </a:ln>
                  </pic:spPr>
                </pic:pic>
              </a:graphicData>
            </a:graphic>
          </wp:inline>
        </w:drawing>
      </w:r>
    </w:p>
    <w:p w14:paraId="5BE73914" w14:textId="77777777" w:rsidR="00E91A01" w:rsidRDefault="00000000">
      <w:pPr>
        <w:widowControl/>
        <w:spacing w:after="120"/>
        <w:jc w:val="center"/>
        <w:rPr>
          <w:rFonts w:ascii="Times New Roman" w:hAnsi="Times New Roman" w:cs="Times New Roman"/>
          <w:sz w:val="24"/>
        </w:rPr>
      </w:pPr>
      <w:r>
        <w:rPr>
          <w:rFonts w:ascii="Times New Roman" w:hAnsi="Times New Roman" w:cs="Times New Roman"/>
          <w:b/>
          <w:bCs/>
          <w:sz w:val="24"/>
        </w:rPr>
        <w:t>Figure S</w:t>
      </w:r>
      <w:r>
        <w:rPr>
          <w:rFonts w:ascii="Times New Roman" w:hAnsi="Times New Roman" w:cs="Times New Roman"/>
          <w:sz w:val="24"/>
        </w:rPr>
        <w:t xml:space="preserve">5. </w:t>
      </w:r>
      <w:r>
        <w:rPr>
          <w:rFonts w:ascii="Times New Roman" w:hAnsi="Times New Roman" w:cs="Times New Roman" w:hint="eastAsia"/>
          <w:sz w:val="24"/>
        </w:rPr>
        <w:t xml:space="preserve">(a-c) </w:t>
      </w:r>
      <w:r>
        <w:rPr>
          <w:rFonts w:ascii="Times New Roman" w:hAnsi="Times New Roman" w:cs="Times New Roman"/>
          <w:sz w:val="24"/>
        </w:rPr>
        <w:t>Optimized adsorption states and adsorption energies of H</w:t>
      </w:r>
      <w:r>
        <w:rPr>
          <w:rFonts w:ascii="Times New Roman" w:hAnsi="Times New Roman" w:cs="Times New Roman" w:hint="eastAsia"/>
          <w:sz w:val="24"/>
          <w:vertAlign w:val="subscript"/>
        </w:rPr>
        <w:t>2</w:t>
      </w:r>
      <w:r>
        <w:rPr>
          <w:rFonts w:ascii="Times New Roman" w:hAnsi="Times New Roman" w:cs="Times New Roman"/>
          <w:sz w:val="24"/>
        </w:rPr>
        <w:t>S, NH</w:t>
      </w:r>
      <w:r>
        <w:rPr>
          <w:rFonts w:ascii="Times New Roman" w:hAnsi="Times New Roman" w:cs="Times New Roman" w:hint="eastAsia"/>
          <w:sz w:val="24"/>
          <w:vertAlign w:val="subscript"/>
        </w:rPr>
        <w:t>3</w:t>
      </w:r>
      <w:r>
        <w:rPr>
          <w:rFonts w:ascii="Times New Roman" w:hAnsi="Times New Roman" w:cs="Times New Roman"/>
          <w:sz w:val="24"/>
        </w:rPr>
        <w:t>, and SO</w:t>
      </w:r>
      <w:r>
        <w:rPr>
          <w:rFonts w:ascii="Times New Roman" w:hAnsi="Times New Roman" w:cs="Times New Roman" w:hint="eastAsia"/>
          <w:sz w:val="24"/>
          <w:vertAlign w:val="subscript"/>
        </w:rPr>
        <w:t>2</w:t>
      </w:r>
      <w:r>
        <w:rPr>
          <w:rFonts w:ascii="Times New Roman" w:hAnsi="Times New Roman" w:cs="Times New Roman"/>
          <w:sz w:val="24"/>
        </w:rPr>
        <w:t xml:space="preserve"> molecules on </w:t>
      </w:r>
      <w:proofErr w:type="spellStart"/>
      <w:r>
        <w:rPr>
          <w:rFonts w:ascii="Times New Roman" w:hAnsi="Times New Roman" w:cs="Times New Roman"/>
          <w:sz w:val="24"/>
        </w:rPr>
        <w:t>Co₃O</w:t>
      </w:r>
      <w:proofErr w:type="spellEnd"/>
      <w:r>
        <w:rPr>
          <w:rFonts w:ascii="Times New Roman" w:hAnsi="Times New Roman" w:cs="Times New Roman"/>
          <w:sz w:val="24"/>
        </w:rPr>
        <w:t>₄ surfaces.</w:t>
      </w:r>
      <w:r>
        <w:rPr>
          <w:rFonts w:ascii="Times New Roman" w:hAnsi="Times New Roman" w:cs="Times New Roman" w:hint="eastAsia"/>
          <w:sz w:val="24"/>
        </w:rPr>
        <w:t xml:space="preserve"> (d-e)</w:t>
      </w:r>
      <w:r>
        <w:rPr>
          <w:rFonts w:ascii="Times New Roman" w:hAnsi="Times New Roman" w:cs="Times New Roman"/>
          <w:sz w:val="24"/>
        </w:rPr>
        <w:t xml:space="preserve"> Optimized adsorption states and adsorption energies of H</w:t>
      </w:r>
      <w:r>
        <w:rPr>
          <w:rFonts w:ascii="Times New Roman" w:hAnsi="Times New Roman" w:cs="Times New Roman" w:hint="eastAsia"/>
          <w:sz w:val="24"/>
          <w:vertAlign w:val="subscript"/>
        </w:rPr>
        <w:t>2</w:t>
      </w:r>
      <w:r>
        <w:rPr>
          <w:rFonts w:ascii="Times New Roman" w:hAnsi="Times New Roman" w:cs="Times New Roman"/>
          <w:sz w:val="24"/>
        </w:rPr>
        <w:t>S, NH</w:t>
      </w:r>
      <w:r>
        <w:rPr>
          <w:rFonts w:ascii="Times New Roman" w:hAnsi="Times New Roman" w:cs="Times New Roman" w:hint="eastAsia"/>
          <w:sz w:val="24"/>
          <w:vertAlign w:val="subscript"/>
        </w:rPr>
        <w:t>3</w:t>
      </w:r>
      <w:r>
        <w:rPr>
          <w:rFonts w:ascii="Times New Roman" w:hAnsi="Times New Roman" w:cs="Times New Roman"/>
          <w:sz w:val="24"/>
        </w:rPr>
        <w:t>, and SO</w:t>
      </w:r>
      <w:r>
        <w:rPr>
          <w:rFonts w:ascii="Times New Roman" w:hAnsi="Times New Roman" w:cs="Times New Roman" w:hint="eastAsia"/>
          <w:sz w:val="24"/>
          <w:vertAlign w:val="subscript"/>
        </w:rPr>
        <w:t>2</w:t>
      </w:r>
      <w:r>
        <w:rPr>
          <w:rFonts w:ascii="Times New Roman" w:hAnsi="Times New Roman" w:cs="Times New Roman"/>
          <w:sz w:val="24"/>
        </w:rPr>
        <w:t xml:space="preserve"> molecules on </w:t>
      </w:r>
      <w:proofErr w:type="spellStart"/>
      <w:r>
        <w:rPr>
          <w:rFonts w:ascii="Times New Roman" w:hAnsi="Times New Roman" w:cs="Times New Roman"/>
          <w:sz w:val="24"/>
        </w:rPr>
        <w:t>ZnO</w:t>
      </w:r>
      <w:proofErr w:type="spellEnd"/>
      <w:r>
        <w:rPr>
          <w:rFonts w:ascii="Times New Roman" w:hAnsi="Times New Roman" w:cs="Times New Roman"/>
          <w:sz w:val="24"/>
        </w:rPr>
        <w:t xml:space="preserve"> surfaces.</w:t>
      </w:r>
    </w:p>
    <w:p w14:paraId="50859F0A" w14:textId="77777777" w:rsidR="00E91A01" w:rsidRDefault="00000000">
      <w:pPr>
        <w:widowControl/>
        <w:spacing w:after="120" w:line="360" w:lineRule="auto"/>
        <w:ind w:firstLineChars="100" w:firstLine="240"/>
        <w:rPr>
          <w:rFonts w:ascii="Times New Roman" w:hAnsi="Times New Roman" w:cs="Times New Roman"/>
          <w:sz w:val="24"/>
        </w:rPr>
      </w:pPr>
      <w:r>
        <w:rPr>
          <w:rFonts w:ascii="Times New Roman" w:hAnsi="Times New Roman" w:cs="Times New Roman"/>
          <w:sz w:val="24"/>
        </w:rPr>
        <w:t>The adsorption-energy results further confirm the dominant role of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-related sites in the surface adsorption process of the </w:t>
      </w:r>
      <w:proofErr w:type="spellStart"/>
      <w:r>
        <w:rPr>
          <w:rFonts w:ascii="Times New Roman" w:hAnsi="Times New Roman" w:cs="Times New Roman"/>
          <w:sz w:val="24"/>
        </w:rPr>
        <w:t>ZnO</w:t>
      </w:r>
      <w:proofErr w:type="spellEnd"/>
      <w:r>
        <w:rPr>
          <w:rFonts w:ascii="Times New Roman" w:hAnsi="Times New Roman" w:cs="Times New Roman" w:hint="eastAsia"/>
          <w:sz w:val="24"/>
        </w:rPr>
        <w:t>/</w:t>
      </w:r>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As shown in </w:t>
      </w:r>
      <w:r>
        <w:rPr>
          <w:rFonts w:ascii="Times New Roman" w:hAnsi="Times New Roman" w:cs="Times New Roman"/>
          <w:b/>
          <w:bCs/>
          <w:sz w:val="24"/>
        </w:rPr>
        <w:t>Fig. S</w:t>
      </w:r>
      <w:r>
        <w:rPr>
          <w:rFonts w:ascii="Times New Roman" w:hAnsi="Times New Roman" w:cs="Times New Roman"/>
          <w:sz w:val="24"/>
        </w:rPr>
        <w:t>5</w:t>
      </w:r>
      <w:r>
        <w:rPr>
          <w:rFonts w:ascii="Times New Roman" w:hAnsi="Times New Roman" w:cs="Times New Roman" w:hint="eastAsia"/>
          <w:sz w:val="24"/>
        </w:rPr>
        <w:t xml:space="preserve"> a-f</w:t>
      </w:r>
      <w:r>
        <w:rPr>
          <w:rFonts w:ascii="Times New Roman" w:hAnsi="Times New Roman" w:cs="Times New Roman"/>
          <w:sz w:val="24"/>
        </w:rPr>
        <w:t>, the adsorption energy of H</w:t>
      </w:r>
      <w:r>
        <w:rPr>
          <w:rFonts w:ascii="Times New Roman" w:hAnsi="Times New Roman" w:cs="Times New Roman" w:hint="eastAsia"/>
          <w:sz w:val="24"/>
          <w:vertAlign w:val="subscript"/>
        </w:rPr>
        <w:t>2</w:t>
      </w:r>
      <w:r>
        <w:rPr>
          <w:rFonts w:ascii="Times New Roman" w:hAnsi="Times New Roman" w:cs="Times New Roman"/>
          <w:sz w:val="24"/>
        </w:rPr>
        <w:t>S on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is −2.281 eV, which is much more negative than that on </w:t>
      </w:r>
      <w:proofErr w:type="spellStart"/>
      <w:r>
        <w:rPr>
          <w:rFonts w:ascii="Times New Roman" w:hAnsi="Times New Roman" w:cs="Times New Roman"/>
          <w:sz w:val="24"/>
        </w:rPr>
        <w:t>ZnO</w:t>
      </w:r>
      <w:proofErr w:type="spellEnd"/>
      <w:r>
        <w:rPr>
          <w:rFonts w:ascii="Times New Roman" w:hAnsi="Times New Roman" w:cs="Times New Roman"/>
          <w:sz w:val="24"/>
        </w:rPr>
        <w:t>, −1.269 eV, with a difference of about 1.01 eV. This indicates that H</w:t>
      </w:r>
      <w:r>
        <w:rPr>
          <w:rFonts w:ascii="Times New Roman" w:hAnsi="Times New Roman" w:cs="Times New Roman" w:hint="eastAsia"/>
          <w:sz w:val="24"/>
          <w:vertAlign w:val="subscript"/>
        </w:rPr>
        <w:t>2</w:t>
      </w:r>
      <w:r>
        <w:rPr>
          <w:rFonts w:ascii="Times New Roman" w:hAnsi="Times New Roman" w:cs="Times New Roman"/>
          <w:sz w:val="24"/>
        </w:rPr>
        <w:t>S molecules are thermodynamically more favorable to adsorb on</w:t>
      </w:r>
      <w:r>
        <w:rPr>
          <w:rFonts w:ascii="Times New Roman" w:hAnsi="Times New Roman" w:cs="Times New Roman" w:hint="eastAsia"/>
          <w:sz w:val="24"/>
        </w:rPr>
        <w:t xml:space="preserve"> the</w:t>
      </w:r>
      <w:r>
        <w:rPr>
          <w:rFonts w:ascii="Times New Roman" w:hAnsi="Times New Roman" w:cs="Times New Roman"/>
          <w:sz w:val="24"/>
        </w:rPr>
        <w:t xml:space="preserv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-related surface or interface sites than on </w:t>
      </w:r>
      <w:proofErr w:type="spellStart"/>
      <w:r>
        <w:rPr>
          <w:rFonts w:ascii="Times New Roman" w:hAnsi="Times New Roman" w:cs="Times New Roman"/>
          <w:sz w:val="24"/>
        </w:rPr>
        <w:t>ZnO</w:t>
      </w:r>
      <w:proofErr w:type="spellEnd"/>
      <w:r>
        <w:rPr>
          <w:rFonts w:ascii="Times New Roman" w:hAnsi="Times New Roman" w:cs="Times New Roman"/>
          <w:sz w:val="24"/>
        </w:rPr>
        <w:t>. Notably, a similar tendency is also observed for SO</w:t>
      </w:r>
      <w:r>
        <w:rPr>
          <w:rFonts w:ascii="Times New Roman" w:hAnsi="Times New Roman" w:cs="Times New Roman" w:hint="eastAsia"/>
          <w:sz w:val="24"/>
          <w:vertAlign w:val="subscript"/>
        </w:rPr>
        <w:t>2</w:t>
      </w:r>
      <w:r>
        <w:rPr>
          <w:rFonts w:ascii="Times New Roman" w:hAnsi="Times New Roman" w:cs="Times New Roman"/>
          <w:sz w:val="24"/>
        </w:rPr>
        <w:t xml:space="preserve"> and NH</w:t>
      </w:r>
      <w:r>
        <w:rPr>
          <w:rFonts w:ascii="Times New Roman" w:hAnsi="Times New Roman" w:cs="Times New Roman" w:hint="eastAsia"/>
          <w:sz w:val="24"/>
          <w:vertAlign w:val="subscript"/>
        </w:rPr>
        <w:t>3</w:t>
      </w:r>
      <w:r>
        <w:rPr>
          <w:rFonts w:ascii="Times New Roman" w:hAnsi="Times New Roman" w:cs="Times New Roman"/>
          <w:sz w:val="24"/>
        </w:rPr>
        <w:t>: the adsorption energies of SO</w:t>
      </w:r>
      <w:r>
        <w:rPr>
          <w:rFonts w:ascii="Times New Roman" w:hAnsi="Times New Roman" w:cs="Times New Roman" w:hint="eastAsia"/>
          <w:sz w:val="24"/>
          <w:vertAlign w:val="subscript"/>
        </w:rPr>
        <w:t>2</w:t>
      </w:r>
      <w:r>
        <w:rPr>
          <w:rFonts w:ascii="Times New Roman" w:hAnsi="Times New Roman" w:cs="Times New Roman"/>
          <w:sz w:val="24"/>
        </w:rPr>
        <w:t xml:space="preserve"> and NH</w:t>
      </w:r>
      <w:r>
        <w:rPr>
          <w:rFonts w:ascii="Times New Roman" w:hAnsi="Times New Roman" w:cs="Times New Roman" w:hint="eastAsia"/>
          <w:sz w:val="24"/>
          <w:vertAlign w:val="subscript"/>
        </w:rPr>
        <w:t>3</w:t>
      </w:r>
      <w:r>
        <w:rPr>
          <w:rFonts w:ascii="Times New Roman" w:hAnsi="Times New Roman" w:cs="Times New Roman"/>
          <w:sz w:val="24"/>
        </w:rPr>
        <w:t xml:space="preserve"> on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are −7.644 and −3.502 eV, respectively, which are significantly more negative than those on </w:t>
      </w:r>
      <w:proofErr w:type="spellStart"/>
      <w:r>
        <w:rPr>
          <w:rFonts w:ascii="Times New Roman" w:hAnsi="Times New Roman" w:cs="Times New Roman"/>
          <w:sz w:val="24"/>
        </w:rPr>
        <w:t>ZnO</w:t>
      </w:r>
      <w:proofErr w:type="spellEnd"/>
      <w:r>
        <w:rPr>
          <w:rFonts w:ascii="Times New Roman" w:hAnsi="Times New Roman" w:cs="Times New Roman"/>
          <w:sz w:val="24"/>
        </w:rPr>
        <w:t xml:space="preserve">, −0.308 and −1.112 eV. These results suggest that, within the </w:t>
      </w:r>
      <w:proofErr w:type="spellStart"/>
      <w:r>
        <w:rPr>
          <w:rFonts w:ascii="Times New Roman" w:hAnsi="Times New Roman" w:cs="Times New Roman"/>
          <w:sz w:val="24"/>
        </w:rPr>
        <w:t>ZnO</w:t>
      </w:r>
      <w:proofErr w:type="spellEnd"/>
      <w:r>
        <w:rPr>
          <w:rFonts w:ascii="Times New Roman" w:hAnsi="Times New Roman" w:cs="Times New Roman" w:hint="eastAsia"/>
          <w:sz w:val="24"/>
        </w:rPr>
        <w:t>/</w:t>
      </w:r>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provides the main adsorption and reaction sites for gas molecules, while </w:t>
      </w:r>
      <w:proofErr w:type="spellStart"/>
      <w:r>
        <w:rPr>
          <w:rFonts w:ascii="Times New Roman" w:hAnsi="Times New Roman" w:cs="Times New Roman"/>
          <w:sz w:val="24"/>
        </w:rPr>
        <w:t>ZnO</w:t>
      </w:r>
      <w:proofErr w:type="spellEnd"/>
      <w:r>
        <w:rPr>
          <w:rFonts w:ascii="Times New Roman" w:hAnsi="Times New Roman" w:cs="Times New Roman"/>
          <w:sz w:val="24"/>
        </w:rPr>
        <w:t xml:space="preserve"> mainly participates in constructing the p–n heterointerface and regulating charge transport. However, the limited H</w:t>
      </w:r>
      <w:r>
        <w:rPr>
          <w:rFonts w:ascii="Times New Roman" w:hAnsi="Times New Roman" w:cs="Times New Roman" w:hint="eastAsia"/>
          <w:sz w:val="24"/>
          <w:vertAlign w:val="subscript"/>
        </w:rPr>
        <w:t>2</w:t>
      </w:r>
      <w:r>
        <w:rPr>
          <w:rFonts w:ascii="Times New Roman" w:hAnsi="Times New Roman" w:cs="Times New Roman"/>
          <w:sz w:val="24"/>
        </w:rPr>
        <w:t>S response of pristine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indicates that strong adsorption alone is insufficient to produce superior sensing performance. Therefore,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mainly promotes H</w:t>
      </w:r>
      <w:r>
        <w:rPr>
          <w:rFonts w:ascii="Times New Roman" w:hAnsi="Times New Roman" w:cs="Times New Roman" w:hint="eastAsia"/>
          <w:sz w:val="24"/>
          <w:vertAlign w:val="subscript"/>
        </w:rPr>
        <w:t>2</w:t>
      </w:r>
      <w:r>
        <w:rPr>
          <w:rFonts w:ascii="Times New Roman" w:hAnsi="Times New Roman" w:cs="Times New Roman"/>
          <w:sz w:val="24"/>
        </w:rPr>
        <w:t xml:space="preserve">S adsorption and surface reaction, whereas the </w:t>
      </w:r>
      <w:proofErr w:type="spellStart"/>
      <w:r>
        <w:rPr>
          <w:rFonts w:ascii="Times New Roman" w:hAnsi="Times New Roman" w:cs="Times New Roman"/>
          <w:sz w:val="24"/>
        </w:rPr>
        <w:t>ZnO</w:t>
      </w:r>
      <w:proofErr w:type="spellEnd"/>
      <w:r>
        <w:rPr>
          <w:rFonts w:ascii="Times New Roman" w:hAnsi="Times New Roman" w:cs="Times New Roman" w:hint="eastAsia"/>
          <w:sz w:val="24"/>
        </w:rPr>
        <w:t>/</w:t>
      </w:r>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p–n junction converts the local adsorption-induced charge variation into pronounced resistance modulation.</w:t>
      </w:r>
    </w:p>
    <w:p w14:paraId="31331641" w14:textId="77777777" w:rsidR="00E91A01" w:rsidRDefault="00000000">
      <w:pPr>
        <w:widowControl/>
        <w:spacing w:after="120" w:line="360" w:lineRule="auto"/>
        <w:ind w:firstLineChars="200" w:firstLine="480"/>
        <w:rPr>
          <w:rFonts w:ascii="Times New Roman" w:hAnsi="Times New Roman" w:cs="Times New Roman"/>
          <w:sz w:val="24"/>
        </w:rPr>
      </w:pPr>
      <w:r>
        <w:rPr>
          <w:rFonts w:ascii="Times New Roman" w:hAnsi="Times New Roman" w:cs="Times New Roman"/>
          <w:sz w:val="24"/>
        </w:rPr>
        <w:lastRenderedPageBreak/>
        <w:t>From the perspective of barrier modulation, the enhanced H</w:t>
      </w:r>
      <w:r>
        <w:rPr>
          <w:rFonts w:ascii="Times New Roman" w:hAnsi="Times New Roman" w:cs="Times New Roman"/>
          <w:sz w:val="24"/>
          <w:vertAlign w:val="subscript"/>
        </w:rPr>
        <w:t>2</w:t>
      </w:r>
      <w:r>
        <w:rPr>
          <w:rFonts w:ascii="Times New Roman" w:hAnsi="Times New Roman" w:cs="Times New Roman"/>
          <w:sz w:val="24"/>
        </w:rPr>
        <w:t xml:space="preserve">S sensing performance of the </w:t>
      </w:r>
      <w:proofErr w:type="spellStart"/>
      <w:r>
        <w:rPr>
          <w:rFonts w:ascii="Times New Roman" w:hAnsi="Times New Roman" w:cs="Times New Roman"/>
          <w:sz w:val="24"/>
        </w:rPr>
        <w:t>ZnO</w:t>
      </w:r>
      <w:proofErr w:type="spellEnd"/>
      <w:r>
        <w:rPr>
          <w:rFonts w:ascii="Times New Roman" w:hAnsi="Times New Roman" w:cs="Times New Roman" w:hint="eastAsia"/>
          <w:sz w:val="24"/>
        </w:rPr>
        <w:t>/</w:t>
      </w:r>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heterostructure arises from the synergistic effect of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-dominated surface reactions and </w:t>
      </w:r>
      <w:proofErr w:type="spellStart"/>
      <w:r>
        <w:rPr>
          <w:rFonts w:ascii="Times New Roman" w:hAnsi="Times New Roman" w:cs="Times New Roman"/>
          <w:sz w:val="24"/>
        </w:rPr>
        <w:t>ZnO</w:t>
      </w:r>
      <w:proofErr w:type="spellEnd"/>
      <w:r>
        <w:rPr>
          <w:rFonts w:ascii="Times New Roman" w:hAnsi="Times New Roman" w:cs="Times New Roman" w:hint="eastAsia"/>
          <w:sz w:val="24"/>
        </w:rPr>
        <w:t>/</w:t>
      </w:r>
      <w:r>
        <w:rPr>
          <w:rFonts w:ascii="Times New Roman" w:hAnsi="Times New Roman" w:cs="Times New Roman"/>
          <w:sz w:val="24"/>
        </w:rPr>
        <w:t>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interfacial barrier regulation. Pure </w:t>
      </w:r>
      <w:proofErr w:type="spellStart"/>
      <w:r>
        <w:rPr>
          <w:rFonts w:ascii="Times New Roman" w:hAnsi="Times New Roman" w:cs="Times New Roman"/>
          <w:sz w:val="24"/>
        </w:rPr>
        <w:t>ZnO</w:t>
      </w:r>
      <w:proofErr w:type="spellEnd"/>
      <w:r>
        <w:rPr>
          <w:rFonts w:ascii="Times New Roman" w:hAnsi="Times New Roman" w:cs="Times New Roman"/>
          <w:sz w:val="24"/>
        </w:rPr>
        <w:t xml:space="preserve"> and pure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 show limited H</w:t>
      </w:r>
      <w:r>
        <w:rPr>
          <w:rFonts w:ascii="Times New Roman" w:hAnsi="Times New Roman" w:cs="Times New Roman"/>
          <w:sz w:val="24"/>
          <w:vertAlign w:val="subscript"/>
        </w:rPr>
        <w:t>2</w:t>
      </w:r>
      <w:r>
        <w:rPr>
          <w:rFonts w:ascii="Times New Roman" w:hAnsi="Times New Roman" w:cs="Times New Roman"/>
          <w:sz w:val="24"/>
        </w:rPr>
        <w:t xml:space="preserve">S responses under identical conditions, indicating that the p–n heterointerface is crucial for signal amplification. When n-type </w:t>
      </w:r>
      <w:proofErr w:type="spellStart"/>
      <w:r>
        <w:rPr>
          <w:rFonts w:ascii="Times New Roman" w:hAnsi="Times New Roman" w:cs="Times New Roman"/>
          <w:sz w:val="24"/>
        </w:rPr>
        <w:t>ZnO</w:t>
      </w:r>
      <w:proofErr w:type="spellEnd"/>
      <w:r>
        <w:rPr>
          <w:rFonts w:ascii="Times New Roman" w:hAnsi="Times New Roman" w:cs="Times New Roman"/>
          <w:sz w:val="24"/>
        </w:rPr>
        <w:t xml:space="preserve"> contacts p-type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carrier diffusion occurs until Fermi-level equilibrium is reached, resulting in band bending</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{"citationID":"cig8ssIn","properties":{"unsorted":false,"formattedCitation":"\\super 1\\nosupersub{}","plainCitation":"1","noteIndex":0},"citationItems":[{"id":896,"uris":["http://zotero.org/users/local/8UVaiPRU/items/E2AJWT5Y"],"itemData":{"id":896,"type":"article-journal","abstract":"The author provides an opinion on direct experimental evidence available to support the “ionosorption theory” often employed to interpret “electrophysical” measurements made during a gas sensing experiment. This article then aims to provide an alternative framework of a “surface conductivity” model based on recent advances in theoretical and experimental investigations in solid state physics, and to use this framework as a guide toward design rules for future improvement of gas sensor performance.","container-title":"ACS Sensors","DOI":"10.1021/acssensors.1c01727","ISSN":"2379-3694, 2379-3694","issue":"10","journalAbbreviation":"ACS Sens.","language":"en","license":"https://doi.org/10.15223/policy-029","page":"3509-3516","source":"DOI.org (Crossref)","title":"Do We Need “Ionosorbed” Oxygen Species? (Or, “A Surface Conductivity Model of Gas Sensitivity in Metal Oxides Based on Variable Surface Oxygen Vacancy Concentration”)","title-short":"Do We Need “Ionosorbed” Oxygen Species?","volume":"6","author":[{"family":"Blackman","given":"Christopher"}],"issued":{"date-parts":[["2021",10,22]]}}}],"schema":"https://github.com/citation-style-language/schema/raw/master/csl-citation.json"} </w:instrText>
      </w:r>
      <w:r>
        <w:rPr>
          <w:rFonts w:ascii="Times New Roman" w:hAnsi="Times New Roman" w:cs="Times New Roman"/>
          <w:sz w:val="24"/>
        </w:rPr>
        <w:fldChar w:fldCharType="separate"/>
      </w:r>
      <w:r>
        <w:rPr>
          <w:rFonts w:ascii="Times New Roman" w:hAnsi="Times New Roman" w:cs="Times New Roman"/>
          <w:kern w:val="0"/>
          <w:sz w:val="24"/>
          <w:vertAlign w:val="superscript"/>
        </w:rPr>
        <w:t>1</w:t>
      </w:r>
      <w:r>
        <w:rPr>
          <w:rFonts w:ascii="Times New Roman" w:hAnsi="Times New Roman" w:cs="Times New Roman"/>
          <w:sz w:val="24"/>
        </w:rPr>
        <w:fldChar w:fldCharType="end"/>
      </w:r>
      <w:r>
        <w:rPr>
          <w:rFonts w:ascii="Times New Roman" w:hAnsi="Times New Roman" w:cs="Times New Roman"/>
          <w:sz w:val="24"/>
        </w:rPr>
        <w:t>and an additional interfacial potential barrier</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{"citationID":"nu777GvJ","properties":{"unsorted":false,"formattedCitation":"\\super 2\\nosupersub{}","plainCitation":"2","noteIndex":0},"citationItems":[{"id":889,"uris":["http://zotero.org/users/local/8UVaiPRU/items/W3KBUKK2"],"itemData":{"id":889,"type":"article-journal","abstract":"Identifying disease biomarkers and detecting hazardous, explosive, ﬂammable, and polluting gases and chemicals with extremely sensitive and selective sensor devices remains a challenging and time-consuming research challenge. Due to their exceptional characteristics, semiconducting metal oxides (SMOxs) have received a lot of attention in terms of the development of various types of sensors in recent years. The key performance indicators of SMOx-based sensors are their sensitivity, selectivity, recovery time, and steady response over time. SMOx-based sensors are discussed in this review based on their different properties. Surface properties of the functional material, such as its (nano)structure, morphology, and crystallinity, greatly inﬂuence sensor performance. A few examples of the complicated and poorly understood processes involved in SMOx sensing systems are adsorption and chemisorption, charge transfers, and oxygen migration. The future prospects of SMOx-based gas sensors, chemical sensors, and biological sensors are also discussed.","container-title":"Sensors","DOI":"10.3390/s23156849","ISSN":"1424-8220","issue":"15","journalAbbreviation":"Sensors","language":"en","page":"6849","source":"DOI.org (Crossref)","title":"Road Map of Semiconductor Metal-Oxide-Based Sensors: A Review","title-short":"Road Map of Semiconductor Metal-Oxide-Based Sensors","volume":"23","author":[{"family":"Dutta","given":"Taposhree"},{"family":"Noushin","given":"Tanzila"},{"family":"Tabassum","given":"Shawana"},{"family":"Mishra","given":"Satyendra K."}],"issued":{"date-parts":[["2023",8,1]]}}}],"schema":"https://github.com/citation-style-language/schema/raw/master/csl-citation.json"} </w:instrText>
      </w:r>
      <w:r>
        <w:rPr>
          <w:rFonts w:ascii="Times New Roman" w:hAnsi="Times New Roman" w:cs="Times New Roman"/>
          <w:sz w:val="24"/>
        </w:rPr>
        <w:fldChar w:fldCharType="separate"/>
      </w:r>
      <w:r>
        <w:rPr>
          <w:rFonts w:ascii="Times New Roman" w:hAnsi="Times New Roman" w:cs="Times New Roman"/>
          <w:kern w:val="0"/>
          <w:sz w:val="24"/>
          <w:vertAlign w:val="superscript"/>
        </w:rPr>
        <w:t>2</w:t>
      </w:r>
      <w:r>
        <w:rPr>
          <w:rFonts w:ascii="Times New Roman" w:hAnsi="Times New Roman" w:cs="Times New Roman"/>
          <w:sz w:val="24"/>
        </w:rPr>
        <w:fldChar w:fldCharType="end"/>
      </w:r>
      <w:r>
        <w:rPr>
          <w:rFonts w:ascii="Times New Roman" w:hAnsi="Times New Roman" w:cs="Times New Roman"/>
          <w:sz w:val="24"/>
        </w:rPr>
        <w:t>. This barrier makes charge transport highly sensitive to gas-induced surface charge changes.</w:t>
      </w:r>
      <w:r>
        <w:rPr>
          <w:rFonts w:ascii="Times New Roman" w:hAnsi="Times New Roman" w:cs="Times New Roman" w:hint="eastAsia"/>
          <w:sz w:val="24"/>
        </w:rPr>
        <w:t xml:space="preserve"> </w:t>
      </w:r>
      <w:r>
        <w:rPr>
          <w:rFonts w:ascii="Times New Roman" w:hAnsi="Times New Roman" w:cs="Times New Roman"/>
          <w:sz w:val="24"/>
        </w:rPr>
        <w:t xml:space="preserve">In air, </w:t>
      </w:r>
      <w:r w:rsidR="00993B5E" w:rsidRPr="00993B5E">
        <w:rPr>
          <w:rFonts w:ascii="Times New Roman" w:hAnsi="Times New Roman" w:cs="Times New Roman" w:hint="eastAsia"/>
          <w:sz w:val="24"/>
        </w:rPr>
        <w:t>adsorbed</w:t>
      </w:r>
      <w:r>
        <w:rPr>
          <w:rFonts w:ascii="Times New Roman" w:hAnsi="Times New Roman" w:cs="Times New Roman"/>
          <w:sz w:val="24"/>
        </w:rPr>
        <w:t xml:space="preserve"> oxygen captures electrons and forms reactive oxygen species such as O</w:t>
      </w:r>
      <w:r>
        <w:rPr>
          <w:rFonts w:ascii="Times New Roman" w:hAnsi="Times New Roman" w:cs="Times New Roman"/>
          <w:sz w:val="24"/>
          <w:vertAlign w:val="subscript"/>
        </w:rPr>
        <w:t>2</w:t>
      </w:r>
      <w:r>
        <w:rPr>
          <w:rFonts w:ascii="Times New Roman" w:hAnsi="Times New Roman" w:cs="Times New Roman"/>
          <w:sz w:val="24"/>
          <w:vertAlign w:val="superscript"/>
        </w:rPr>
        <w:t>−</w:t>
      </w:r>
      <w:r>
        <w:rPr>
          <w:rFonts w:ascii="Times New Roman" w:hAnsi="Times New Roman" w:cs="Times New Roman"/>
          <w:sz w:val="24"/>
        </w:rPr>
        <w:t>. For p-type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this increases hole concentration and strengthens the hole-accumulation layer, promoting hole transport</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{"citationID":"leI2TjAO","properties":{"unsorted":false,"formattedCitation":"\\super 3\\nosupersub{}","plainCitation":"3","noteIndex":0},"citationItems":[{"id":898,"uris":["http://zotero.org/users/local/8UVaiPRU/items/E5TZUQ5B"],"itemData":{"id":898,"type":"article-journal","abstract":"Metal oxide semiconductor (MOS) gas sensors possess extensive applications due to their high sensitivity, low cost, and simplicity. To boost their excellent sensing performance and meet the growing demand for applications, a series of strategies have been developed, such as the surface morphology engineering and function manipulation. Recently, the controlled morphology with exposed high-energy facets and the facet-dependent sensing properties have attracted much attention. Because of its abundant unsaturated active sites, the crystal planes with high surface energy usually serve as promising platform for gas sensing. After a lot of survey of literature, the authors provide a review of recent eﬀorts on engineering crystal structures with exposed highenergy facets of MOS nanomaterials and their improved gas-sensitive performance, emphasis on six kinds of common gas-sensitive MOS including ZnO, SnO2, TiO2, α-Fe2O3, NiO and Cu2O. Also, the relationship between dangling bonds density and gas-sensing properties has been systematically discussed and used as one signiﬁcant factor to evaluate superior sensing surface of MOS. According to the research and calculation, surface engineering by selectively exposing high-energy facets provides an eﬀective way to obtain MOS gas-sensitive materials with superior performance. The understanding of the facet-dependent properties of MOS will assist in and guide the fabrication of more excellent gas sensors in the future.","container-title":"Sensors and Actuators B: Chemical","DOI":"10.1016/j.snb.2018.08.129","ISSN":"09254005","journalAbbreviation":"Sensors and Actuators B: Chemical","language":"en","page":"604-633","source":"DOI.org (Crossref)","title":"An overview: Facet-dependent metal oxide semiconductor gas sensors","title-short":"An overview","volume":"277","author":[{"family":"Gao","given":"Xing"},{"family":"Zhang","given":"Tong"}],"issued":{"date-parts":[["2018",12]]}}}],"schema":"https://github.com/citation-style-language/schema/raw/master/csl-citation.json"} </w:instrText>
      </w:r>
      <w:r>
        <w:rPr>
          <w:rFonts w:ascii="Times New Roman" w:hAnsi="Times New Roman" w:cs="Times New Roman"/>
          <w:sz w:val="24"/>
        </w:rPr>
        <w:fldChar w:fldCharType="separate"/>
      </w:r>
      <w:r>
        <w:rPr>
          <w:rFonts w:ascii="Times New Roman" w:hAnsi="Times New Roman" w:cs="Times New Roman"/>
          <w:kern w:val="0"/>
          <w:sz w:val="24"/>
          <w:vertAlign w:val="superscript"/>
        </w:rPr>
        <w:t>3</w:t>
      </w:r>
      <w:r>
        <w:rPr>
          <w:rFonts w:ascii="Times New Roman" w:hAnsi="Times New Roman" w:cs="Times New Roman"/>
          <w:sz w:val="24"/>
        </w:rPr>
        <w:fldChar w:fldCharType="end"/>
      </w:r>
      <w:r>
        <w:rPr>
          <w:rFonts w:ascii="Times New Roman" w:hAnsi="Times New Roman" w:cs="Times New Roman"/>
          <w:sz w:val="24"/>
        </w:rPr>
        <w:t>. Upon H</w:t>
      </w:r>
      <w:r>
        <w:rPr>
          <w:rFonts w:ascii="Times New Roman" w:hAnsi="Times New Roman" w:cs="Times New Roman"/>
          <w:sz w:val="24"/>
          <w:vertAlign w:val="subscript"/>
        </w:rPr>
        <w:t>2</w:t>
      </w:r>
      <w:r>
        <w:rPr>
          <w:rFonts w:ascii="Times New Roman" w:hAnsi="Times New Roman" w:cs="Times New Roman"/>
          <w:sz w:val="24"/>
        </w:rPr>
        <w:t>S exposure, H</w:t>
      </w:r>
      <w:r>
        <w:rPr>
          <w:rFonts w:ascii="Times New Roman" w:hAnsi="Times New Roman" w:cs="Times New Roman"/>
          <w:sz w:val="24"/>
          <w:vertAlign w:val="subscript"/>
        </w:rPr>
        <w:t>2</w:t>
      </w:r>
      <w:r>
        <w:rPr>
          <w:rFonts w:ascii="Times New Roman" w:hAnsi="Times New Roman" w:cs="Times New Roman"/>
          <w:sz w:val="24"/>
        </w:rPr>
        <w:t>S preferentially reacts with adsorbed oxygen species on</w:t>
      </w:r>
      <w:r>
        <w:rPr>
          <w:rFonts w:ascii="Times New Roman" w:hAnsi="Times New Roman" w:cs="Times New Roman" w:hint="eastAsia"/>
          <w:sz w:val="24"/>
        </w:rPr>
        <w:t xml:space="preserve"> the</w:t>
      </w:r>
      <w:r>
        <w:rPr>
          <w:rFonts w:ascii="Times New Roman" w:hAnsi="Times New Roman" w:cs="Times New Roman"/>
          <w:sz w:val="24"/>
        </w:rPr>
        <w:t xml:space="preserve"> Co</w:t>
      </w:r>
      <w:r>
        <w:rPr>
          <w:rFonts w:ascii="Times New Roman" w:hAnsi="Times New Roman" w:cs="Times New Roman" w:hint="eastAsia"/>
          <w:sz w:val="24"/>
          <w:vertAlign w:val="subscript"/>
        </w:rPr>
        <w:t>3</w:t>
      </w:r>
      <w:r>
        <w:rPr>
          <w:rFonts w:ascii="Times New Roman" w:hAnsi="Times New Roman" w:cs="Times New Roman"/>
          <w:sz w:val="24"/>
        </w:rPr>
        <w:t>O</w:t>
      </w:r>
      <w:r>
        <w:rPr>
          <w:rFonts w:ascii="Times New Roman" w:hAnsi="Times New Roman" w:cs="Times New Roman" w:hint="eastAsia"/>
          <w:sz w:val="24"/>
          <w:vertAlign w:val="subscript"/>
        </w:rPr>
        <w:t>4</w:t>
      </w:r>
      <w:r>
        <w:rPr>
          <w:rFonts w:ascii="Times New Roman" w:hAnsi="Times New Roman" w:cs="Times New Roman"/>
          <w:sz w:val="24"/>
        </w:rPr>
        <w:t xml:space="preserve">-rich surface and interfacial regions, releasing electrons that recombine with holes, thereby reducing hole concentration and weakening hole transport. </w:t>
      </w:r>
      <w:r>
        <w:rPr>
          <w:rFonts w:ascii="Times New Roman" w:hAnsi="Times New Roman" w:cs="Times New Roman" w:hint="eastAsia"/>
          <w:sz w:val="24"/>
        </w:rPr>
        <w:t xml:space="preserve">Conversely, on the </w:t>
      </w:r>
      <w:proofErr w:type="spellStart"/>
      <w:r>
        <w:rPr>
          <w:rFonts w:ascii="Times New Roman" w:hAnsi="Times New Roman" w:cs="Times New Roman" w:hint="eastAsia"/>
          <w:sz w:val="24"/>
        </w:rPr>
        <w:t>ZnO</w:t>
      </w:r>
      <w:proofErr w:type="spellEnd"/>
      <w:r>
        <w:rPr>
          <w:rFonts w:ascii="Times New Roman" w:hAnsi="Times New Roman" w:cs="Times New Roman" w:hint="eastAsia"/>
          <w:sz w:val="24"/>
        </w:rPr>
        <w:t xml:space="preserve"> surface, the electron concentration increases and electron transport is enhanced.</w:t>
      </w:r>
    </w:p>
    <w:p w14:paraId="0FE98A5E" w14:textId="77777777" w:rsidR="00E91A01" w:rsidRDefault="00000000">
      <w:pPr>
        <w:widowControl/>
        <w:spacing w:after="120" w:line="360" w:lineRule="auto"/>
        <w:ind w:firstLineChars="100" w:firstLine="240"/>
        <w:rPr>
          <w:rFonts w:ascii="Times New Roman" w:hAnsi="Times New Roman" w:cs="Times New Roman"/>
          <w:sz w:val="24"/>
        </w:rPr>
      </w:pPr>
      <w:r>
        <w:rPr>
          <w:rFonts w:ascii="Times New Roman" w:hAnsi="Times New Roman" w:cs="Times New Roman"/>
          <w:sz w:val="24"/>
        </w:rPr>
        <w:t>Meanwhile, XPS results after H</w:t>
      </w:r>
      <w:r>
        <w:rPr>
          <w:rFonts w:ascii="Times New Roman" w:hAnsi="Times New Roman" w:cs="Times New Roman"/>
          <w:sz w:val="24"/>
          <w:vertAlign w:val="subscript"/>
        </w:rPr>
        <w:t>2</w:t>
      </w:r>
      <w:r>
        <w:rPr>
          <w:rFonts w:ascii="Times New Roman" w:hAnsi="Times New Roman" w:cs="Times New Roman"/>
          <w:sz w:val="24"/>
        </w:rPr>
        <w:t>S exposure reveal sulfide-related surface/interface species</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{"citationID":"V6IwJwRW","properties":{"unsorted":false,"formattedCitation":"\\super 4\\uc0\\u8211{}7\\nosupersub{}","plainCitation":"4–7","noteIndex":0},"citationItems":[{"id":757,"uris":["http://zotero.org/users/local/8UVaiPRU/items/HBFIYSC8"],"itemData":{"id":757,"type":"article-journal","abstract":"Abstract\n            \n              The unsaturated coordination and abundant active sites endow amorphous metals with tremendous potential in improving metal oxide semicon</w:instrText>
      </w:r>
      <w:r>
        <w:rPr>
          <w:rFonts w:ascii="Times New Roman" w:hAnsi="Times New Roman" w:cs="Times New Roman" w:hint="eastAsia"/>
          <w:sz w:val="24"/>
        </w:rPr>
        <w:instrText>ductors</w:instrText>
      </w:r>
      <w:r>
        <w:rPr>
          <w:rFonts w:ascii="Times New Roman" w:hAnsi="Times New Roman" w:cs="Times New Roman" w:hint="eastAsia"/>
          <w:sz w:val="24"/>
        </w:rPr>
        <w:instrText>’</w:instrText>
      </w:r>
      <w:r>
        <w:rPr>
          <w:rFonts w:ascii="Times New Roman" w:hAnsi="Times New Roman" w:cs="Times New Roman" w:hint="eastAsia"/>
          <w:sz w:val="24"/>
        </w:rPr>
        <w:instrText xml:space="preserve"> gas</w:instrText>
      </w:r>
      <w:r>
        <w:rPr>
          <w:rFonts w:ascii="Times New Roman" w:hAnsi="Times New Roman" w:cs="Times New Roman" w:hint="eastAsia"/>
          <w:sz w:val="24"/>
        </w:rPr>
        <w:instrText>‐</w:instrText>
      </w:r>
      <w:r>
        <w:rPr>
          <w:rFonts w:ascii="Times New Roman" w:hAnsi="Times New Roman" w:cs="Times New Roman" w:hint="eastAsia"/>
          <w:sz w:val="24"/>
        </w:rPr>
        <w:instrText>sensing properties. However, the amorphous materials maintain the metastable status and easily transfer into the lower</w:instrText>
      </w:r>
      <w:r>
        <w:rPr>
          <w:rFonts w:ascii="Times New Roman" w:hAnsi="Times New Roman" w:cs="Times New Roman" w:hint="eastAsia"/>
          <w:sz w:val="24"/>
        </w:rPr>
        <w:instrText>‐</w:instrText>
      </w:r>
      <w:r>
        <w:rPr>
          <w:rFonts w:ascii="Times New Roman" w:hAnsi="Times New Roman" w:cs="Times New Roman" w:hint="eastAsia"/>
          <w:sz w:val="24"/>
        </w:rPr>
        <w:instrText>active crystals during the gas</w:instrText>
      </w:r>
      <w:r>
        <w:rPr>
          <w:rFonts w:ascii="Times New Roman" w:hAnsi="Times New Roman" w:cs="Times New Roman" w:hint="eastAsia"/>
          <w:sz w:val="24"/>
        </w:rPr>
        <w:instrText>‐</w:instrText>
      </w:r>
      <w:r>
        <w:rPr>
          <w:rFonts w:ascii="Times New Roman" w:hAnsi="Times New Roman" w:cs="Times New Roman" w:hint="eastAsia"/>
          <w:sz w:val="24"/>
        </w:rPr>
        <w:instrText>sensing process at high working temperatures, significantly limiting their further applications. Here, a bimetal amorphous PtRu catalyst is developed by accurately regulating the introduction of Pt species into amorphous RuO\n              x\n              supports to realize the highly active and stable H\n              2\n              S gas</w:instrText>
      </w:r>
      <w:r>
        <w:rPr>
          <w:rFonts w:ascii="Times New Roman" w:hAnsi="Times New Roman" w:cs="Times New Roman" w:hint="eastAsia"/>
          <w:sz w:val="24"/>
        </w:rPr>
        <w:instrText>‐</w:instrText>
      </w:r>
      <w:r>
        <w:rPr>
          <w:rFonts w:ascii="Times New Roman" w:hAnsi="Times New Roman" w:cs="Times New Roman" w:hint="eastAsia"/>
          <w:sz w:val="24"/>
        </w:rPr>
        <w:instrText>sensing detection. It is found that incorporation of low</w:instrText>
      </w:r>
      <w:r>
        <w:rPr>
          <w:rFonts w:ascii="Times New Roman" w:hAnsi="Times New Roman" w:cs="Times New Roman" w:hint="eastAsia"/>
          <w:sz w:val="24"/>
        </w:rPr>
        <w:instrText>‐</w:instrText>
      </w:r>
      <w:r>
        <w:rPr>
          <w:rFonts w:ascii="Times New Roman" w:hAnsi="Times New Roman" w:cs="Times New Roman" w:hint="eastAsia"/>
          <w:sz w:val="24"/>
        </w:rPr>
        <w:instrText>concentration Pt species can effectively maintain the amorphous state of initial RuO\n              x\n              and delay the crystallization temperature as high as 100 </w:instrText>
      </w:r>
      <w:r>
        <w:rPr>
          <w:rFonts w:ascii="Times New Roman" w:hAnsi="Times New Roman" w:cs="Times New Roman" w:hint="eastAsia"/>
          <w:sz w:val="24"/>
        </w:rPr>
        <w:instrText>°</w:instrText>
      </w:r>
      <w:r>
        <w:rPr>
          <w:rFonts w:ascii="Times New Roman" w:hAnsi="Times New Roman" w:cs="Times New Roman" w:hint="eastAsia"/>
          <w:sz w:val="24"/>
        </w:rPr>
        <w:instrText>C. Further, ex situ XPS and in situ Raman spectroscopy analysis confirm that active Pt species can facilitate H\n              2\n              S adsorption by strong Pt</w:instrText>
      </w:r>
      <w:r>
        <w:rPr>
          <w:rFonts w:ascii="Times New Roman" w:hAnsi="Times New Roman" w:cs="Times New Roman" w:hint="eastAsia"/>
          <w:sz w:val="24"/>
        </w:rPr>
        <w:instrText>‐</w:instrText>
      </w:r>
      <w:r>
        <w:rPr>
          <w:rFonts w:ascii="Times New Roman" w:hAnsi="Times New Roman" w:cs="Times New Roman" w:hint="eastAsia"/>
          <w:sz w:val="24"/>
        </w:rPr>
        <w:instrText>S coordination and dissociate the sulfur species to the surrounding support, which contribute to the chemisorption and sensitization of H\n              2\n              S. Meanwhile, electron transport at the interface between Pt, RuO\n              x\n              and ZnO further activates the reaction process at the surface of the gas</w:instrText>
      </w:r>
      <w:r>
        <w:rPr>
          <w:rFonts w:ascii="Times New Roman" w:hAnsi="Times New Roman" w:cs="Times New Roman" w:hint="eastAsia"/>
          <w:sz w:val="24"/>
        </w:rPr>
        <w:instrText>‐</w:instrText>
      </w:r>
      <w:r>
        <w:rPr>
          <w:rFonts w:ascii="Times New Roman" w:hAnsi="Times New Roman" w:cs="Times New Roman" w:hint="eastAsia"/>
          <w:sz w:val="24"/>
        </w:rPr>
        <w:instrText>sensitive material. The final PtRu</w:instrText>
      </w:r>
      <w:r>
        <w:rPr>
          <w:rFonts w:ascii="Times New Roman" w:hAnsi="Times New Roman" w:cs="Times New Roman" w:hint="eastAsia"/>
          <w:sz w:val="24"/>
        </w:rPr>
        <w:instrText>‐</w:instrText>
      </w:r>
      <w:r>
        <w:rPr>
          <w:rFonts w:ascii="Times New Roman" w:hAnsi="Times New Roman" w:cs="Times New Roman" w:hint="eastAsia"/>
          <w:sz w:val="24"/>
        </w:rPr>
        <w:instrText>modified ZnO (PtRu/ZnO) sensor enables the detection of H\n              2\n              S in the ultra</w:instrText>
      </w:r>
      <w:r>
        <w:rPr>
          <w:rFonts w:ascii="Times New Roman" w:hAnsi="Times New Roman" w:cs="Times New Roman" w:hint="eastAsia"/>
          <w:sz w:val="24"/>
        </w:rPr>
        <w:instrText>‐</w:instrText>
      </w:r>
      <w:r>
        <w:rPr>
          <w:rFonts w:ascii="Times New Roman" w:hAnsi="Times New Roman" w:cs="Times New Roman" w:hint="eastAsia"/>
          <w:sz w:val="24"/>
        </w:rPr>
        <w:instrText>low concentration range of 15</w:instrText>
      </w:r>
      <w:r>
        <w:rPr>
          <w:rFonts w:ascii="Times New Roman" w:hAnsi="Times New Roman" w:cs="Times New Roman" w:hint="eastAsia"/>
          <w:sz w:val="24"/>
        </w:rPr>
        <w:instrText>–</w:instrText>
      </w:r>
      <w:r>
        <w:rPr>
          <w:rFonts w:ascii="Times New Roman" w:hAnsi="Times New Roman" w:cs="Times New Roman" w:hint="eastAsia"/>
          <w:sz w:val="24"/>
        </w:rPr>
        <w:instrText>2000 ppb with remarkable stability.","container-title":"Small","DOI":"10.1002/smll.202300006","ISSN":"1613-6810, 1613-6829","issue":"32","journalAbbreviation":"Small","language":"en","page":"2300006","source":"DOI.org (Crossref)","title":"Pt</w:instrText>
      </w:r>
      <w:r>
        <w:rPr>
          <w:rFonts w:ascii="Times New Roman" w:hAnsi="Times New Roman" w:cs="Times New Roman" w:hint="eastAsia"/>
          <w:sz w:val="24"/>
        </w:rPr>
        <w:instrText>‐</w:instrText>
      </w:r>
      <w:r>
        <w:rPr>
          <w:rFonts w:ascii="Times New Roman" w:hAnsi="Times New Roman" w:cs="Times New Roman" w:hint="eastAsia"/>
          <w:sz w:val="24"/>
        </w:rPr>
        <w:instrText>functionalized Amorphous RuO&lt;sub&gt;x&lt;/sub&gt; as Excellent Stability and High</w:instrText>
      </w:r>
      <w:r>
        <w:rPr>
          <w:rFonts w:ascii="Times New Roman" w:hAnsi="Times New Roman" w:cs="Times New Roman" w:hint="eastAsia"/>
          <w:sz w:val="24"/>
        </w:rPr>
        <w:instrText>‐</w:instrText>
      </w:r>
      <w:r>
        <w:rPr>
          <w:rFonts w:ascii="Times New Roman" w:hAnsi="Times New Roman" w:cs="Times New Roman" w:hint="eastAsia"/>
          <w:sz w:val="24"/>
        </w:rPr>
        <w:instrText>activity Catalysts for Low Temperature MEMS Sens</w:instrText>
      </w:r>
      <w:r>
        <w:rPr>
          <w:rFonts w:ascii="Times New Roman" w:hAnsi="Times New Roman" w:cs="Times New Roman"/>
          <w:sz w:val="24"/>
        </w:rPr>
        <w:instrText>ors","volume":"19","author":[{"family":"Luo","given":"Na"},{"family":"Cai","given":"HaiJie"},{"family":"Lu","given":"Bo"},{"family":"Xue","given":"Zhenggang"},{"family":"Xu","given":"Jiaqiang"}],"issued":{"date-parts":[["2023",8]]}}},{"id":769,"uris":["http://zotero.org/users/local/8UVaiPRU/items/WVWD75LK"],"itemData":{"id":769,"type":"article-journal","abstract":"Supercapacitors have garnered significant interest from researchers owing to their high-power density, rapid charge/discharge capabilities, and extended cycle life. In this context, the design and development of electrode materials that offer both high performance and enhanced stability remain key areas of investigation in supercapacitor research. In this work, a novel ZnS@Co₃O₄/MXene composite was successfully synthesized via a coassembly strategy using (Zeolitic imidazolate framework) ZIF-67 and ZIF-8 as a precursor for Co₃O₄ and ZnS. The structural, morphological, and surface characteristics of the composite were systematically investigated using X-ray diffraction (XRD), scanning electron microscopy (SEM), and X-ray photoelectron spectroscopy (XPS). XRD confirmed the successful formation of crystalline Co₃O₄ and ZnS phases anchored on the Ti₃C₂Tₓ MXene layers, while SEM images revealed a uniformly distributed network of ZnS and Co₃O₄ nanoparticles anchored on the MXene sheets. XPS analysis further verified the coexistence of Zn2+, Co2+/Co3+, and Ti–C surface bonds. Electrochemical investigations demonstrated outstanding pseudocapacitive performance, with a high specific capacitance of 306 F/g at 1 A/g and a low charge-transfer resistance (Rct = 3.2 Ω). Moreover, the electrode retained 88 % of its initial capacitance after 5000 cycles, reflecting excellent structural stability and durability. These results establish ZnS@Co₃O₄/MXene as a highly promising and efficient electrode material for nextgeneration high-performance supercapacitors.","container-title":"Journal of Energy Storage","DOI":"10.1016/j.est.2026.120420","ISSN":"2352152X","journalAbbreviation":"Journal of Energy Storage","language":"en","page":"120420","source":"DOI.org (Crossref)","title":"Synergistic ZnS@Co₃O₄/MXene hybrid derived from ZIF-67 for high-performance supercapacitors","volume":"151","author":[{"family":"Raza","given":"Ali"},{"family":"Iqbal","given":"Naseem"},{"family":"Mehek","given":"Rimsha"},{"family":"Noor","given":"Tayyaba"},{"family":"Zaman","given":"Neelam"},{"family":"Gao","given":"Junkuo"}],"issued":{"date-parts":[["2026",3]]}}},{"id":753,"uris":["http://zotero.org/users/local/8UVaiPRU/items/L29KXILB"],"itemData":{"id":753,"type":"article-journal","abstract":"The sluggish kinetics and severe volume expansion are two major drawbacks that limiting the application of transition metal sulfides electrode materials for sodium ion batteries (SIBs). Herein, we assembled Ti3C2Tx MXene nanosheets into thin-walled hollow spheres with PMMA spheres as sacrificial template, on which MOFderived CoS2 nanoparticles embedded in N-doped carbon were grown (MXene@CoS2/NC). The MXene@CoS2/ NC exhibits state-of-the-art sodium ion storage properties, including a high reversible capacity of 620 mAh g 1 at 0.2 A g 1, superior rate capability (394 mAh g 1 at 5 A g 1), and excellent cycling stability (355 mAh g 1 after 5000 cycles). The corresponding electrochemical tests prove that the MXene@CoS2/NC has fast Na+ ion diffusion and electron transfer compared with its counterpart without MXene interfaces. XPS and XANES characterizations disclose the introduced MXene and increased pyrrolic N can weaken the Co-S bonds of CoS2, which facilitates the conversion reaction between CoS2 and Na2S, and thus improves the sodium storage kinetics. The DFT calculations also demonstrate the MXene can improve the conductivity of electrode materials by fast interfacial electron transfer. In addition, the MXene hollow spheres and MOF-derived NC provide host structures for CoS2, which can increase the contact between electrolyte and active materials, buffer the volume expansion of CoS2, and thus enhancing the electrochemical stability. This work provides a feasible strategy to construct anode materials for SIBs with improved sodium storage kinetics and cycling stability.","container-title":"Chemical Engineering Journal","DOI":"10.1016/j.cej.2022.137922","ISSN":"13858947","journalAbbreviation":"Chemical Engineering Journal","language":"en","page":"137922","source":"DOI.org (Crossref)","title":"Optimized Co–S bonds energy and confinement effect of hollow MXene@CoS2/NC for enhanced sodium storage kinetics and stability","volume":"450","author":[{"family":"Li","given":"Qun"},{"family":"Jiao","given":"Qingze"},{"family":"Yan","given":"Yu"},{"family":"Li","given":"Huanjun"},{"family":"Zhou","given":"Wei"},{"family":"Gu","given":"Tingting"},{"family":"Shen","given":"Xueran"},{"family":"Lu","given":"Chengxing"},{"family":"Zhao","given":"Yun"},{"family":"Zhang","given":"Yaoyuan"},{"family":"Li","given":"Hansheng"},{"family":"Feng","given":"Caihong"}],"issued":{"date-parts":[["2022",12]]}}},{"id":756,"uris":["http://zotero.org/users/local/8UVaiPRU/items/SCW9KVXC"],"itemData":{"id":756,"type":"article-journal","abstract":"Dissolution of intermediate sodium polysulﬁdes (Na2Sx; 4</w:instrText>
      </w:r>
      <w:r>
        <w:rPr>
          <w:rFonts w:ascii="Times New Roman" w:hAnsi="Times New Roman" w:cs="Times New Roman" w:hint="eastAsia"/>
          <w:sz w:val="24"/>
        </w:rPr>
        <w:instrText>≤</w:instrText>
      </w:r>
      <w:r>
        <w:rPr>
          <w:rFonts w:ascii="Times New Roman" w:hAnsi="Times New Roman" w:cs="Times New Roman"/>
          <w:sz w:val="24"/>
        </w:rPr>
        <w:instrText>x</w:instrText>
      </w:r>
      <w:r>
        <w:rPr>
          <w:rFonts w:ascii="Times New Roman" w:hAnsi="Times New Roman" w:cs="Times New Roman" w:hint="eastAsia"/>
          <w:sz w:val="24"/>
        </w:rPr>
        <w:instrText>≤</w:instrText>
      </w:r>
      <w:r>
        <w:rPr>
          <w:rFonts w:ascii="Times New Roman" w:hAnsi="Times New Roman" w:cs="Times New Roman"/>
          <w:sz w:val="24"/>
        </w:rPr>
        <w:instrText>8) is a crucial obstacle for the development of room-temperature sodium-sulfur (Na−S) batteries. One promising strategy to avoid this issue is to load short-chain sulfur (S2−4), which could prohibit the generation of soluble polysulﬁdes during the sodiation process. Herein, unlike in the previous reported cases where shortchain sulfur was stored by conﬁnement within a small-pore-size (</w:instrText>
      </w:r>
      <w:r>
        <w:rPr>
          <w:rFonts w:ascii="Times New Roman" w:hAnsi="Times New Roman" w:cs="Times New Roman" w:hint="eastAsia"/>
          <w:sz w:val="24"/>
        </w:rPr>
        <w:instrText>≤</w:instrText>
      </w:r>
      <w:r>
        <w:rPr>
          <w:rFonts w:ascii="Times New Roman" w:hAnsi="Times New Roman" w:cs="Times New Roman"/>
          <w:sz w:val="24"/>
        </w:rPr>
        <w:instrText xml:space="preserve">0.5 nm) carbon host, we report a new strategy to generate short-chain sulfur in larger pores (&gt;0.5 nm) by the synergistic catalytic eﬀect of CoS2 and appropriate pore size. Based on density functional theory calculations, we predict that CoS2 can serve as a catalyst to weaken the S−S bond in the S8 ring structure, facilitating the formation of short-chain sulfur molecules. By experimentally tuning the pore size of the CoS2-based hosts and comparing their performances as cathodes in Na−S and Li−S batteries, we conclude that such a catalytic eﬀect depends on the proximity of sulfur to CoS2. This avoids the generation of soluble polysulﬁdes and results in superior electrochemical properties of the composite materials introduced here for Na−S batteries. As a result, the optimized CoS2/N-doped carbon/S electrode showed excellent electrochemical performance with high reversible speciﬁc capacities of 488 mA h g−1 (962 mA h g(s)−1) after 100 cycles (0.1 A g−1) and 403 mA h g−1 after 1000 cycles (1 A g−1) with a superior rate performance (262 mA h g−1 at 5.0 A g−1).","container-title":"ACS Applied Materials &amp; Interfaces","DOI":"10.1021/acsami.1c02301","ISSN":"1944-8244, 1944-8252","issue":"15","journalAbbreviation":"ACS Appl. Mater. Interfaces","language":"en","license":"https://doi.org/10.15223/policy-029","page":"18010-18020","source":"DOI.org (Crossref)","title":"MOF-Derived CoS&lt;sub&gt;2&lt;/sub&gt; /N-Doped Carbon Composite to Induce Short-Chain Sulfur Molecule Generation for Enhanced Sodium–Sulfur Battery Performance","volume":"13","author":[{"family":"Xiao","given":"Fengping"},{"family":"Wang","given":"Hongkang"},{"family":"Yao","given":"Tianhao"},{"family":"Zhao","given":"Xin"},{"family":"Yang","given":"Xuming"},{"family":"Yu","given":"Denis Y. W."},{"family":"Rogach","given":"Andrey L."}],"issued":{"date-parts":[["2021",4,21]]}}}],"schema":"https://github.com/citation-style-language/schema/raw/master/csl-citation.json"} </w:instrText>
      </w:r>
      <w:r>
        <w:rPr>
          <w:rFonts w:ascii="Times New Roman" w:hAnsi="Times New Roman" w:cs="Times New Roman"/>
          <w:sz w:val="24"/>
        </w:rPr>
        <w:fldChar w:fldCharType="separate"/>
      </w:r>
      <w:r>
        <w:rPr>
          <w:rFonts w:ascii="Times New Roman" w:hAnsi="Times New Roman" w:cs="Times New Roman"/>
          <w:kern w:val="0"/>
          <w:sz w:val="24"/>
          <w:vertAlign w:val="superscript"/>
        </w:rPr>
        <w:t>4–7</w:t>
      </w:r>
      <w:r>
        <w:rPr>
          <w:rFonts w:ascii="Times New Roman" w:hAnsi="Times New Roman" w:cs="Times New Roman"/>
          <w:sz w:val="24"/>
        </w:rPr>
        <w:fldChar w:fldCharType="end"/>
      </w:r>
      <w:r w:rsidR="00993B5E">
        <w:rPr>
          <w:rFonts w:ascii="Times New Roman" w:hAnsi="Times New Roman" w:cs="Times New Roman" w:hint="eastAsia"/>
          <w:sz w:val="24"/>
        </w:rPr>
        <w:t>.</w:t>
      </w:r>
      <w:r w:rsidR="00993B5E">
        <w:rPr>
          <w:rFonts w:ascii="Arial" w:hAnsi="Arial" w:cs="Arial"/>
          <w:color w:val="000000"/>
          <w:spacing w:val="15"/>
          <w:sz w:val="23"/>
          <w:szCs w:val="23"/>
          <w:shd w:val="clear" w:color="auto" w:fill="FFFFFF"/>
        </w:rPr>
        <w:t xml:space="preserve"> </w:t>
      </w:r>
      <w:r>
        <w:rPr>
          <w:rFonts w:ascii="Times New Roman" w:hAnsi="Times New Roman" w:cs="Times New Roman"/>
          <w:sz w:val="24"/>
        </w:rPr>
        <w:t xml:space="preserve">The formation of sulfide layers induces significant changes in the band structure and creates multiple new p–p and p–n heterointerfaces, such as </w:t>
      </w:r>
      <w:proofErr w:type="spellStart"/>
      <w:r>
        <w:rPr>
          <w:rFonts w:ascii="Times New Roman" w:hAnsi="Times New Roman" w:cs="Times New Roman"/>
          <w:sz w:val="24"/>
        </w:rPr>
        <w:t>CoS</w:t>
      </w:r>
      <w:proofErr w:type="spellEnd"/>
      <w:r>
        <w:rPr>
          <w:rFonts w:ascii="Times New Roman" w:hAnsi="Times New Roman" w:cs="Times New Roman"/>
          <w:sz w:val="24"/>
        </w:rPr>
        <w:t>/Co</w:t>
      </w:r>
      <w:r>
        <w:rPr>
          <w:rFonts w:ascii="Times New Roman" w:hAnsi="Times New Roman" w:cs="Times New Roman"/>
          <w:sz w:val="24"/>
          <w:vertAlign w:val="subscript"/>
        </w:rPr>
        <w:t>3</w:t>
      </w:r>
      <w:r>
        <w:rPr>
          <w:rFonts w:ascii="Times New Roman" w:hAnsi="Times New Roman" w:cs="Times New Roman"/>
          <w:sz w:val="24"/>
        </w:rPr>
        <w:t>O</w:t>
      </w:r>
      <w:r>
        <w:rPr>
          <w:rFonts w:ascii="Times New Roman" w:hAnsi="Times New Roman" w:cs="Times New Roman"/>
          <w:sz w:val="24"/>
          <w:vertAlign w:val="subscript"/>
        </w:rPr>
        <w:t>4</w:t>
      </w:r>
      <w:r>
        <w:rPr>
          <w:rFonts w:ascii="Times New Roman" w:hAnsi="Times New Roman" w:cs="Times New Roman"/>
          <w:sz w:val="24"/>
        </w:rPr>
        <w:t>, ZnS/</w:t>
      </w:r>
      <w:proofErr w:type="spellStart"/>
      <w:r>
        <w:rPr>
          <w:rFonts w:ascii="Times New Roman" w:hAnsi="Times New Roman" w:cs="Times New Roman"/>
          <w:sz w:val="24"/>
        </w:rPr>
        <w:t>ZnO</w:t>
      </w:r>
      <w:proofErr w:type="spellEnd"/>
      <w:r>
        <w:rPr>
          <w:rFonts w:ascii="Times New Roman" w:hAnsi="Times New Roman" w:cs="Times New Roman"/>
          <w:sz w:val="24"/>
        </w:rPr>
        <w:t xml:space="preserve">, and </w:t>
      </w:r>
      <w:proofErr w:type="spellStart"/>
      <w:r>
        <w:rPr>
          <w:rFonts w:ascii="Times New Roman" w:hAnsi="Times New Roman" w:cs="Times New Roman"/>
          <w:sz w:val="24"/>
        </w:rPr>
        <w:t>CoS</w:t>
      </w:r>
      <w:proofErr w:type="spellEnd"/>
      <w:r>
        <w:rPr>
          <w:rFonts w:ascii="Times New Roman" w:hAnsi="Times New Roman" w:cs="Times New Roman"/>
          <w:sz w:val="24"/>
        </w:rPr>
        <w:t>/ZnS. The energy-level mismatch at these newly formed interfaces leads to the generation of localized potential barriers</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{"citationID":"kKGXFjLY","properties":{"unsorted":false,"formattedCitation":"\\super 8\\nosupersub{}","plainCitation":"8","noteIndex":0},"citationItems":[{"id":888,"uris":["http://zotero.org/users/local/8UVaiPRU/items/RQGVQ9G5"],"itemData":{"id":888,"type":"article-journal","abstract":"Respiratory analysis technology shows great potential in disease diagnosis due to its non-invasive and convenient nature. In this work, Pt-Co3O4@SnO2 core-shell nanofibers were successfully prepared via Pt@ZIF-67 precursor synthesis, coaxial electrospinning, and calcination for detecting hydrogen sulfide (H2S) in Breath for NonInvasive Asthma Diagnosis. The nanofibers exhibit uniform morphology and high surface area. The sensor based on Pt-Co3O4@SnO2 nanofibers showed greatly enhanced sensitivity, faster response/recovery speed, superior selectivity, and good long-term stability under humid conditions at room temperature. The response value of Pt-Co3O4@SnO2 to 200 ppb H2S is 495 at room temperature, and the response and recovery times are 42 s and 10 s, respectively. Moreover, the 5 ppb ultra-low detection limit is obtained. Notably, the sensor effectively detected low levels of H2S in simulated exhaled breath, demonstrating the powerful potential in noninvasive asthma diagnosis through respiratory analysis. The sensing mechanism was further clarified via gas sensitivity performance analysis and DFT calculations. This study provides an effective strategy for developing highperformance breath-based diagnostic sensors.","container-title":"Chemical Engineering Journal","DOI":"10.1016/j.cej.2026.174765","ISSN":"13858947","journalAbbreviation":"Chemical Engineering Journal","language":"en","page":"174765","source":"DOI.org (Crossref)","title":"Rapid and high responsive Pt-Co3O4@SnO2 core-shell nanofibers for room-temperature detection of H2S in exhaled breath for non-invasive asthma diagnosis","volume":"533","author":[{"family":"Song","given":"Xiaoyan"},{"family":"Wang","given":"Hao"},{"family":"Huang","given":"Wanchun"},{"family":"Lu","given":"Yiming"},{"family":"Wang","given":"Zhipeng"},{"family":"Wang","given":"Hong"}],"issued":{"date-parts":[["2026",4]]}}}],"schema":"https://github.com/citation-style-language/schema/raw/master/csl-citation.json"} </w:instrText>
      </w:r>
      <w:r>
        <w:rPr>
          <w:rFonts w:ascii="Times New Roman" w:hAnsi="Times New Roman" w:cs="Times New Roman"/>
          <w:sz w:val="24"/>
        </w:rPr>
        <w:fldChar w:fldCharType="separate"/>
      </w:r>
      <w:r>
        <w:rPr>
          <w:rFonts w:ascii="Times New Roman" w:hAnsi="Times New Roman" w:cs="Times New Roman"/>
          <w:kern w:val="0"/>
          <w:sz w:val="24"/>
          <w:vertAlign w:val="superscript"/>
        </w:rPr>
        <w:t>8</w:t>
      </w:r>
      <w:r>
        <w:rPr>
          <w:rFonts w:ascii="Times New Roman" w:hAnsi="Times New Roman" w:cs="Times New Roman"/>
          <w:sz w:val="24"/>
        </w:rPr>
        <w:fldChar w:fldCharType="end"/>
      </w:r>
      <w:r>
        <w:rPr>
          <w:rFonts w:ascii="Times New Roman" w:hAnsi="Times New Roman" w:cs="Times New Roman"/>
          <w:sz w:val="24"/>
        </w:rPr>
        <w:t>. These barriers hinder charge transfer across the heterointerfaces</w:t>
      </w:r>
      <w:r>
        <w:rPr>
          <w:rFonts w:ascii="Times New Roman" w:hAnsi="Times New Roman" w:cs="Times New Roman" w:hint="eastAsia"/>
          <w:sz w:val="24"/>
        </w:rPr>
        <w:t xml:space="preserve">, </w:t>
      </w:r>
      <w:r>
        <w:rPr>
          <w:rFonts w:ascii="Times New Roman" w:hAnsi="Times New Roman" w:cs="Times New Roman"/>
          <w:sz w:val="24"/>
        </w:rPr>
        <w:t>resulting in a pronounced increase in resistance</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{"citationID":"x41nIHiO","properties":{"unsorted":false,"formattedCitation":"\\super 2\\nosupersub{}","plainCitation":"2","noteIndex":0},"citationItems":[{"id":889,"uris":["http://zotero.org/users/local/8UVaiPRU/items/W3KBUKK2"],"itemData":{"id":889,"type":"article-journal","abstract":"Identifying disease biomarkers and detecting hazardous, explosive, ﬂammable, and polluting gases and chemicals with extremely sensitive and selective sensor devices remains a challenging and time-consuming research challenge. Due to their exceptional characteristics, semiconducting metal oxides (SMOxs) have received a lot of attention in terms of the development of various types of sensors in recent years. The key performance indicators of SMOx-based sensors are their sensitivity, selectivity, recovery time, and steady response over time. SMOx-based sensors are discussed in this review based on their different properties. Surface properties of the functional material, such as its (nano)structure, morphology, and crystallinity, greatly inﬂuence sensor performance. A few examples of the complicated and poorly understood processes involved in SMOx sensing systems are adsorption and chemisorption, charge transfers, and oxygen migration. The future prospects of SMOx-based gas sensors, chemical sensors, and biological sensors are also discussed.","container-title":"Sensors","DOI":"10.3390/s23156849","ISSN":"1424-8220","issue":"15","journalAbbreviation":"Sensors","language":"en","page":"6849","source":"DOI.org (Crossref)","title":"Road Map of Semiconductor Metal-Oxide-Based Sensors: A Review","title-short":"Road Map of Semiconductor Metal-Oxide-Based Sensors","volume":"23","author":[{"family":"Dutta","given":"Taposhree"},{"family":"Noushin","given":"Tanzila"},{"family":"Tabassum","given":"Shawana"},{"family":"Mishra","given":"Satyendra K."}],"issued":{"date-parts":[["2023",8,1]]}}}],"schema":"https://github.com/citation-style-language/schema/raw/master/csl-citation.json"} </w:instrText>
      </w:r>
      <w:r>
        <w:rPr>
          <w:rFonts w:ascii="Times New Roman" w:hAnsi="Times New Roman" w:cs="Times New Roman"/>
          <w:sz w:val="24"/>
        </w:rPr>
        <w:fldChar w:fldCharType="separate"/>
      </w:r>
      <w:r>
        <w:rPr>
          <w:rFonts w:ascii="Times New Roman" w:hAnsi="Times New Roman" w:cs="Times New Roman"/>
          <w:kern w:val="0"/>
          <w:sz w:val="24"/>
          <w:vertAlign w:val="superscript"/>
        </w:rPr>
        <w:t>2</w:t>
      </w:r>
      <w:r>
        <w:rPr>
          <w:rFonts w:ascii="Times New Roman" w:hAnsi="Times New Roman" w:cs="Times New Roman"/>
          <w:sz w:val="24"/>
        </w:rPr>
        <w:fldChar w:fldCharType="end"/>
      </w:r>
      <w:r>
        <w:rPr>
          <w:rFonts w:ascii="Times New Roman" w:hAnsi="Times New Roman" w:cs="Times New Roman"/>
          <w:sz w:val="24"/>
        </w:rPr>
        <w:t>.</w:t>
      </w:r>
      <w:r>
        <w:rPr>
          <w:rFonts w:ascii="Times New Roman" w:hAnsi="Times New Roman" w:cs="Times New Roman" w:hint="eastAsia"/>
          <w:sz w:val="24"/>
        </w:rPr>
        <w:t xml:space="preserve"> Similarly, the gas-sensing processes for SO</w:t>
      </w:r>
      <w:r>
        <w:rPr>
          <w:rFonts w:ascii="Times New Roman" w:hAnsi="Times New Roman" w:cs="Times New Roman" w:hint="eastAsia"/>
          <w:sz w:val="24"/>
          <w:vertAlign w:val="subscript"/>
        </w:rPr>
        <w:t>2</w:t>
      </w:r>
      <w:r>
        <w:rPr>
          <w:rFonts w:ascii="Times New Roman" w:hAnsi="Times New Roman" w:cs="Times New Roman" w:hint="eastAsia"/>
          <w:sz w:val="24"/>
        </w:rPr>
        <w:t xml:space="preserve"> and NH</w:t>
      </w:r>
      <w:r>
        <w:rPr>
          <w:rFonts w:ascii="Times New Roman" w:hAnsi="Times New Roman" w:cs="Times New Roman" w:hint="eastAsia"/>
          <w:sz w:val="24"/>
          <w:vertAlign w:val="subscript"/>
        </w:rPr>
        <w:t>3</w:t>
      </w:r>
      <w:r>
        <w:rPr>
          <w:rFonts w:ascii="Times New Roman" w:hAnsi="Times New Roman" w:cs="Times New Roman" w:hint="eastAsia"/>
          <w:sz w:val="24"/>
        </w:rPr>
        <w:t xml:space="preserve"> are analogous to that of H</w:t>
      </w:r>
      <w:r>
        <w:rPr>
          <w:rFonts w:ascii="Times New Roman" w:hAnsi="Times New Roman" w:cs="Times New Roman" w:hint="eastAsia"/>
          <w:sz w:val="24"/>
          <w:vertAlign w:val="subscript"/>
        </w:rPr>
        <w:t>2</w:t>
      </w:r>
      <w:r>
        <w:rPr>
          <w:rFonts w:ascii="Times New Roman" w:hAnsi="Times New Roman" w:cs="Times New Roman" w:hint="eastAsia"/>
          <w:sz w:val="24"/>
        </w:rPr>
        <w:t>S: their response is based on reactions with surface-adsorbed oxygen species, generating an increase in resistance. In contrast, the sensing mechanism for NO</w:t>
      </w:r>
      <w:r>
        <w:rPr>
          <w:rFonts w:ascii="Times New Roman" w:hAnsi="Times New Roman" w:cs="Times New Roman" w:hint="eastAsia"/>
          <w:sz w:val="24"/>
          <w:vertAlign w:val="subscript"/>
        </w:rPr>
        <w:t>2</w:t>
      </w:r>
      <w:r>
        <w:rPr>
          <w:rFonts w:ascii="Times New Roman" w:hAnsi="Times New Roman" w:cs="Times New Roman" w:hint="eastAsia"/>
          <w:sz w:val="24"/>
        </w:rPr>
        <w:t xml:space="preserve"> relies on competitive adsorption with adsorbed oxygen; NO</w:t>
      </w:r>
      <w:r>
        <w:rPr>
          <w:rFonts w:ascii="Times New Roman" w:hAnsi="Times New Roman" w:cs="Times New Roman" w:hint="eastAsia"/>
          <w:sz w:val="24"/>
          <w:vertAlign w:val="subscript"/>
        </w:rPr>
        <w:t>2</w:t>
      </w:r>
      <w:r>
        <w:rPr>
          <w:rFonts w:ascii="Times New Roman" w:hAnsi="Times New Roman" w:cs="Times New Roman" w:hint="eastAsia"/>
          <w:sz w:val="24"/>
        </w:rPr>
        <w:t xml:space="preserve"> captures more electrons from the material surface, thereby producing a decreased resistance gas response signal.</w:t>
      </w:r>
      <w:r>
        <w:rPr>
          <w:rFonts w:ascii="Times New Roman" w:hAnsi="Times New Roman" w:cs="Times New Roman"/>
          <w:sz w:val="24"/>
        </w:rPr>
        <w:br w:type="page"/>
      </w:r>
    </w:p>
    <w:p w14:paraId="0D6DE7F5" w14:textId="77777777" w:rsidR="00E91A01" w:rsidRDefault="00000000">
      <w:pPr>
        <w:widowControl/>
        <w:spacing w:after="120" w:line="360" w:lineRule="auto"/>
        <w:rPr>
          <w:rFonts w:ascii="Times New Roman" w:hAnsi="Times New Roman" w:cs="Times New Roman"/>
          <w:color w:val="000000" w:themeColor="text1"/>
          <w:sz w:val="24"/>
        </w:rPr>
      </w:pPr>
      <w:r>
        <w:rPr>
          <w:rFonts w:ascii="Times New Roman" w:hAnsi="Times New Roman" w:cs="Times New Roman" w:hint="eastAsia"/>
          <w:b/>
          <w:color w:val="000000" w:themeColor="text1"/>
          <w:sz w:val="24"/>
        </w:rPr>
        <w:lastRenderedPageBreak/>
        <w:t>Computational Details</w:t>
      </w:r>
    </w:p>
    <w:p w14:paraId="4C685122" w14:textId="77777777" w:rsidR="00E91A01" w:rsidRDefault="00000000">
      <w:pPr>
        <w:pStyle w:val="aa"/>
        <w:spacing w:after="120" w:line="360" w:lineRule="auto"/>
        <w:ind w:firstLineChars="200" w:firstLine="480"/>
      </w:pPr>
      <w:r>
        <w:t>Spin-polarized density functional theory calculations were performed using the Vienna Ab initio Simulation Package (VASP, version 5.4.1).</w:t>
      </w:r>
      <w:r>
        <w:fldChar w:fldCharType="begin"/>
      </w:r>
      <w:r>
        <w:instrText xml:space="preserve"> ADDIN ZOTERO_ITEM CSL_CITATION {"citationID":"pJJi9YX8","properties":{"unsorted":false,"formattedCitation":"\\super 9,10\\nosupersub{}","plainCitation":"9,10","noteIndex":0},"citationItems":[{"id":862,"uris":["http://zotero.org/users/local/8UVaiPRU/items/ETYXZGFB"],"itemData":{"id":862,"type":"article-journal","container-title":"Physical Review B","DOI":"10.1103/PhysRevB.54.11169","ISSN":"0163-1829, 1095-3795","issue":"16","journalAbbreviation":"Phys. Rev. B","language":"en","license":"http://link.aps.org/licenses/aps-default-license","page":"11169-11186","source":"DOI.org (Crossref)","title":"Efficient iterative schemes for &lt;i&gt;ab initio&lt;/i&gt; total-energy calculations using a plane-wave basis set","volume":"54","author":[{"family":"Kresse","given":"G."},{"family":"Furthmüller","given":"J."}],"issued":{"date-parts":[["1996",10,15]]}}},{"id":864,"uris":["http://zotero.org/users/local/8UVaiPRU/items/PQ4P4479"],"itemData":{"id":864,"type":"article-journal","abstract":"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Kohn-Sham Hamiltonian and a discussion of an efficient iterative method based on the ideas of Pulay’s residual minimization, which is close to an order N&amp;m 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molecular-dynamicspackage).The program and the techniqueshave been used successfully for a large number of different systems (liquid and amorphous semiconductors, liquid simple and transition metals, metallic and semi-conducting surfaces, phonons in simple metals, transition metals and semiconductors) and turned out to be very reliable.","container-title":"Computational Materials Science","DOI":"10.1016/0927-0256(96)00008-0","ISSN":"09270256","issue":"1","journalAbbreviation":"Computational Materials Science","language":"en","license":"https://www.elsevier.com/tdm/userlicense/1.0/","page":"15-50","source":"DOI.org (Crossref)","title":"Efficiency of ab-initio total energy calculations for metals and semiconductors using a plane-wave basis set","volume":"6","author":[{"family":"Kresse","given":"G."},{"family":"Furthmüller","given":"J."}],"issued":{"date-parts":[["1996",7]]}}}],"schema":"https://github.com/citation-style-language/schema/raw/master/csl-citation.json"} </w:instrText>
      </w:r>
      <w:r>
        <w:fldChar w:fldCharType="separate"/>
      </w:r>
      <w:r>
        <w:rPr>
          <w:kern w:val="0"/>
          <w:vertAlign w:val="superscript"/>
        </w:rPr>
        <w:t>9,10</w:t>
      </w:r>
      <w:r>
        <w:fldChar w:fldCharType="end"/>
      </w:r>
      <w:r>
        <w:t xml:space="preserve"> The projector augmented-wave method</w:t>
      </w:r>
      <w:r>
        <w:rPr>
          <w:color w:val="EE0000"/>
        </w:rPr>
        <w:fldChar w:fldCharType="begin"/>
      </w:r>
      <w:r>
        <w:rPr>
          <w:color w:val="EE0000"/>
        </w:rPr>
        <w:instrText xml:space="preserve"> ADDIN ZOTERO_ITEM CSL_CITATION {"citationID":"c2PBff62","properties":{"unsorted":false,"formattedCitation":"\\super 11,12\\nosupersub{}","plainCitation":"11,12","noteIndex":0},"citationItems":[{"id":874,"uris":["http://zotero.org/users/local/8UVaiPRU/items/RPWDUWSK"],"itemData":{"id":874,"type":"article-journal","container-title":"Physical Review B","DOI":"10.1103/PhysRevB.59.1758","ISSN":"0163-1829, 1095-3795","issue":"3","journalAbbreviation":"Phys. Rev. B","language":"en","license":"http://link.aps.org/licenses/aps-default-license","page":"1758-1775","source":"DOI.org (Crossref)","title":"From ultrasoft pseudopotentials to the projector augmented-wave method","volume":"59","author":[{"family":"Kresse","given":"G."},{"family":"Joubert","given":"D."}],"issued":{"date-parts":[["1999",1,15]]}}},{"id":876,"uris":["http://zotero.org/users/local/8UVaiPRU/items/BSKEQ8L8"],"itemData":{"id":876,"type":"article-journal","container-title":"Physical Review B","DOI":"10.1103/PhysRevB.50.17953","ISSN":"0163-1829, 1095-3795","issue":"24","journalAbbreviation":"Phys. Rev. B","language":"en","license":"http://link.aps.org/licenses/aps-default-license","page":"17953-17979","source":"DOI.org (Crossref)","title":"Projector augmented-wave method","volume":"50","author":[{"family":"Blöchl","given":"P. E."}],"issued":{"date-parts":[["1994",12,15]]}}}],"schema":"https://github.com/citation-style-language/schema/raw/master/csl-citation.json"} </w:instrText>
      </w:r>
      <w:r>
        <w:rPr>
          <w:color w:val="EE0000"/>
        </w:rPr>
        <w:fldChar w:fldCharType="separate"/>
      </w:r>
      <w:r>
        <w:rPr>
          <w:kern w:val="0"/>
          <w:vertAlign w:val="superscript"/>
        </w:rPr>
        <w:t>11,12</w:t>
      </w:r>
      <w:r>
        <w:rPr>
          <w:color w:val="EE0000"/>
        </w:rPr>
        <w:fldChar w:fldCharType="end"/>
      </w:r>
      <w:r>
        <w:t xml:space="preserve"> and the Perdew–Burke–</w:t>
      </w:r>
      <w:proofErr w:type="spellStart"/>
      <w:r>
        <w:t>Ernzerhof</w:t>
      </w:r>
      <w:proofErr w:type="spellEnd"/>
      <w:r>
        <w:t xml:space="preserve"> exchange-correlation functional within the generalized gradient approximation were employed.</w:t>
      </w:r>
      <w:r>
        <w:rPr>
          <w:color w:val="EE0000"/>
        </w:rPr>
        <w:fldChar w:fldCharType="begin"/>
      </w:r>
      <w:r>
        <w:rPr>
          <w:color w:val="EE0000"/>
        </w:rPr>
        <w:instrText xml:space="preserve"> ADDIN ZOTERO_ITEM CSL_CITATION {"citationID":"QfDEg0NR","properties":{"unsorted":false,"formattedCitation":"\\super 13\\nosupersub{}","plainCitation":"13","noteIndex":0},"citationItems":[{"id":875,"uris":["http://zotero.org/users/local/8UVaiPRU/items/BFS2I34A"],"itemData":{"id":875,"type":"article-journal","container-title":"Physical Review Letters","DOI":"10.1103/PhysRevLett.78.1396","ISSN":"0031-9007, 1079-7114","issue":"7","journalAbbreviation":"Phys. Rev. Lett.","language":"en","license":"http://link.aps.org/licenses/aps-default-license","page":"1396-1396","source":"DOI.org (Crossref)","title":"Generalized Gradient Approximation Made Simple [Phys. Rev. Lett. 77, 3865 (1996)]","volume":"78","author":[{"family":"Perdew","given":"John P."},{"family":"Burke","given":"Kieron"},{"family":"Ernzerhof","given":"Matthias"}],"issued":{"date-parts":[["1997",2,17]]}}}],"schema":"https://github.com/citation-style-language/schema/raw/master/csl-citation.json"} </w:instrText>
      </w:r>
      <w:r>
        <w:rPr>
          <w:color w:val="EE0000"/>
        </w:rPr>
        <w:fldChar w:fldCharType="separate"/>
      </w:r>
      <w:r>
        <w:rPr>
          <w:kern w:val="0"/>
          <w:vertAlign w:val="superscript"/>
        </w:rPr>
        <w:t>13</w:t>
      </w:r>
      <w:r>
        <w:rPr>
          <w:color w:val="EE0000"/>
        </w:rPr>
        <w:fldChar w:fldCharType="end"/>
      </w:r>
      <w:r>
        <w:t xml:space="preserve"> The localized Co 3d electrons were treated using the </w:t>
      </w:r>
      <w:proofErr w:type="spellStart"/>
      <w:r>
        <w:t>Dudarev</w:t>
      </w:r>
      <w:proofErr w:type="spellEnd"/>
      <w:r>
        <w:t xml:space="preserve"> DFT+U approach, with an effective Hubbard parameter of </w:t>
      </w:r>
      <w:proofErr w:type="spellStart"/>
      <w:r>
        <w:t>U</w:t>
      </w:r>
      <w:r>
        <w:rPr>
          <w:vertAlign w:val="subscript"/>
        </w:rPr>
        <w:t>eff</w:t>
      </w:r>
      <w:proofErr w:type="spellEnd"/>
      <w:r>
        <w:rPr>
          <w:vertAlign w:val="subscript"/>
        </w:rPr>
        <w:t xml:space="preserve"> </w:t>
      </w:r>
      <w:r>
        <w:t>= U − J = 3.3 eV.</w:t>
      </w:r>
      <w:r>
        <w:rPr>
          <w:color w:val="EE0000"/>
        </w:rPr>
        <w:fldChar w:fldCharType="begin"/>
      </w:r>
      <w:r>
        <w:rPr>
          <w:color w:val="EE0000"/>
        </w:rPr>
        <w:instrText xml:space="preserve"> ADDIN ZOTERO_ITEM CSL_CITATION {"citationID":"476SVQSf","properties":{"unsorted":false,"formattedCitation":"\\super 14\\nosupersub{}","plainCitation":"14","noteIndex":0},"citationItems":[{"id":873,"uris":["http://zotero.org/users/local/8UVaiPRU/items/Y2LVPL2R"],"itemData":{"id":873,"type":"article-journal","container-title":"Physical Review B","DOI":"10.1103/PhysRevB.57.1505","ISSN":"0163-1829, 1095-3795","issue":"3","journalAbbreviation":"Phys. Rev. B","language":"en","license":"http://link.aps.org/licenses/aps-default-license","page":"1505-1509","source":"DOI.org (Crossref)","title":"Electron-energy-loss spectra and the structural stability of nickel oxide: An LSDA+U study","title-short":"Electron-energy-loss spectra and the structural stability of nickel oxide","volume":"57","author":[{"family":"Dudarev","given":"S. L."},{"family":"Botton","given":"G. A."},{"family":"Savrasov","given":"S. Y."},{"family":"Humphreys","given":"C. J."},{"family":"Sutton","given":"A. P."}],"issued":{"date-parts":[["1998",1,15]]}}}],"schema":"https://github.com/citation-style-language/schema/raw/master/csl-citation.json"} </w:instrText>
      </w:r>
      <w:r>
        <w:rPr>
          <w:color w:val="EE0000"/>
        </w:rPr>
        <w:fldChar w:fldCharType="separate"/>
      </w:r>
      <w:r>
        <w:rPr>
          <w:kern w:val="0"/>
          <w:vertAlign w:val="superscript"/>
        </w:rPr>
        <w:t>14</w:t>
      </w:r>
      <w:r>
        <w:rPr>
          <w:color w:val="EE0000"/>
        </w:rPr>
        <w:fldChar w:fldCharType="end"/>
      </w:r>
      <w:r>
        <w:t xml:space="preserve"> A plane-wave cutoff energy of 520 eV was used throughout the calculations.</w:t>
      </w:r>
      <w:r>
        <w:rPr>
          <w:rFonts w:hint="eastAsia"/>
        </w:rPr>
        <w:t xml:space="preserve"> </w:t>
      </w:r>
      <w:r>
        <w:t>Bulk Co</w:t>
      </w:r>
      <w:r>
        <w:rPr>
          <w:rFonts w:hint="eastAsia"/>
          <w:vertAlign w:val="subscript"/>
        </w:rPr>
        <w:t>3</w:t>
      </w:r>
      <w:r>
        <w:t>O</w:t>
      </w:r>
      <w:r>
        <w:rPr>
          <w:rFonts w:hint="eastAsia"/>
          <w:vertAlign w:val="subscript"/>
        </w:rPr>
        <w:t>4</w:t>
      </w:r>
      <w:r>
        <w:t xml:space="preserve"> was optimized in both ferromagnetic and antiferromagnetic configurations using a Γ-centered 5 × 5 × 5 k-point mesh. Both the lattice parameters and atomic positions were fully relaxed until the total-energy difference and the residual force on each atom were below 1.0 × 10</w:t>
      </w:r>
      <w:r>
        <w:rPr>
          <w:rFonts w:hint="eastAsia"/>
          <w:vertAlign w:val="superscript"/>
        </w:rPr>
        <w:t>-6</w:t>
      </w:r>
      <w:r>
        <w:t xml:space="preserve"> eV and 0.02 eV Å</w:t>
      </w:r>
      <w:r>
        <w:rPr>
          <w:rFonts w:hint="eastAsia"/>
          <w:vertAlign w:val="superscript"/>
        </w:rPr>
        <w:t>-1</w:t>
      </w:r>
      <w:r>
        <w:t>, respectively.</w:t>
      </w:r>
      <w:r>
        <w:rPr>
          <w:rFonts w:hint="eastAsia"/>
        </w:rPr>
        <w:t xml:space="preserve"> </w:t>
      </w:r>
      <w:r>
        <w:t>The Co</w:t>
      </w:r>
      <w:r>
        <w:rPr>
          <w:rFonts w:hint="eastAsia"/>
          <w:vertAlign w:val="subscript"/>
        </w:rPr>
        <w:t>3</w:t>
      </w:r>
      <w:r>
        <w:t>O</w:t>
      </w:r>
      <w:r>
        <w:rPr>
          <w:rFonts w:hint="eastAsia"/>
          <w:vertAlign w:val="subscript"/>
        </w:rPr>
        <w:t>4</w:t>
      </w:r>
      <w:r>
        <w:t xml:space="preserve">(100) slab was constructed from the optimized bulk structure and contained 46 Co and 64 O atoms. A vacuum region of 15 Å was introduced along the surface-normal direction to avoid interactions between periodically repeated slabs. The clean and adsorbate-covered surfaces were sampled using a Γ-centered 2 × 2 × 1 k-point mesh. The atoms in the bottom region of the slab were fixed at their bulk positions, whereas the remaining surface atoms and the </w:t>
      </w:r>
      <w:r>
        <w:rPr>
          <w:rFonts w:hint="eastAsia"/>
        </w:rPr>
        <w:t xml:space="preserve">adsorbates </w:t>
      </w:r>
      <w:r>
        <w:t>were fully relaxed with the lattice parameters held constant. The electronic-energy and force convergence criteria were set to 1.0 × 10</w:t>
      </w:r>
      <w:r>
        <w:rPr>
          <w:rFonts w:hint="eastAsia"/>
          <w:vertAlign w:val="superscript"/>
        </w:rPr>
        <w:t>-5</w:t>
      </w:r>
      <w:r>
        <w:t xml:space="preserve"> eV and 0.03 eV Å</w:t>
      </w:r>
      <w:r>
        <w:rPr>
          <w:rFonts w:hint="eastAsia"/>
          <w:vertAlign w:val="superscript"/>
        </w:rPr>
        <w:t>-1</w:t>
      </w:r>
      <w:r>
        <w:t>, respectively. Gaussian smearing with a width of 0.05 eV was employed. Crystal symmetry was disabled to preserve the imposed magnetic arrangements and adsorption geometries, and a dipole correction was applied along the surface-normal direction.</w:t>
      </w:r>
    </w:p>
    <w:p w14:paraId="58FD68DB" w14:textId="77777777" w:rsidR="00E91A01" w:rsidRDefault="00000000">
      <w:pPr>
        <w:pStyle w:val="aa"/>
        <w:spacing w:after="120" w:line="360" w:lineRule="auto"/>
        <w:ind w:firstLineChars="200" w:firstLine="480"/>
      </w:pPr>
      <w:r>
        <w:t>The adsorption of H</w:t>
      </w:r>
      <w:r>
        <w:rPr>
          <w:rFonts w:hint="eastAsia"/>
          <w:vertAlign w:val="subscript"/>
        </w:rPr>
        <w:t>2</w:t>
      </w:r>
      <w:r>
        <w:t>S, NH</w:t>
      </w:r>
      <w:r>
        <w:rPr>
          <w:rFonts w:hint="eastAsia"/>
          <w:vertAlign w:val="subscript"/>
        </w:rPr>
        <w:t>3</w:t>
      </w:r>
      <w:r>
        <w:t>, and SO</w:t>
      </w:r>
      <w:r>
        <w:rPr>
          <w:rFonts w:hint="eastAsia"/>
          <w:vertAlign w:val="subscript"/>
        </w:rPr>
        <w:t>2</w:t>
      </w:r>
      <w:r>
        <w:t xml:space="preserve"> was investigated on both AFM-like and FM-like Co</w:t>
      </w:r>
      <w:r>
        <w:rPr>
          <w:rFonts w:hint="eastAsia"/>
          <w:vertAlign w:val="subscript"/>
        </w:rPr>
        <w:t>3</w:t>
      </w:r>
      <w:r>
        <w:t>O</w:t>
      </w:r>
      <w:r>
        <w:rPr>
          <w:rFonts w:hint="eastAsia"/>
          <w:vertAlign w:val="subscript"/>
        </w:rPr>
        <w:t>4</w:t>
      </w:r>
      <w:r>
        <w:t>(100) surfaces. For each AFM-like adsorption system, the initial spin arrangement was kept consistent with that of the corresponding clean AFM-like surface. The isolated gas molecules were separately optimized in 15 × 15 × 15 Å</w:t>
      </w:r>
      <w:r>
        <w:rPr>
          <w:rFonts w:hint="eastAsia"/>
          <w:vertAlign w:val="superscript"/>
        </w:rPr>
        <w:t>3</w:t>
      </w:r>
      <w:r>
        <w:t xml:space="preserve"> cubic cells using Γ-point sampling.</w:t>
      </w:r>
      <w:r>
        <w:rPr>
          <w:rFonts w:hint="eastAsia"/>
        </w:rPr>
        <w:t xml:space="preserve"> </w:t>
      </w:r>
      <w:r>
        <w:t>The adsorption energy was calculated as</w:t>
      </w:r>
      <w:r>
        <w:rPr>
          <w:rFonts w:hint="eastAsia"/>
        </w:rPr>
        <w:t xml:space="preserve"> </w:t>
      </w:r>
      <w:r>
        <w:t>E</w:t>
      </w:r>
      <w:r>
        <w:rPr>
          <w:vertAlign w:val="subscript"/>
        </w:rPr>
        <w:t>ads</w:t>
      </w:r>
      <w:r>
        <w:t xml:space="preserve"> = </w:t>
      </w:r>
      <w:proofErr w:type="spellStart"/>
      <w:r>
        <w:t>E</w:t>
      </w:r>
      <w:r>
        <w:rPr>
          <w:vertAlign w:val="subscript"/>
        </w:rPr>
        <w:t>slab+gas</w:t>
      </w:r>
      <w:proofErr w:type="spellEnd"/>
      <w:r>
        <w:t xml:space="preserve"> − </w:t>
      </w:r>
      <w:proofErr w:type="spellStart"/>
      <w:r>
        <w:t>E</w:t>
      </w:r>
      <w:r>
        <w:rPr>
          <w:vertAlign w:val="subscript"/>
        </w:rPr>
        <w:t>slab</w:t>
      </w:r>
      <w:proofErr w:type="spellEnd"/>
      <w:r>
        <w:rPr>
          <w:vertAlign w:val="subscript"/>
        </w:rPr>
        <w:t xml:space="preserve"> </w:t>
      </w:r>
      <w:r>
        <w:t>− E</w:t>
      </w:r>
      <w:r>
        <w:rPr>
          <w:vertAlign w:val="subscript"/>
        </w:rPr>
        <w:t>gas</w:t>
      </w:r>
      <w:r>
        <w:t>,</w:t>
      </w:r>
      <w:r>
        <w:rPr>
          <w:rFonts w:hint="eastAsia"/>
        </w:rPr>
        <w:t xml:space="preserve"> </w:t>
      </w:r>
      <w:r>
        <w:t xml:space="preserve">where </w:t>
      </w:r>
      <w:proofErr w:type="spellStart"/>
      <w:r>
        <w:t>E</w:t>
      </w:r>
      <w:r>
        <w:rPr>
          <w:vertAlign w:val="subscript"/>
        </w:rPr>
        <w:t>slab+gas</w:t>
      </w:r>
      <w:proofErr w:type="spellEnd"/>
      <w:r>
        <w:t xml:space="preserve">, </w:t>
      </w:r>
      <w:proofErr w:type="spellStart"/>
      <w:r>
        <w:t>E</w:t>
      </w:r>
      <w:r>
        <w:rPr>
          <w:vertAlign w:val="subscript"/>
        </w:rPr>
        <w:t>slab</w:t>
      </w:r>
      <w:proofErr w:type="spellEnd"/>
      <w:r>
        <w:t>, and E</w:t>
      </w:r>
      <w:r>
        <w:rPr>
          <w:vertAlign w:val="subscript"/>
        </w:rPr>
        <w:t>gas</w:t>
      </w:r>
      <w:r>
        <w:t xml:space="preserve"> are the total energies of the gas-adsorbed surface, the corresponding clean Co</w:t>
      </w:r>
      <w:r>
        <w:rPr>
          <w:rFonts w:hint="eastAsia"/>
          <w:vertAlign w:val="subscript"/>
        </w:rPr>
        <w:t>3</w:t>
      </w:r>
      <w:r>
        <w:t>O</w:t>
      </w:r>
      <w:r>
        <w:rPr>
          <w:rFonts w:hint="eastAsia"/>
          <w:vertAlign w:val="subscript"/>
        </w:rPr>
        <w:t>4</w:t>
      </w:r>
      <w:r>
        <w:t xml:space="preserve">(100) surface with the same magnetic configuration, and </w:t>
      </w:r>
      <w:r>
        <w:lastRenderedPageBreak/>
        <w:t xml:space="preserve">the isolated gas molecule, respectively. A more negative </w:t>
      </w:r>
      <w:proofErr w:type="gramStart"/>
      <w:r>
        <w:t>E</w:t>
      </w:r>
      <w:r>
        <w:rPr>
          <w:vertAlign w:val="subscript"/>
        </w:rPr>
        <w:t>ads</w:t>
      </w:r>
      <w:proofErr w:type="gramEnd"/>
      <w:r>
        <w:t xml:space="preserve"> value indicates stronger stabilization of the adsorbed molecule.</w:t>
      </w:r>
      <w:r>
        <w:rPr>
          <w:rFonts w:hint="eastAsia"/>
        </w:rPr>
        <w:t xml:space="preserve"> </w:t>
      </w:r>
    </w:p>
    <w:p w14:paraId="0CAC7BCB" w14:textId="77777777" w:rsidR="00E91A01" w:rsidRDefault="00000000">
      <w:pPr>
        <w:widowControl/>
        <w:spacing w:after="120" w:line="360" w:lineRule="auto"/>
        <w:rPr>
          <w:rFonts w:ascii="Times New Roman" w:hAnsi="Times New Roman" w:cs="Times New Roman"/>
          <w:sz w:val="24"/>
          <w:szCs w:val="24"/>
        </w:rPr>
      </w:pPr>
      <w:r>
        <w:rPr>
          <w:rFonts w:ascii="Times New Roman" w:hAnsi="Times New Roman" w:cs="Times New Roman"/>
          <w:sz w:val="24"/>
          <w:szCs w:val="24"/>
        </w:rPr>
        <w:t>To evaluate the thermodynamic tendency toward the formation of a surface sulfur residue from gas-phase H₂S, the overall sulfidation reaction energy was defined as</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sulf</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E</w:t>
      </w:r>
      <w:r>
        <w:rPr>
          <w:rFonts w:ascii="Times New Roman" w:hAnsi="Times New Roman" w:cs="Times New Roman"/>
          <w:sz w:val="24"/>
          <w:szCs w:val="24"/>
          <w:vertAlign w:val="subscript"/>
        </w:rPr>
        <w:t>slab+S</w:t>
      </w:r>
      <w:proofErr w:type="spellEnd"/>
      <w:r>
        <w:rPr>
          <w:rFonts w:ascii="Times New Roman" w:hAnsi="Times New Roman" w:cs="Times New Roman"/>
          <w:sz w:val="24"/>
          <w:szCs w:val="24"/>
        </w:rPr>
        <w:t xml:space="preserve"> + E</w:t>
      </w:r>
      <w:r>
        <w:rPr>
          <w:rFonts w:ascii="Times New Roman" w:hAnsi="Times New Roman" w:cs="Times New Roman"/>
          <w:sz w:val="24"/>
          <w:szCs w:val="24"/>
          <w:vertAlign w:val="subscript"/>
        </w:rPr>
        <w:t>H₂</w:t>
      </w:r>
      <w:r>
        <w:rPr>
          <w:rFonts w:ascii="Times New Roman" w:hAnsi="Times New Roman" w:cs="Times New Roman"/>
          <w:sz w:val="24"/>
          <w:szCs w:val="24"/>
        </w:rPr>
        <w:t xml:space="preserve"> − </w:t>
      </w:r>
      <w:proofErr w:type="spellStart"/>
      <w:r>
        <w:rPr>
          <w:rFonts w:ascii="Times New Roman" w:hAnsi="Times New Roman" w:cs="Times New Roman"/>
          <w:sz w:val="24"/>
          <w:szCs w:val="24"/>
        </w:rPr>
        <w:t>E</w:t>
      </w:r>
      <w:r>
        <w:rPr>
          <w:rFonts w:ascii="Times New Roman" w:hAnsi="Times New Roman" w:cs="Times New Roman"/>
          <w:sz w:val="24"/>
          <w:szCs w:val="24"/>
          <w:vertAlign w:val="subscript"/>
        </w:rPr>
        <w:t>slab</w:t>
      </w:r>
      <w:proofErr w:type="spellEnd"/>
      <w:r>
        <w:rPr>
          <w:rFonts w:ascii="Times New Roman" w:hAnsi="Times New Roman" w:cs="Times New Roman"/>
          <w:sz w:val="24"/>
          <w:szCs w:val="24"/>
        </w:rPr>
        <w:t xml:space="preserve"> − E</w:t>
      </w:r>
      <w:r>
        <w:rPr>
          <w:rFonts w:ascii="Times New Roman" w:hAnsi="Times New Roman" w:cs="Times New Roman"/>
          <w:sz w:val="24"/>
          <w:szCs w:val="24"/>
          <w:vertAlign w:val="subscript"/>
        </w:rPr>
        <w:t>H₂S</w:t>
      </w:r>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where </w:t>
      </w:r>
      <w:proofErr w:type="spellStart"/>
      <w:r>
        <w:rPr>
          <w:rFonts w:ascii="Times New Roman" w:hAnsi="Times New Roman" w:cs="Times New Roman"/>
          <w:sz w:val="24"/>
          <w:szCs w:val="24"/>
        </w:rPr>
        <w:t>E</w:t>
      </w:r>
      <w:r>
        <w:rPr>
          <w:rFonts w:ascii="Times New Roman" w:hAnsi="Times New Roman" w:cs="Times New Roman"/>
          <w:sz w:val="24"/>
          <w:szCs w:val="24"/>
          <w:vertAlign w:val="subscript"/>
        </w:rPr>
        <w:t>slab+S</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is the total energy of the independently optimized surface sulfur-residue structure, and E</w:t>
      </w:r>
      <w:r>
        <w:rPr>
          <w:rFonts w:ascii="Times New Roman" w:hAnsi="Times New Roman" w:cs="Times New Roman"/>
          <w:sz w:val="24"/>
          <w:szCs w:val="24"/>
          <w:vertAlign w:val="subscript"/>
        </w:rPr>
        <w:t>H₂</w:t>
      </w:r>
      <w:r>
        <w:rPr>
          <w:rFonts w:ascii="Times New Roman" w:hAnsi="Times New Roman" w:cs="Times New Roman"/>
          <w:sz w:val="24"/>
          <w:szCs w:val="24"/>
        </w:rPr>
        <w:t xml:space="preserve"> and E</w:t>
      </w:r>
      <w:r>
        <w:rPr>
          <w:rFonts w:ascii="Times New Roman" w:hAnsi="Times New Roman" w:cs="Times New Roman"/>
          <w:sz w:val="24"/>
          <w:szCs w:val="24"/>
          <w:vertAlign w:val="subscript"/>
        </w:rPr>
        <w:t>H₂S</w:t>
      </w:r>
      <w:r>
        <w:rPr>
          <w:rFonts w:ascii="Times New Roman" w:hAnsi="Times New Roman" w:cs="Times New Roman"/>
          <w:sz w:val="24"/>
          <w:szCs w:val="24"/>
        </w:rPr>
        <w:t xml:space="preserve"> are the total energies of isolated H</w:t>
      </w:r>
      <w:r>
        <w:rPr>
          <w:rFonts w:ascii="Times New Roman" w:hAnsi="Times New Roman" w:cs="Times New Roman" w:hint="eastAsia"/>
          <w:sz w:val="24"/>
          <w:szCs w:val="24"/>
          <w:vertAlign w:val="subscript"/>
        </w:rPr>
        <w:t>2</w:t>
      </w:r>
      <w:r>
        <w:rPr>
          <w:rFonts w:ascii="Times New Roman" w:hAnsi="Times New Roman" w:cs="Times New Roman"/>
          <w:sz w:val="24"/>
          <w:szCs w:val="24"/>
        </w:rPr>
        <w:t xml:space="preserve"> and H</w:t>
      </w:r>
      <w:r>
        <w:rPr>
          <w:rFonts w:ascii="Times New Roman" w:hAnsi="Times New Roman" w:cs="Times New Roman" w:hint="eastAsia"/>
          <w:sz w:val="24"/>
          <w:szCs w:val="24"/>
          <w:vertAlign w:val="subscript"/>
        </w:rPr>
        <w:t>2</w:t>
      </w:r>
      <w:r>
        <w:rPr>
          <w:rFonts w:ascii="Times New Roman" w:hAnsi="Times New Roman" w:cs="Times New Roman"/>
          <w:sz w:val="24"/>
          <w:szCs w:val="24"/>
        </w:rPr>
        <w:t xml:space="preserve">S molecules, respectively. A more negative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sulf</w:t>
      </w:r>
      <w:proofErr w:type="spellEnd"/>
      <w:r>
        <w:rPr>
          <w:rFonts w:ascii="Times New Roman" w:hAnsi="Times New Roman" w:cs="Times New Roman"/>
          <w:sz w:val="24"/>
          <w:szCs w:val="24"/>
        </w:rPr>
        <w:t xml:space="preserve"> value indicates a greater overall thermodynamic driving force for the formation of the sulfur-residue endpoint from the clean surface and gas-phase H</w:t>
      </w:r>
      <w:r>
        <w:rPr>
          <w:rFonts w:ascii="Times New Roman" w:hAnsi="Times New Roman" w:cs="Times New Roman" w:hint="eastAsia"/>
          <w:sz w:val="24"/>
          <w:szCs w:val="24"/>
          <w:vertAlign w:val="subscript"/>
        </w:rPr>
        <w:t>2</w:t>
      </w:r>
      <w:r>
        <w:rPr>
          <w:rFonts w:ascii="Times New Roman" w:hAnsi="Times New Roman" w:cs="Times New Roman"/>
          <w:sz w:val="24"/>
          <w:szCs w:val="24"/>
        </w:rPr>
        <w:t>S.</w:t>
      </w:r>
      <w:r>
        <w:rPr>
          <w:rFonts w:ascii="Times New Roman" w:hAnsi="Times New Roman" w:cs="Times New Roman" w:hint="eastAsia"/>
          <w:sz w:val="24"/>
          <w:szCs w:val="24"/>
        </w:rPr>
        <w:t xml:space="preserve"> </w:t>
      </w:r>
      <w:r>
        <w:rPr>
          <w:rFonts w:ascii="Times New Roman" w:hAnsi="Times New Roman" w:cs="Times New Roman"/>
          <w:sz w:val="24"/>
          <w:szCs w:val="24"/>
        </w:rPr>
        <w:t>To directly compare the relative stability of molecularly adsorbed H</w:t>
      </w:r>
      <w:r>
        <w:rPr>
          <w:rFonts w:ascii="Times New Roman" w:hAnsi="Times New Roman" w:cs="Times New Roman" w:hint="eastAsia"/>
          <w:sz w:val="24"/>
          <w:szCs w:val="24"/>
          <w:vertAlign w:val="subscript"/>
        </w:rPr>
        <w:t>2</w:t>
      </w:r>
      <w:r>
        <w:rPr>
          <w:rFonts w:ascii="Times New Roman" w:hAnsi="Times New Roman" w:cs="Times New Roman"/>
          <w:sz w:val="24"/>
          <w:szCs w:val="24"/>
        </w:rPr>
        <w:t>S and the sulfur-residue endpoint, the relative endpoint conversion energy was defined as</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conv</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E</w:t>
      </w:r>
      <w:r>
        <w:rPr>
          <w:rFonts w:ascii="Times New Roman" w:hAnsi="Times New Roman" w:cs="Times New Roman"/>
          <w:sz w:val="24"/>
          <w:szCs w:val="24"/>
          <w:vertAlign w:val="subscript"/>
        </w:rPr>
        <w:t>slab+S</w:t>
      </w:r>
      <w:proofErr w:type="spellEnd"/>
      <w:r>
        <w:rPr>
          <w:rFonts w:ascii="Times New Roman" w:hAnsi="Times New Roman" w:cs="Times New Roman"/>
          <w:sz w:val="24"/>
          <w:szCs w:val="24"/>
        </w:rPr>
        <w:t xml:space="preserve"> + E</w:t>
      </w:r>
      <w:r>
        <w:rPr>
          <w:rFonts w:ascii="Times New Roman" w:hAnsi="Times New Roman" w:cs="Times New Roman"/>
          <w:sz w:val="24"/>
          <w:szCs w:val="24"/>
          <w:vertAlign w:val="subscript"/>
        </w:rPr>
        <w:t>H₂</w:t>
      </w:r>
      <w:r>
        <w:rPr>
          <w:rFonts w:ascii="Times New Roman" w:hAnsi="Times New Roman" w:cs="Times New Roman"/>
          <w:sz w:val="24"/>
          <w:szCs w:val="24"/>
        </w:rPr>
        <w:t xml:space="preserve"> − </w:t>
      </w:r>
      <w:proofErr w:type="spellStart"/>
      <w:r>
        <w:rPr>
          <w:rFonts w:ascii="Times New Roman" w:hAnsi="Times New Roman" w:cs="Times New Roman"/>
          <w:sz w:val="24"/>
          <w:szCs w:val="24"/>
        </w:rPr>
        <w:t>E</w:t>
      </w:r>
      <w:r>
        <w:rPr>
          <w:rFonts w:ascii="Times New Roman" w:hAnsi="Times New Roman" w:cs="Times New Roman"/>
          <w:sz w:val="24"/>
          <w:szCs w:val="24"/>
          <w:vertAlign w:val="subscript"/>
        </w:rPr>
        <w:t>slab+H₂S</w:t>
      </w:r>
      <w:proofErr w:type="spellEnd"/>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where </w:t>
      </w:r>
      <w:proofErr w:type="spellStart"/>
      <w:r>
        <w:rPr>
          <w:rFonts w:ascii="Times New Roman" w:hAnsi="Times New Roman" w:cs="Times New Roman"/>
          <w:sz w:val="24"/>
          <w:szCs w:val="24"/>
        </w:rPr>
        <w:t>E</w:t>
      </w:r>
      <w:r>
        <w:rPr>
          <w:rFonts w:ascii="Times New Roman" w:hAnsi="Times New Roman" w:cs="Times New Roman"/>
          <w:sz w:val="24"/>
          <w:szCs w:val="24"/>
          <w:vertAlign w:val="subscript"/>
        </w:rPr>
        <w:t>slab+H₂S</w:t>
      </w:r>
      <w:proofErr w:type="spellEnd"/>
      <w:r>
        <w:rPr>
          <w:rFonts w:ascii="Times New Roman" w:hAnsi="Times New Roman" w:cs="Times New Roman"/>
          <w:sz w:val="24"/>
          <w:szCs w:val="24"/>
        </w:rPr>
        <w:t xml:space="preserve"> is the total energy of the optimized molecular H</w:t>
      </w:r>
      <w:r>
        <w:rPr>
          <w:rFonts w:ascii="Times New Roman" w:hAnsi="Times New Roman" w:cs="Times New Roman" w:hint="eastAsia"/>
          <w:sz w:val="24"/>
          <w:szCs w:val="24"/>
          <w:vertAlign w:val="subscript"/>
        </w:rPr>
        <w:t>2</w:t>
      </w:r>
      <w:r>
        <w:rPr>
          <w:rFonts w:ascii="Times New Roman" w:hAnsi="Times New Roman" w:cs="Times New Roman"/>
          <w:sz w:val="24"/>
          <w:szCs w:val="24"/>
        </w:rPr>
        <w:t>S adsorption structure. This quantity is related to the adsorption and overall sulfidation energies through</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conv</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sulf</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 E</w:t>
      </w:r>
      <w:r>
        <w:rPr>
          <w:rFonts w:ascii="Times New Roman" w:hAnsi="Times New Roman" w:cs="Times New Roman"/>
          <w:sz w:val="24"/>
          <w:szCs w:val="24"/>
          <w:vertAlign w:val="subscript"/>
        </w:rPr>
        <w:t>ads</w:t>
      </w:r>
      <w:r>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A negative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conv</w:t>
      </w:r>
      <w:proofErr w:type="spellEnd"/>
      <w:r>
        <w:rPr>
          <w:rFonts w:ascii="Times New Roman" w:hAnsi="Times New Roman" w:cs="Times New Roman"/>
          <w:sz w:val="24"/>
          <w:szCs w:val="24"/>
        </w:rPr>
        <w:t xml:space="preserve"> value indicates that the sulfur-residue endpoint is thermodynamically more stable than molecularly adsorbed H</w:t>
      </w:r>
      <w:r>
        <w:rPr>
          <w:rFonts w:ascii="Times New Roman" w:hAnsi="Times New Roman" w:cs="Times New Roman" w:hint="eastAsia"/>
          <w:sz w:val="24"/>
          <w:szCs w:val="24"/>
          <w:vertAlign w:val="subscript"/>
        </w:rPr>
        <w:t>2</w:t>
      </w:r>
      <w:r>
        <w:rPr>
          <w:rFonts w:ascii="Times New Roman" w:hAnsi="Times New Roman" w:cs="Times New Roman"/>
          <w:sz w:val="24"/>
          <w:szCs w:val="24"/>
        </w:rPr>
        <w:t xml:space="preserve">S, whereas a positive value indicates preferential stabilization of the molecular adsorption state. </w:t>
      </w:r>
      <w:proofErr w:type="spellStart"/>
      <w:r>
        <w:rPr>
          <w:rFonts w:ascii="Times New Roman" w:hAnsi="Times New Roman" w:cs="Times New Roman"/>
          <w:sz w:val="24"/>
          <w:szCs w:val="24"/>
        </w:rPr>
        <w:t>ΔE</w:t>
      </w:r>
      <w:r>
        <w:rPr>
          <w:rFonts w:ascii="Times New Roman" w:hAnsi="Times New Roman" w:cs="Times New Roman"/>
          <w:sz w:val="24"/>
          <w:szCs w:val="24"/>
          <w:vertAlign w:val="subscript"/>
        </w:rPr>
        <w:t>conv</w:t>
      </w:r>
      <w:proofErr w:type="spellEnd"/>
      <w:r>
        <w:rPr>
          <w:rFonts w:ascii="Times New Roman" w:hAnsi="Times New Roman" w:cs="Times New Roman"/>
          <w:sz w:val="24"/>
          <w:szCs w:val="24"/>
        </w:rPr>
        <w:t xml:space="preserve"> represents an endpoint thermodynamic energy difference and should not be interpreted as an activation barrier for H</w:t>
      </w:r>
      <w:r>
        <w:rPr>
          <w:rFonts w:ascii="Times New Roman" w:hAnsi="Times New Roman" w:cs="Times New Roman" w:hint="eastAsia"/>
          <w:sz w:val="24"/>
          <w:szCs w:val="24"/>
          <w:vertAlign w:val="subscript"/>
        </w:rPr>
        <w:t>2</w:t>
      </w:r>
      <w:r>
        <w:rPr>
          <w:rFonts w:ascii="Times New Roman" w:hAnsi="Times New Roman" w:cs="Times New Roman"/>
          <w:sz w:val="24"/>
          <w:szCs w:val="24"/>
        </w:rPr>
        <w:t>S dehydrogenation.</w:t>
      </w:r>
    </w:p>
    <w:p w14:paraId="5015D33E" w14:textId="77777777" w:rsidR="00E91A01" w:rsidRDefault="00000000">
      <w:pPr>
        <w:spacing w:after="120" w:line="360" w:lineRule="auto"/>
        <w:rPr>
          <w:rFonts w:ascii="Times New Roman" w:hAnsi="Times New Roman" w:cs="Times New Roman"/>
          <w:b/>
          <w:sz w:val="24"/>
        </w:rPr>
      </w:pPr>
      <w:r>
        <w:rPr>
          <w:rFonts w:ascii="Times New Roman" w:hAnsi="Times New Roman" w:cs="Times New Roman" w:hint="eastAsia"/>
          <w:b/>
          <w:sz w:val="24"/>
        </w:rPr>
        <w:t>Reference</w:t>
      </w:r>
    </w:p>
    <w:p w14:paraId="7055C9B6" w14:textId="7777777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14:ligatures w14:val="standardContextual"/>
        </w:rPr>
        <w:fldChar w:fldCharType="begin"/>
      </w:r>
      <w:r>
        <w:rPr>
          <w:rFonts w:ascii="Times New Roman" w:hAnsi="Times New Roman" w:cs="Times New Roman"/>
          <w:sz w:val="24"/>
          <w:szCs w:val="24"/>
        </w:rPr>
        <w:instrText xml:space="preserve"> ADDIN ZOTERO_BIBL {"uncited":[],"omitted":[],"custom":[]} CSL_BIBLIOGRAPHY </w:instrText>
      </w:r>
      <w:r>
        <w:rPr>
          <w:rFonts w:ascii="Times New Roman" w:hAnsi="Times New Roman" w:cs="Times New Roman"/>
          <w:sz w:val="24"/>
          <w:szCs w:val="24"/>
          <w14:ligatures w14:val="standardContextual"/>
        </w:rPr>
        <w:fldChar w:fldCharType="separate"/>
      </w:r>
      <w:r>
        <w:rPr>
          <w:rFonts w:ascii="Times New Roman" w:hAnsi="Times New Roman" w:cs="Times New Roman"/>
          <w:sz w:val="24"/>
          <w:szCs w:val="24"/>
        </w:rPr>
        <w:t>1.</w:t>
      </w:r>
      <w:r>
        <w:rPr>
          <w:rFonts w:ascii="Times New Roman" w:hAnsi="Times New Roman" w:cs="Times New Roman"/>
          <w:sz w:val="24"/>
          <w:szCs w:val="24"/>
        </w:rPr>
        <w:tab/>
        <w:t xml:space="preserve">Blackman, C. Do We Need “Ionosorbed” Oxygen Species? (Or, “A Surface Conductivity Model of Gas Sensitivity in Metal Oxides Based on Variable Surface Oxygen Vacancy Concentration”). </w:t>
      </w:r>
      <w:r>
        <w:rPr>
          <w:rFonts w:ascii="Times New Roman" w:hAnsi="Times New Roman" w:cs="Times New Roman"/>
          <w:i/>
          <w:iCs/>
          <w:sz w:val="24"/>
          <w:szCs w:val="24"/>
        </w:rPr>
        <w:t>ACS Sens.</w:t>
      </w:r>
      <w:r>
        <w:rPr>
          <w:rFonts w:ascii="Times New Roman" w:hAnsi="Times New Roman" w:cs="Times New Roman"/>
          <w:sz w:val="24"/>
          <w:szCs w:val="24"/>
        </w:rPr>
        <w:t xml:space="preserve"> 6, 3509–3516 (2021).</w:t>
      </w:r>
    </w:p>
    <w:p w14:paraId="2628434E" w14:textId="1D45136D"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Dutta, T.</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et al.</w:t>
      </w:r>
      <w:r w:rsidR="00EE08ED">
        <w:rPr>
          <w:rFonts w:ascii="Times New Roman" w:hAnsi="Times New Roman" w:cs="Times New Roman" w:hint="eastAsia"/>
          <w:i/>
          <w:iCs/>
          <w:sz w:val="24"/>
          <w:szCs w:val="24"/>
        </w:rPr>
        <w:t xml:space="preserve"> </w:t>
      </w:r>
      <w:r>
        <w:rPr>
          <w:rFonts w:ascii="Times New Roman" w:hAnsi="Times New Roman" w:cs="Times New Roman"/>
          <w:sz w:val="24"/>
          <w:szCs w:val="24"/>
        </w:rPr>
        <w:t xml:space="preserve">Road Map of Semiconductor Metal-Oxide-Based Sensors: A Review. </w:t>
      </w:r>
      <w:r>
        <w:rPr>
          <w:rFonts w:ascii="Times New Roman" w:hAnsi="Times New Roman" w:cs="Times New Roman"/>
          <w:i/>
          <w:iCs/>
          <w:sz w:val="24"/>
          <w:szCs w:val="24"/>
        </w:rPr>
        <w:t>Sensors</w:t>
      </w:r>
      <w:r>
        <w:rPr>
          <w:rFonts w:ascii="Times New Roman" w:hAnsi="Times New Roman" w:cs="Times New Roman"/>
          <w:sz w:val="24"/>
          <w:szCs w:val="24"/>
        </w:rPr>
        <w:t xml:space="preserve"> 23, 6849 (2023).</w:t>
      </w:r>
    </w:p>
    <w:p w14:paraId="71AAC84C" w14:textId="7E07086C"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t xml:space="preserve">Gao, X. </w:t>
      </w:r>
      <w:r w:rsidR="00EE08ED">
        <w:rPr>
          <w:rFonts w:ascii="Times New Roman" w:hAnsi="Times New Roman" w:cs="Times New Roman"/>
          <w:i/>
          <w:iCs/>
          <w:sz w:val="24"/>
          <w:szCs w:val="24"/>
        </w:rPr>
        <w:t>et al.</w:t>
      </w:r>
      <w:r>
        <w:rPr>
          <w:rFonts w:ascii="Times New Roman" w:hAnsi="Times New Roman" w:cs="Times New Roman"/>
          <w:sz w:val="24"/>
          <w:szCs w:val="24"/>
        </w:rPr>
        <w:t xml:space="preserve"> An overview: Facet-dependent metal oxide semiconductor gas sensors. </w:t>
      </w:r>
      <w:r>
        <w:rPr>
          <w:rFonts w:ascii="Times New Roman" w:hAnsi="Times New Roman" w:cs="Times New Roman"/>
          <w:i/>
          <w:iCs/>
          <w:sz w:val="24"/>
          <w:szCs w:val="24"/>
        </w:rPr>
        <w:t>Sensors and Actuators B: Chemical</w:t>
      </w:r>
      <w:r>
        <w:rPr>
          <w:rFonts w:ascii="Times New Roman" w:hAnsi="Times New Roman" w:cs="Times New Roman"/>
          <w:sz w:val="24"/>
          <w:szCs w:val="24"/>
        </w:rPr>
        <w:t xml:space="preserve"> 277, 604–633 (2018).</w:t>
      </w:r>
    </w:p>
    <w:p w14:paraId="3FD2F7F5" w14:textId="6EDB108A"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t>Luo, N.</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 xml:space="preserve">et </w:t>
      </w:r>
      <w:proofErr w:type="spellStart"/>
      <w:proofErr w:type="gramStart"/>
      <w:r w:rsidR="00EE08ED">
        <w:rPr>
          <w:rFonts w:ascii="Times New Roman" w:hAnsi="Times New Roman" w:cs="Times New Roman"/>
          <w:i/>
          <w:iCs/>
          <w:sz w:val="24"/>
          <w:szCs w:val="24"/>
        </w:rPr>
        <w:t>al.</w:t>
      </w:r>
      <w:r>
        <w:rPr>
          <w:rFonts w:ascii="Times New Roman" w:hAnsi="Times New Roman" w:cs="Times New Roman"/>
          <w:sz w:val="24"/>
          <w:szCs w:val="24"/>
        </w:rPr>
        <w:t>Pt</w:t>
      </w:r>
      <w:proofErr w:type="spellEnd"/>
      <w:proofErr w:type="gramEnd"/>
      <w:r>
        <w:rPr>
          <w:rFonts w:ascii="Times New Roman" w:hAnsi="Times New Roman" w:cs="Times New Roman"/>
          <w:sz w:val="24"/>
          <w:szCs w:val="24"/>
        </w:rPr>
        <w:t xml:space="preserve">‐functionalized Amorphous </w:t>
      </w:r>
      <w:proofErr w:type="spellStart"/>
      <w:r>
        <w:rPr>
          <w:rFonts w:ascii="Times New Roman" w:hAnsi="Times New Roman" w:cs="Times New Roman"/>
          <w:sz w:val="24"/>
          <w:szCs w:val="24"/>
        </w:rPr>
        <w:t>RuO</w:t>
      </w:r>
      <w:r>
        <w:rPr>
          <w:rFonts w:ascii="Times New Roman" w:hAnsi="Times New Roman" w:cs="Times New Roman"/>
          <w:sz w:val="24"/>
          <w:szCs w:val="24"/>
          <w:vertAlign w:val="subscript"/>
        </w:rPr>
        <w:t>x</w:t>
      </w:r>
      <w:proofErr w:type="spellEnd"/>
      <w:r>
        <w:rPr>
          <w:rFonts w:ascii="Times New Roman" w:hAnsi="Times New Roman" w:cs="Times New Roman"/>
          <w:sz w:val="24"/>
          <w:szCs w:val="24"/>
        </w:rPr>
        <w:t xml:space="preserve"> as Excellent Stability and High‐activity Catalysts for Low Temperature MEMS Sensors. </w:t>
      </w:r>
      <w:r>
        <w:rPr>
          <w:rFonts w:ascii="Times New Roman" w:hAnsi="Times New Roman" w:cs="Times New Roman"/>
          <w:i/>
          <w:iCs/>
          <w:sz w:val="24"/>
          <w:szCs w:val="24"/>
        </w:rPr>
        <w:t>Small</w:t>
      </w:r>
      <w:r>
        <w:rPr>
          <w:rFonts w:ascii="Times New Roman" w:hAnsi="Times New Roman" w:cs="Times New Roman"/>
          <w:sz w:val="24"/>
          <w:szCs w:val="24"/>
        </w:rPr>
        <w:t xml:space="preserve"> 19, 2300006 (2023).</w:t>
      </w:r>
    </w:p>
    <w:p w14:paraId="1B7F3EA8" w14:textId="7777777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t xml:space="preserve">Raza, A. </w:t>
      </w:r>
      <w:r>
        <w:rPr>
          <w:rFonts w:ascii="Times New Roman" w:hAnsi="Times New Roman" w:cs="Times New Roman"/>
          <w:i/>
          <w:iCs/>
          <w:sz w:val="24"/>
          <w:szCs w:val="24"/>
        </w:rPr>
        <w:t>et al.</w:t>
      </w:r>
      <w:r>
        <w:rPr>
          <w:rFonts w:ascii="Times New Roman" w:hAnsi="Times New Roman" w:cs="Times New Roman"/>
          <w:sz w:val="24"/>
          <w:szCs w:val="24"/>
        </w:rPr>
        <w:t xml:space="preserve"> Synergistic ZnS@Co</w:t>
      </w:r>
      <w:r>
        <w:rPr>
          <w:rFonts w:ascii="Times New Roman" w:hAnsi="Times New Roman" w:cs="Times New Roman" w:hint="eastAsia"/>
          <w:sz w:val="24"/>
          <w:szCs w:val="24"/>
          <w:vertAlign w:val="subscript"/>
        </w:rPr>
        <w:t>3</w:t>
      </w:r>
      <w:r>
        <w:rPr>
          <w:rFonts w:ascii="Times New Roman" w:hAnsi="Times New Roman" w:cs="Times New Roman"/>
          <w:sz w:val="24"/>
          <w:szCs w:val="24"/>
        </w:rPr>
        <w:t>O</w:t>
      </w:r>
      <w:r>
        <w:rPr>
          <w:rFonts w:ascii="Times New Roman" w:hAnsi="Times New Roman" w:cs="Times New Roman" w:hint="eastAsia"/>
          <w:sz w:val="24"/>
          <w:szCs w:val="24"/>
          <w:vertAlign w:val="subscript"/>
        </w:rPr>
        <w:t>4</w:t>
      </w:r>
      <w:r>
        <w:rPr>
          <w:rFonts w:ascii="Times New Roman" w:hAnsi="Times New Roman" w:cs="Times New Roman"/>
          <w:sz w:val="24"/>
          <w:szCs w:val="24"/>
        </w:rPr>
        <w:t xml:space="preserve">/MXene hybrid derived from ZIF-67 for </w:t>
      </w:r>
      <w:r>
        <w:rPr>
          <w:rFonts w:ascii="Times New Roman" w:hAnsi="Times New Roman" w:cs="Times New Roman"/>
          <w:sz w:val="24"/>
          <w:szCs w:val="24"/>
        </w:rPr>
        <w:lastRenderedPageBreak/>
        <w:t xml:space="preserve">high-performance supercapacitors. </w:t>
      </w:r>
      <w:r>
        <w:rPr>
          <w:rFonts w:ascii="Times New Roman" w:hAnsi="Times New Roman" w:cs="Times New Roman"/>
          <w:i/>
          <w:iCs/>
          <w:sz w:val="24"/>
          <w:szCs w:val="24"/>
        </w:rPr>
        <w:t>Journal of Energy Storage</w:t>
      </w:r>
      <w:r>
        <w:rPr>
          <w:rFonts w:ascii="Times New Roman" w:hAnsi="Times New Roman" w:cs="Times New Roman"/>
          <w:sz w:val="24"/>
          <w:szCs w:val="24"/>
        </w:rPr>
        <w:t xml:space="preserve"> 151, 120420 (2026).</w:t>
      </w:r>
    </w:p>
    <w:p w14:paraId="7B9385E6" w14:textId="7777777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t xml:space="preserve">Li, Q. </w:t>
      </w:r>
      <w:r>
        <w:rPr>
          <w:rFonts w:ascii="Times New Roman" w:hAnsi="Times New Roman" w:cs="Times New Roman"/>
          <w:i/>
          <w:iCs/>
          <w:sz w:val="24"/>
          <w:szCs w:val="24"/>
        </w:rPr>
        <w:t>et al.</w:t>
      </w:r>
      <w:r>
        <w:rPr>
          <w:rFonts w:ascii="Times New Roman" w:hAnsi="Times New Roman" w:cs="Times New Roman"/>
          <w:sz w:val="24"/>
          <w:szCs w:val="24"/>
        </w:rPr>
        <w:t xml:space="preserve"> Optimized Co–S bonds energy and confinement effect of hollow MXene@CoS</w:t>
      </w:r>
      <w:r>
        <w:rPr>
          <w:rFonts w:ascii="Times New Roman" w:hAnsi="Times New Roman" w:cs="Times New Roman"/>
          <w:sz w:val="24"/>
          <w:szCs w:val="24"/>
          <w:vertAlign w:val="subscript"/>
        </w:rPr>
        <w:t>2</w:t>
      </w:r>
      <w:r>
        <w:rPr>
          <w:rFonts w:ascii="Times New Roman" w:hAnsi="Times New Roman" w:cs="Times New Roman"/>
          <w:sz w:val="24"/>
          <w:szCs w:val="24"/>
        </w:rPr>
        <w:t xml:space="preserve">/NC for enhanced sodium storage kinetics and stability. </w:t>
      </w:r>
      <w:r>
        <w:rPr>
          <w:rFonts w:ascii="Times New Roman" w:hAnsi="Times New Roman" w:cs="Times New Roman"/>
          <w:i/>
          <w:iCs/>
          <w:sz w:val="24"/>
          <w:szCs w:val="24"/>
        </w:rPr>
        <w:t>Chemical Engineering Journal</w:t>
      </w:r>
      <w:r>
        <w:rPr>
          <w:rFonts w:ascii="Times New Roman" w:hAnsi="Times New Roman" w:cs="Times New Roman"/>
          <w:sz w:val="24"/>
          <w:szCs w:val="24"/>
        </w:rPr>
        <w:t xml:space="preserve"> 450, 137922 (2022).</w:t>
      </w:r>
    </w:p>
    <w:p w14:paraId="6584C4B5" w14:textId="7777777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t xml:space="preserve">Xiao, F. </w:t>
      </w:r>
      <w:r>
        <w:rPr>
          <w:rFonts w:ascii="Times New Roman" w:hAnsi="Times New Roman" w:cs="Times New Roman"/>
          <w:i/>
          <w:iCs/>
          <w:sz w:val="24"/>
          <w:szCs w:val="24"/>
        </w:rPr>
        <w:t>et al.</w:t>
      </w:r>
      <w:r>
        <w:rPr>
          <w:rFonts w:ascii="Times New Roman" w:hAnsi="Times New Roman" w:cs="Times New Roman"/>
          <w:sz w:val="24"/>
          <w:szCs w:val="24"/>
        </w:rPr>
        <w:t xml:space="preserve"> MOF-Derived CoS</w:t>
      </w:r>
      <w:r>
        <w:rPr>
          <w:rFonts w:ascii="Times New Roman" w:hAnsi="Times New Roman" w:cs="Times New Roman"/>
          <w:sz w:val="24"/>
          <w:szCs w:val="24"/>
          <w:vertAlign w:val="subscript"/>
        </w:rPr>
        <w:t>2</w:t>
      </w:r>
      <w:r>
        <w:rPr>
          <w:rFonts w:ascii="Times New Roman" w:hAnsi="Times New Roman" w:cs="Times New Roman"/>
          <w:sz w:val="24"/>
          <w:szCs w:val="24"/>
        </w:rPr>
        <w:t xml:space="preserve">/N-Doped Carbon Composite to Induce Short-Chain Sulfur Molecule Generation for Enhanced Sodium–Sulfur Battery Performance. </w:t>
      </w:r>
      <w:r>
        <w:rPr>
          <w:rFonts w:ascii="Times New Roman" w:hAnsi="Times New Roman" w:cs="Times New Roman"/>
          <w:i/>
          <w:iCs/>
          <w:sz w:val="24"/>
          <w:szCs w:val="24"/>
        </w:rPr>
        <w:t>ACS Appl. Mater. Interfaces</w:t>
      </w:r>
      <w:r>
        <w:rPr>
          <w:rFonts w:ascii="Times New Roman" w:hAnsi="Times New Roman" w:cs="Times New Roman"/>
          <w:sz w:val="24"/>
          <w:szCs w:val="24"/>
        </w:rPr>
        <w:t xml:space="preserve"> 13, 18010–18020 (2021).</w:t>
      </w:r>
    </w:p>
    <w:p w14:paraId="317B5335" w14:textId="7777777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8.</w:t>
      </w:r>
      <w:r>
        <w:rPr>
          <w:rFonts w:ascii="Times New Roman" w:hAnsi="Times New Roman" w:cs="Times New Roman"/>
          <w:sz w:val="24"/>
          <w:szCs w:val="24"/>
        </w:rPr>
        <w:tab/>
        <w:t xml:space="preserve">Song, X. </w:t>
      </w:r>
      <w:r>
        <w:rPr>
          <w:rFonts w:ascii="Times New Roman" w:hAnsi="Times New Roman" w:cs="Times New Roman"/>
          <w:i/>
          <w:iCs/>
          <w:sz w:val="24"/>
          <w:szCs w:val="24"/>
        </w:rPr>
        <w:t>et al.</w:t>
      </w:r>
      <w:r>
        <w:rPr>
          <w:rFonts w:ascii="Times New Roman" w:hAnsi="Times New Roman" w:cs="Times New Roman"/>
          <w:sz w:val="24"/>
          <w:szCs w:val="24"/>
        </w:rPr>
        <w:t xml:space="preserve"> Rapid and high responsive Pt-Co</w:t>
      </w:r>
      <w:r>
        <w:rPr>
          <w:rFonts w:ascii="Times New Roman" w:hAnsi="Times New Roman" w:cs="Times New Roman"/>
          <w:sz w:val="24"/>
          <w:szCs w:val="24"/>
          <w:vertAlign w:val="subscript"/>
        </w:rPr>
        <w:t>3</w:t>
      </w:r>
      <w:r>
        <w:rPr>
          <w:rFonts w:ascii="Times New Roman" w:hAnsi="Times New Roman" w:cs="Times New Roman"/>
          <w:sz w:val="24"/>
          <w:szCs w:val="24"/>
        </w:rPr>
        <w:t>O</w:t>
      </w:r>
      <w:r>
        <w:rPr>
          <w:rFonts w:ascii="Times New Roman" w:hAnsi="Times New Roman" w:cs="Times New Roman"/>
          <w:sz w:val="24"/>
          <w:szCs w:val="24"/>
          <w:vertAlign w:val="subscript"/>
        </w:rPr>
        <w:t>4</w:t>
      </w:r>
      <w:r>
        <w:rPr>
          <w:rFonts w:ascii="Times New Roman" w:hAnsi="Times New Roman" w:cs="Times New Roman"/>
          <w:sz w:val="24"/>
          <w:szCs w:val="24"/>
        </w:rPr>
        <w:t>@SnO</w:t>
      </w:r>
      <w:r>
        <w:rPr>
          <w:rFonts w:ascii="Times New Roman" w:hAnsi="Times New Roman" w:cs="Times New Roman"/>
          <w:sz w:val="24"/>
          <w:szCs w:val="24"/>
          <w:vertAlign w:val="subscript"/>
        </w:rPr>
        <w:t>2</w:t>
      </w:r>
      <w:r>
        <w:rPr>
          <w:rFonts w:ascii="Times New Roman" w:hAnsi="Times New Roman" w:cs="Times New Roman"/>
          <w:sz w:val="24"/>
          <w:szCs w:val="24"/>
        </w:rPr>
        <w:t xml:space="preserve"> core-shell nanofibers for room-temperature detection of H</w:t>
      </w:r>
      <w:r>
        <w:rPr>
          <w:rFonts w:ascii="Times New Roman" w:hAnsi="Times New Roman" w:cs="Times New Roman"/>
          <w:sz w:val="24"/>
          <w:szCs w:val="24"/>
          <w:vertAlign w:val="subscript"/>
        </w:rPr>
        <w:t>2</w:t>
      </w:r>
      <w:r>
        <w:rPr>
          <w:rFonts w:ascii="Times New Roman" w:hAnsi="Times New Roman" w:cs="Times New Roman"/>
          <w:sz w:val="24"/>
          <w:szCs w:val="24"/>
        </w:rPr>
        <w:t xml:space="preserve">S in exhaled breath for non-invasive asthma diagnosis. </w:t>
      </w:r>
      <w:r>
        <w:rPr>
          <w:rFonts w:ascii="Times New Roman" w:hAnsi="Times New Roman" w:cs="Times New Roman"/>
          <w:i/>
          <w:iCs/>
          <w:sz w:val="24"/>
          <w:szCs w:val="24"/>
        </w:rPr>
        <w:t>Chemical Engineering Journal</w:t>
      </w:r>
      <w:r>
        <w:rPr>
          <w:rFonts w:ascii="Times New Roman" w:hAnsi="Times New Roman" w:cs="Times New Roman"/>
          <w:sz w:val="24"/>
          <w:szCs w:val="24"/>
        </w:rPr>
        <w:t xml:space="preserve"> 533, 174765 (2026).</w:t>
      </w:r>
    </w:p>
    <w:p w14:paraId="6333F0F8" w14:textId="65168155"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9.</w:t>
      </w:r>
      <w:r>
        <w:rPr>
          <w:rFonts w:ascii="Times New Roman" w:hAnsi="Times New Roman" w:cs="Times New Roman"/>
          <w:sz w:val="24"/>
          <w:szCs w:val="24"/>
        </w:rPr>
        <w:tab/>
        <w:t>Kresse, G.</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et al.</w:t>
      </w:r>
      <w:r>
        <w:rPr>
          <w:rFonts w:ascii="Times New Roman" w:hAnsi="Times New Roman" w:cs="Times New Roman"/>
          <w:sz w:val="24"/>
          <w:szCs w:val="24"/>
        </w:rPr>
        <w:t xml:space="preserve"> Efficient iterative schemes for </w:t>
      </w:r>
      <w:r>
        <w:rPr>
          <w:rFonts w:ascii="Times New Roman" w:hAnsi="Times New Roman" w:cs="Times New Roman"/>
          <w:i/>
          <w:iCs/>
          <w:sz w:val="24"/>
          <w:szCs w:val="24"/>
        </w:rPr>
        <w:t>ab initio</w:t>
      </w:r>
      <w:r>
        <w:rPr>
          <w:rFonts w:ascii="Times New Roman" w:hAnsi="Times New Roman" w:cs="Times New Roman"/>
          <w:sz w:val="24"/>
          <w:szCs w:val="24"/>
        </w:rPr>
        <w:t xml:space="preserve"> total-energy calculations using a plane-wave basis set. </w:t>
      </w:r>
      <w:r>
        <w:rPr>
          <w:rFonts w:ascii="Times New Roman" w:hAnsi="Times New Roman" w:cs="Times New Roman"/>
          <w:i/>
          <w:iCs/>
          <w:sz w:val="24"/>
          <w:szCs w:val="24"/>
        </w:rPr>
        <w:t>Phys. Rev. B</w:t>
      </w:r>
      <w:r>
        <w:rPr>
          <w:rFonts w:ascii="Times New Roman" w:hAnsi="Times New Roman" w:cs="Times New Roman"/>
          <w:sz w:val="24"/>
          <w:szCs w:val="24"/>
        </w:rPr>
        <w:t xml:space="preserve"> 54, 11169–11186 (1996).</w:t>
      </w:r>
    </w:p>
    <w:p w14:paraId="5AB03654" w14:textId="2B6C75D1"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rPr>
        <w:tab/>
        <w:t>Kresse, G.</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et al.</w:t>
      </w:r>
      <w:r w:rsidR="00EE08ED">
        <w:rPr>
          <w:rFonts w:ascii="Times New Roman" w:hAnsi="Times New Roman" w:cs="Times New Roman" w:hint="eastAsia"/>
          <w:i/>
          <w:iCs/>
          <w:sz w:val="24"/>
          <w:szCs w:val="24"/>
        </w:rPr>
        <w:t xml:space="preserve"> </w:t>
      </w:r>
      <w:r>
        <w:rPr>
          <w:rFonts w:ascii="Times New Roman" w:hAnsi="Times New Roman" w:cs="Times New Roman"/>
          <w:sz w:val="24"/>
          <w:szCs w:val="24"/>
        </w:rPr>
        <w:t xml:space="preserve">Efficiency of ab-initio total energy calculations for metals and semiconductors using a plane-wave basis set. </w:t>
      </w:r>
      <w:r>
        <w:rPr>
          <w:rFonts w:ascii="Times New Roman" w:hAnsi="Times New Roman" w:cs="Times New Roman"/>
          <w:i/>
          <w:iCs/>
          <w:sz w:val="24"/>
          <w:szCs w:val="24"/>
        </w:rPr>
        <w:t>Computational Materials Science</w:t>
      </w:r>
      <w:r>
        <w:rPr>
          <w:rFonts w:ascii="Times New Roman" w:hAnsi="Times New Roman" w:cs="Times New Roman"/>
          <w:sz w:val="24"/>
          <w:szCs w:val="24"/>
        </w:rPr>
        <w:t xml:space="preserve"> 6, 15–50 (1996).</w:t>
      </w:r>
    </w:p>
    <w:p w14:paraId="3521255C" w14:textId="7AF0A7E4"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t>Kresse, G.</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et al.</w:t>
      </w:r>
      <w:r w:rsidR="00EE08ED">
        <w:rPr>
          <w:rFonts w:ascii="Times New Roman" w:hAnsi="Times New Roman" w:cs="Times New Roman" w:hint="eastAsia"/>
          <w:i/>
          <w:iCs/>
          <w:sz w:val="24"/>
          <w:szCs w:val="24"/>
        </w:rPr>
        <w:t xml:space="preserve"> </w:t>
      </w:r>
      <w:r>
        <w:rPr>
          <w:rFonts w:ascii="Times New Roman" w:hAnsi="Times New Roman" w:cs="Times New Roman"/>
          <w:sz w:val="24"/>
          <w:szCs w:val="24"/>
        </w:rPr>
        <w:t xml:space="preserve">From ultrasoft pseudopotentials to the projector augmented-wave method. </w:t>
      </w:r>
      <w:r>
        <w:rPr>
          <w:rFonts w:ascii="Times New Roman" w:hAnsi="Times New Roman" w:cs="Times New Roman"/>
          <w:i/>
          <w:iCs/>
          <w:sz w:val="24"/>
          <w:szCs w:val="24"/>
        </w:rPr>
        <w:t>Phys. Rev. B</w:t>
      </w:r>
      <w:r>
        <w:rPr>
          <w:rFonts w:ascii="Times New Roman" w:hAnsi="Times New Roman" w:cs="Times New Roman"/>
          <w:sz w:val="24"/>
          <w:szCs w:val="24"/>
        </w:rPr>
        <w:t xml:space="preserve"> 59, 1758–1775 (1999).</w:t>
      </w:r>
    </w:p>
    <w:p w14:paraId="53A30307" w14:textId="7777777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t xml:space="preserve">Blöchl, P. E. Projector augmented-wave method. </w:t>
      </w:r>
      <w:r>
        <w:rPr>
          <w:rFonts w:ascii="Times New Roman" w:hAnsi="Times New Roman" w:cs="Times New Roman"/>
          <w:i/>
          <w:iCs/>
          <w:sz w:val="24"/>
          <w:szCs w:val="24"/>
        </w:rPr>
        <w:t>Phys. Rev. B</w:t>
      </w:r>
      <w:r>
        <w:rPr>
          <w:rFonts w:ascii="Times New Roman" w:hAnsi="Times New Roman" w:cs="Times New Roman"/>
          <w:sz w:val="24"/>
          <w:szCs w:val="24"/>
        </w:rPr>
        <w:t xml:space="preserve"> 50, 17953–17979 (1994).</w:t>
      </w:r>
    </w:p>
    <w:p w14:paraId="2FB7FDC2" w14:textId="7D65D547"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t>Perdew, J. P.</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et al.</w:t>
      </w:r>
      <w:r w:rsidR="00EE08ED">
        <w:rPr>
          <w:rFonts w:ascii="Times New Roman" w:hAnsi="Times New Roman" w:cs="Times New Roman" w:hint="eastAsia"/>
          <w:i/>
          <w:iCs/>
          <w:sz w:val="24"/>
          <w:szCs w:val="24"/>
        </w:rPr>
        <w:t xml:space="preserve"> </w:t>
      </w:r>
      <w:r>
        <w:rPr>
          <w:rFonts w:ascii="Times New Roman" w:hAnsi="Times New Roman" w:cs="Times New Roman"/>
          <w:sz w:val="24"/>
          <w:szCs w:val="24"/>
        </w:rPr>
        <w:t xml:space="preserve">Generalized Gradient Approximation Made Simple [Phys. Rev. Lett. 77, 3865 (1996)]. </w:t>
      </w:r>
      <w:r>
        <w:rPr>
          <w:rFonts w:ascii="Times New Roman" w:hAnsi="Times New Roman" w:cs="Times New Roman"/>
          <w:i/>
          <w:iCs/>
          <w:sz w:val="24"/>
          <w:szCs w:val="24"/>
        </w:rPr>
        <w:t>Phys. Rev. Lett.</w:t>
      </w:r>
      <w:r>
        <w:rPr>
          <w:rFonts w:ascii="Times New Roman" w:hAnsi="Times New Roman" w:cs="Times New Roman"/>
          <w:sz w:val="24"/>
          <w:szCs w:val="24"/>
        </w:rPr>
        <w:t xml:space="preserve"> 78, 1396–1396 (1997).</w:t>
      </w:r>
    </w:p>
    <w:p w14:paraId="408EC9A1" w14:textId="46B403F2" w:rsidR="00E91A01" w:rsidRDefault="00000000" w:rsidP="007560A9">
      <w:pPr>
        <w:pStyle w:val="22"/>
        <w:spacing w:line="360" w:lineRule="auto"/>
        <w:ind w:left="386" w:hanging="386"/>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rPr>
        <w:tab/>
        <w:t>Dudarev, S. L.</w:t>
      </w:r>
      <w:r w:rsidR="00EE08ED" w:rsidRPr="00EE08ED">
        <w:rPr>
          <w:rFonts w:ascii="Times New Roman" w:hAnsi="Times New Roman" w:cs="Times New Roman"/>
          <w:i/>
          <w:iCs/>
          <w:sz w:val="24"/>
          <w:szCs w:val="24"/>
        </w:rPr>
        <w:t xml:space="preserve"> </w:t>
      </w:r>
      <w:r w:rsidR="00EE08ED">
        <w:rPr>
          <w:rFonts w:ascii="Times New Roman" w:hAnsi="Times New Roman" w:cs="Times New Roman"/>
          <w:i/>
          <w:iCs/>
          <w:sz w:val="24"/>
          <w:szCs w:val="24"/>
        </w:rPr>
        <w:t>et al.</w:t>
      </w:r>
      <w:r>
        <w:rPr>
          <w:rFonts w:ascii="Times New Roman" w:hAnsi="Times New Roman" w:cs="Times New Roman"/>
          <w:sz w:val="24"/>
          <w:szCs w:val="24"/>
        </w:rPr>
        <w:t xml:space="preserve"> Electron-energy-loss spectra and the structural stability of nickel oxide: An LSDA+U study. </w:t>
      </w:r>
      <w:r>
        <w:rPr>
          <w:rFonts w:ascii="Times New Roman" w:hAnsi="Times New Roman" w:cs="Times New Roman"/>
          <w:i/>
          <w:iCs/>
          <w:sz w:val="24"/>
          <w:szCs w:val="24"/>
        </w:rPr>
        <w:t>Phys. Rev. B</w:t>
      </w:r>
      <w:r>
        <w:rPr>
          <w:rFonts w:ascii="Times New Roman" w:hAnsi="Times New Roman" w:cs="Times New Roman"/>
          <w:sz w:val="24"/>
          <w:szCs w:val="24"/>
        </w:rPr>
        <w:t xml:space="preserve"> 57, 1505–1509 (1998).</w:t>
      </w:r>
    </w:p>
    <w:p w14:paraId="40D9EA46" w14:textId="77777777" w:rsidR="00E91A01" w:rsidRDefault="00000000">
      <w:pPr>
        <w:widowControl/>
        <w:spacing w:line="360" w:lineRule="auto"/>
        <w:rPr>
          <w:rFonts w:ascii="Times New Roman" w:hAnsi="Times New Roman" w:cs="Times New Roman"/>
          <w:sz w:val="24"/>
          <w:szCs w:val="24"/>
        </w:rPr>
      </w:pPr>
      <w:r>
        <w:rPr>
          <w:rFonts w:ascii="Times New Roman" w:hAnsi="Times New Roman" w:cs="Times New Roman"/>
          <w:sz w:val="24"/>
          <w:szCs w:val="24"/>
        </w:rPr>
        <w:fldChar w:fldCharType="end"/>
      </w:r>
    </w:p>
    <w:sectPr w:rsidR="00E91A0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417476" w14:textId="77777777" w:rsidR="00D045D5" w:rsidRDefault="00D045D5" w:rsidP="00993B5E">
      <w:pPr>
        <w:rPr>
          <w:rFonts w:hint="eastAsia"/>
        </w:rPr>
      </w:pPr>
      <w:r>
        <w:separator/>
      </w:r>
    </w:p>
  </w:endnote>
  <w:endnote w:type="continuationSeparator" w:id="0">
    <w:p w14:paraId="08A6706C" w14:textId="77777777" w:rsidR="00D045D5" w:rsidRDefault="00D045D5" w:rsidP="00993B5E">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774504" w14:textId="77777777" w:rsidR="00D045D5" w:rsidRDefault="00D045D5" w:rsidP="00993B5E">
      <w:pPr>
        <w:rPr>
          <w:rFonts w:hint="eastAsia"/>
        </w:rPr>
      </w:pPr>
      <w:r>
        <w:separator/>
      </w:r>
    </w:p>
  </w:footnote>
  <w:footnote w:type="continuationSeparator" w:id="0">
    <w:p w14:paraId="4C0A273E" w14:textId="77777777" w:rsidR="00D045D5" w:rsidRDefault="00D045D5" w:rsidP="00993B5E">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A45"/>
    <w:rsid w:val="000003EB"/>
    <w:rsid w:val="0002097B"/>
    <w:rsid w:val="00032062"/>
    <w:rsid w:val="00053FC5"/>
    <w:rsid w:val="00077495"/>
    <w:rsid w:val="000839F2"/>
    <w:rsid w:val="0008786C"/>
    <w:rsid w:val="000B35A7"/>
    <w:rsid w:val="000B3979"/>
    <w:rsid w:val="001019CC"/>
    <w:rsid w:val="001162E6"/>
    <w:rsid w:val="00154532"/>
    <w:rsid w:val="001555CA"/>
    <w:rsid w:val="00156978"/>
    <w:rsid w:val="001B0E4D"/>
    <w:rsid w:val="001F39D6"/>
    <w:rsid w:val="0020333C"/>
    <w:rsid w:val="0020409D"/>
    <w:rsid w:val="00204406"/>
    <w:rsid w:val="002329C7"/>
    <w:rsid w:val="00232E0C"/>
    <w:rsid w:val="00232E3E"/>
    <w:rsid w:val="00235B47"/>
    <w:rsid w:val="00243E63"/>
    <w:rsid w:val="002574FE"/>
    <w:rsid w:val="00274BD2"/>
    <w:rsid w:val="0029209F"/>
    <w:rsid w:val="00294BA4"/>
    <w:rsid w:val="002A2E70"/>
    <w:rsid w:val="002A3906"/>
    <w:rsid w:val="002B5B06"/>
    <w:rsid w:val="002B7C57"/>
    <w:rsid w:val="002C6FFA"/>
    <w:rsid w:val="002D161C"/>
    <w:rsid w:val="002D31F2"/>
    <w:rsid w:val="002E64D6"/>
    <w:rsid w:val="0032641A"/>
    <w:rsid w:val="0034042F"/>
    <w:rsid w:val="003539BF"/>
    <w:rsid w:val="00367D14"/>
    <w:rsid w:val="00377E73"/>
    <w:rsid w:val="00393A33"/>
    <w:rsid w:val="003A6783"/>
    <w:rsid w:val="003B1A9C"/>
    <w:rsid w:val="003B261C"/>
    <w:rsid w:val="003B27DD"/>
    <w:rsid w:val="003D7B9A"/>
    <w:rsid w:val="003F5AB1"/>
    <w:rsid w:val="0042552D"/>
    <w:rsid w:val="00434480"/>
    <w:rsid w:val="004421B3"/>
    <w:rsid w:val="00464ECB"/>
    <w:rsid w:val="00471657"/>
    <w:rsid w:val="0047382E"/>
    <w:rsid w:val="004A5648"/>
    <w:rsid w:val="004C119F"/>
    <w:rsid w:val="00514AC7"/>
    <w:rsid w:val="0053046E"/>
    <w:rsid w:val="00545734"/>
    <w:rsid w:val="00583A45"/>
    <w:rsid w:val="00617F2D"/>
    <w:rsid w:val="00644F85"/>
    <w:rsid w:val="00650CDF"/>
    <w:rsid w:val="0066190A"/>
    <w:rsid w:val="006625D5"/>
    <w:rsid w:val="006847BF"/>
    <w:rsid w:val="00690DB0"/>
    <w:rsid w:val="00694D42"/>
    <w:rsid w:val="006978EF"/>
    <w:rsid w:val="006B3537"/>
    <w:rsid w:val="006E41B6"/>
    <w:rsid w:val="006E5B52"/>
    <w:rsid w:val="006F4554"/>
    <w:rsid w:val="006F65A9"/>
    <w:rsid w:val="00735D39"/>
    <w:rsid w:val="00737957"/>
    <w:rsid w:val="007434A6"/>
    <w:rsid w:val="00751C42"/>
    <w:rsid w:val="007560A9"/>
    <w:rsid w:val="00772BA4"/>
    <w:rsid w:val="007809EB"/>
    <w:rsid w:val="00783CD5"/>
    <w:rsid w:val="00796EA0"/>
    <w:rsid w:val="007A1660"/>
    <w:rsid w:val="007B40E9"/>
    <w:rsid w:val="007D6210"/>
    <w:rsid w:val="007E780B"/>
    <w:rsid w:val="00802B9D"/>
    <w:rsid w:val="00843A0D"/>
    <w:rsid w:val="00846F90"/>
    <w:rsid w:val="0088628D"/>
    <w:rsid w:val="00897F22"/>
    <w:rsid w:val="008A079D"/>
    <w:rsid w:val="008B56C3"/>
    <w:rsid w:val="008B5EBE"/>
    <w:rsid w:val="008B74C5"/>
    <w:rsid w:val="008F2DC7"/>
    <w:rsid w:val="009050DB"/>
    <w:rsid w:val="0093737D"/>
    <w:rsid w:val="0094243A"/>
    <w:rsid w:val="00955481"/>
    <w:rsid w:val="009618E6"/>
    <w:rsid w:val="00967DEF"/>
    <w:rsid w:val="00993B5E"/>
    <w:rsid w:val="009A13C3"/>
    <w:rsid w:val="009E328F"/>
    <w:rsid w:val="009F0EA5"/>
    <w:rsid w:val="00A55E23"/>
    <w:rsid w:val="00A7207A"/>
    <w:rsid w:val="00A809F2"/>
    <w:rsid w:val="00A9028E"/>
    <w:rsid w:val="00AB77BA"/>
    <w:rsid w:val="00AD4543"/>
    <w:rsid w:val="00AE7E54"/>
    <w:rsid w:val="00AE7FEB"/>
    <w:rsid w:val="00AF1628"/>
    <w:rsid w:val="00B02375"/>
    <w:rsid w:val="00B126C5"/>
    <w:rsid w:val="00B31F55"/>
    <w:rsid w:val="00B35F0C"/>
    <w:rsid w:val="00B93FA3"/>
    <w:rsid w:val="00BB69D4"/>
    <w:rsid w:val="00BC1EBE"/>
    <w:rsid w:val="00BC6CA3"/>
    <w:rsid w:val="00BE449A"/>
    <w:rsid w:val="00C407F6"/>
    <w:rsid w:val="00C40DE7"/>
    <w:rsid w:val="00C43FF9"/>
    <w:rsid w:val="00C473C1"/>
    <w:rsid w:val="00C47AF3"/>
    <w:rsid w:val="00C82BAA"/>
    <w:rsid w:val="00C853F1"/>
    <w:rsid w:val="00C87487"/>
    <w:rsid w:val="00CA075D"/>
    <w:rsid w:val="00CB65D8"/>
    <w:rsid w:val="00CD7982"/>
    <w:rsid w:val="00D045D5"/>
    <w:rsid w:val="00D14EC8"/>
    <w:rsid w:val="00D213D4"/>
    <w:rsid w:val="00D34985"/>
    <w:rsid w:val="00D407DE"/>
    <w:rsid w:val="00D55D41"/>
    <w:rsid w:val="00D766C5"/>
    <w:rsid w:val="00D901F1"/>
    <w:rsid w:val="00DB0ED9"/>
    <w:rsid w:val="00DB3BA0"/>
    <w:rsid w:val="00DB7E1B"/>
    <w:rsid w:val="00DE5FF4"/>
    <w:rsid w:val="00E023A9"/>
    <w:rsid w:val="00E37C4E"/>
    <w:rsid w:val="00E4326D"/>
    <w:rsid w:val="00E52E8A"/>
    <w:rsid w:val="00E67B02"/>
    <w:rsid w:val="00E7353B"/>
    <w:rsid w:val="00E82572"/>
    <w:rsid w:val="00E91A01"/>
    <w:rsid w:val="00EC652C"/>
    <w:rsid w:val="00ED2C8D"/>
    <w:rsid w:val="00ED38CC"/>
    <w:rsid w:val="00EE08ED"/>
    <w:rsid w:val="00EE48A6"/>
    <w:rsid w:val="00F21738"/>
    <w:rsid w:val="00F347BD"/>
    <w:rsid w:val="00FA5308"/>
    <w:rsid w:val="00FB0B09"/>
    <w:rsid w:val="00FB300C"/>
    <w:rsid w:val="00FC1766"/>
    <w:rsid w:val="00FD4667"/>
    <w:rsid w:val="00FE1A6C"/>
    <w:rsid w:val="00FE3787"/>
    <w:rsid w:val="00FF5BE9"/>
    <w:rsid w:val="040C21B7"/>
    <w:rsid w:val="0AFB5360"/>
    <w:rsid w:val="0FEE2832"/>
    <w:rsid w:val="298841B7"/>
    <w:rsid w:val="4F7E1BFB"/>
    <w:rsid w:val="531B7F4E"/>
    <w:rsid w:val="59473AB6"/>
    <w:rsid w:val="625B356C"/>
    <w:rsid w:val="6BAB7E30"/>
    <w:rsid w:val="6F1C48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9D4F79B"/>
  <w14:defaultImageDpi w14:val="32767"/>
  <w15:docId w15:val="{A3B7FABA-4E11-4696-80C1-EDE9830F0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pPr>
      <w:jc w:val="left"/>
    </w:pPr>
  </w:style>
  <w:style w:type="paragraph" w:styleId="a4">
    <w:name w:val="footer"/>
    <w:basedOn w:val="a"/>
    <w:link w:val="a5"/>
    <w:uiPriority w:val="99"/>
    <w:unhideWhenUsed/>
    <w:qFormat/>
    <w:pPr>
      <w:tabs>
        <w:tab w:val="center" w:pos="4153"/>
        <w:tab w:val="right" w:pos="8306"/>
      </w:tabs>
      <w:snapToGrid w:val="0"/>
    </w:pPr>
    <w:rPr>
      <w:sz w:val="18"/>
      <w:szCs w:val="18"/>
    </w:rPr>
  </w:style>
  <w:style w:type="paragraph" w:styleId="a6">
    <w:name w:val="header"/>
    <w:basedOn w:val="a"/>
    <w:link w:val="a7"/>
    <w:uiPriority w:val="99"/>
    <w:unhideWhenUsed/>
    <w:qFormat/>
    <w:pPr>
      <w:tabs>
        <w:tab w:val="center" w:pos="4153"/>
        <w:tab w:val="right" w:pos="8306"/>
      </w:tabs>
      <w:snapToGrid w:val="0"/>
      <w:jc w:val="center"/>
    </w:pPr>
    <w:rPr>
      <w:sz w:val="18"/>
      <w:szCs w:val="18"/>
    </w:rPr>
  </w:style>
  <w:style w:type="paragraph" w:styleId="a8">
    <w:name w:val="Subtitle"/>
    <w:basedOn w:val="a"/>
    <w:next w:val="a"/>
    <w:link w:val="a9"/>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aa">
    <w:name w:val="Normal (Web)"/>
    <w:basedOn w:val="a"/>
    <w:uiPriority w:val="99"/>
    <w:unhideWhenUsed/>
    <w:qFormat/>
    <w:rPr>
      <w:rFonts w:ascii="Times New Roman" w:hAnsi="Times New Roman" w:cs="Times New Roman"/>
      <w:sz w:val="24"/>
      <w:szCs w:val="24"/>
    </w:rPr>
  </w:style>
  <w:style w:type="paragraph" w:styleId="ab">
    <w:name w:val="Title"/>
    <w:basedOn w:val="a"/>
    <w:next w:val="a"/>
    <w:link w:val="ac"/>
    <w:uiPriority w:val="10"/>
    <w:qFormat/>
    <w:pPr>
      <w:spacing w:after="80"/>
      <w:contextualSpacing/>
      <w:jc w:val="center"/>
    </w:pPr>
    <w:rPr>
      <w:rFonts w:asciiTheme="majorHAnsi" w:eastAsiaTheme="majorEastAsia" w:hAnsiTheme="majorHAnsi" w:cstheme="majorBidi"/>
      <w:spacing w:val="-10"/>
      <w:kern w:val="28"/>
      <w:sz w:val="56"/>
      <w:szCs w:val="56"/>
    </w:rPr>
  </w:style>
  <w:style w:type="character" w:styleId="ad">
    <w:name w:val="Hyperlink"/>
    <w:basedOn w:val="a0"/>
    <w:uiPriority w:val="99"/>
    <w:unhideWhenUsed/>
    <w:qFormat/>
    <w:rPr>
      <w:color w:val="0563C1" w:themeColor="hyperlink"/>
      <w:u w:val="single"/>
    </w:rPr>
  </w:style>
  <w:style w:type="character" w:customStyle="1" w:styleId="10">
    <w:name w:val="标题 1 字符"/>
    <w:basedOn w:val="a0"/>
    <w:link w:val="1"/>
    <w:uiPriority w:val="9"/>
    <w:qFormat/>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qFormat/>
    <w:rPr>
      <w:rFonts w:cstheme="majorBidi"/>
      <w:color w:val="2F5496" w:themeColor="accent1" w:themeShade="BF"/>
      <w:sz w:val="28"/>
      <w:szCs w:val="28"/>
    </w:rPr>
  </w:style>
  <w:style w:type="character" w:customStyle="1" w:styleId="50">
    <w:name w:val="标题 5 字符"/>
    <w:basedOn w:val="a0"/>
    <w:link w:val="5"/>
    <w:uiPriority w:val="9"/>
    <w:semiHidden/>
    <w:qFormat/>
    <w:rPr>
      <w:rFonts w:cstheme="majorBidi"/>
      <w:color w:val="2F5496" w:themeColor="accent1" w:themeShade="BF"/>
      <w:sz w:val="24"/>
    </w:rPr>
  </w:style>
  <w:style w:type="character" w:customStyle="1" w:styleId="60">
    <w:name w:val="标题 6 字符"/>
    <w:basedOn w:val="a0"/>
    <w:link w:val="6"/>
    <w:uiPriority w:val="9"/>
    <w:semiHidden/>
    <w:qFormat/>
    <w:rPr>
      <w:rFonts w:cstheme="majorBidi"/>
      <w:b/>
      <w:bCs/>
      <w:color w:val="2F5496"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c">
    <w:name w:val="标题 字符"/>
    <w:basedOn w:val="a0"/>
    <w:link w:val="ab"/>
    <w:uiPriority w:val="10"/>
    <w:qFormat/>
    <w:rPr>
      <w:rFonts w:asciiTheme="majorHAnsi" w:eastAsiaTheme="majorEastAsia" w:hAnsiTheme="majorHAnsi" w:cstheme="majorBidi"/>
      <w:spacing w:val="-10"/>
      <w:kern w:val="28"/>
      <w:sz w:val="56"/>
      <w:szCs w:val="56"/>
    </w:rPr>
  </w:style>
  <w:style w:type="character" w:customStyle="1" w:styleId="a9">
    <w:name w:val="副标题 字符"/>
    <w:basedOn w:val="a0"/>
    <w:link w:val="a8"/>
    <w:uiPriority w:val="11"/>
    <w:qFormat/>
    <w:rPr>
      <w:rFonts w:asciiTheme="majorHAnsi" w:eastAsiaTheme="majorEastAsia" w:hAnsiTheme="majorHAnsi" w:cstheme="majorBidi"/>
      <w:color w:val="595959" w:themeColor="text1" w:themeTint="A6"/>
      <w:spacing w:val="15"/>
      <w:sz w:val="28"/>
      <w:szCs w:val="28"/>
    </w:rPr>
  </w:style>
  <w:style w:type="paragraph" w:styleId="ae">
    <w:name w:val="Quote"/>
    <w:basedOn w:val="a"/>
    <w:next w:val="a"/>
    <w:link w:val="af"/>
    <w:uiPriority w:val="29"/>
    <w:qFormat/>
    <w:pPr>
      <w:spacing w:before="160"/>
      <w:jc w:val="center"/>
    </w:pPr>
    <w:rPr>
      <w:i/>
      <w:iCs/>
      <w:color w:val="404040" w:themeColor="text1" w:themeTint="BF"/>
    </w:rPr>
  </w:style>
  <w:style w:type="character" w:customStyle="1" w:styleId="af">
    <w:name w:val="引用 字符"/>
    <w:basedOn w:val="a0"/>
    <w:link w:val="ae"/>
    <w:uiPriority w:val="29"/>
    <w:qFormat/>
    <w:rPr>
      <w:i/>
      <w:iCs/>
      <w:color w:val="404040" w:themeColor="text1" w:themeTint="BF"/>
    </w:rPr>
  </w:style>
  <w:style w:type="paragraph" w:styleId="af0">
    <w:name w:val="List Paragraph"/>
    <w:basedOn w:val="a"/>
    <w:uiPriority w:val="34"/>
    <w:qFormat/>
    <w:pPr>
      <w:ind w:left="720"/>
      <w:contextualSpacing/>
    </w:pPr>
  </w:style>
  <w:style w:type="character" w:customStyle="1" w:styleId="11">
    <w:name w:val="明显强调1"/>
    <w:basedOn w:val="a0"/>
    <w:uiPriority w:val="21"/>
    <w:qFormat/>
    <w:rPr>
      <w:i/>
      <w:iCs/>
      <w:color w:val="2F5496" w:themeColor="accent1" w:themeShade="BF"/>
    </w:rPr>
  </w:style>
  <w:style w:type="paragraph" w:styleId="af1">
    <w:name w:val="Intense Quote"/>
    <w:basedOn w:val="a"/>
    <w:next w:val="a"/>
    <w:link w:val="af2"/>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2">
    <w:name w:val="明显引用 字符"/>
    <w:basedOn w:val="a0"/>
    <w:link w:val="af1"/>
    <w:uiPriority w:val="30"/>
    <w:qFormat/>
    <w:rPr>
      <w:i/>
      <w:iCs/>
      <w:color w:val="2F5496" w:themeColor="accent1" w:themeShade="BF"/>
    </w:rPr>
  </w:style>
  <w:style w:type="character" w:customStyle="1" w:styleId="12">
    <w:name w:val="明显参考1"/>
    <w:basedOn w:val="a0"/>
    <w:uiPriority w:val="32"/>
    <w:qFormat/>
    <w:rPr>
      <w:b/>
      <w:bCs/>
      <w:smallCaps/>
      <w:color w:val="2F5496" w:themeColor="accent1" w:themeShade="BF"/>
      <w:spacing w:val="5"/>
    </w:r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3">
    <w:name w:val="未处理的提及1"/>
    <w:basedOn w:val="a0"/>
    <w:uiPriority w:val="99"/>
    <w:semiHidden/>
    <w:unhideWhenUsed/>
    <w:qFormat/>
    <w:rPr>
      <w:color w:val="605E5C"/>
      <w:shd w:val="clear" w:color="auto" w:fill="E1DFDD"/>
    </w:rPr>
  </w:style>
  <w:style w:type="paragraph" w:customStyle="1" w:styleId="14">
    <w:name w:val="修订1"/>
    <w:hidden/>
    <w:uiPriority w:val="99"/>
    <w:semiHidden/>
    <w:qFormat/>
    <w:rPr>
      <w:rFonts w:asciiTheme="minorHAnsi" w:eastAsiaTheme="minorEastAsia" w:hAnsiTheme="minorHAnsi" w:cstheme="minorBidi"/>
      <w:kern w:val="2"/>
      <w:sz w:val="21"/>
      <w:szCs w:val="22"/>
    </w:rPr>
  </w:style>
  <w:style w:type="paragraph" w:customStyle="1" w:styleId="21">
    <w:name w:val="修订2"/>
    <w:hidden/>
    <w:uiPriority w:val="99"/>
    <w:unhideWhenUsed/>
    <w:rPr>
      <w:rFonts w:asciiTheme="minorHAnsi" w:eastAsiaTheme="minorEastAsia" w:hAnsiTheme="minorHAnsi" w:cstheme="minorBidi"/>
      <w:kern w:val="2"/>
      <w:sz w:val="21"/>
      <w:szCs w:val="22"/>
    </w:rPr>
  </w:style>
  <w:style w:type="paragraph" w:customStyle="1" w:styleId="15">
    <w:name w:val="书目1"/>
    <w:basedOn w:val="a"/>
    <w:next w:val="a"/>
    <w:uiPriority w:val="37"/>
    <w:unhideWhenUsed/>
    <w:qFormat/>
    <w:pPr>
      <w:tabs>
        <w:tab w:val="left" w:pos="264"/>
      </w:tabs>
      <w:spacing w:line="480" w:lineRule="auto"/>
      <w:ind w:left="264" w:hanging="264"/>
      <w:jc w:val="left"/>
    </w:pPr>
    <w:rPr>
      <w:sz w:val="22"/>
      <w:szCs w:val="24"/>
      <w14:ligatures w14:val="standardContextual"/>
    </w:rPr>
  </w:style>
  <w:style w:type="paragraph" w:customStyle="1" w:styleId="31">
    <w:name w:val="修订3"/>
    <w:hidden/>
    <w:uiPriority w:val="99"/>
    <w:unhideWhenUsed/>
    <w:rPr>
      <w:rFonts w:asciiTheme="minorHAnsi" w:eastAsiaTheme="minorEastAsia" w:hAnsiTheme="minorHAnsi" w:cstheme="minorBidi"/>
      <w:kern w:val="2"/>
      <w:sz w:val="21"/>
      <w:szCs w:val="22"/>
    </w:rPr>
  </w:style>
  <w:style w:type="paragraph" w:customStyle="1" w:styleId="22">
    <w:name w:val="书目2"/>
    <w:basedOn w:val="a"/>
    <w:next w:val="a"/>
    <w:uiPriority w:val="37"/>
    <w:unhideWhenUsed/>
    <w:qFormat/>
    <w:pPr>
      <w:tabs>
        <w:tab w:val="left" w:pos="384"/>
      </w:tabs>
      <w:spacing w:line="480" w:lineRule="auto"/>
      <w:ind w:left="384" w:hanging="384"/>
    </w:pPr>
  </w:style>
  <w:style w:type="character" w:styleId="af3">
    <w:name w:val="annotation reference"/>
    <w:basedOn w:val="a0"/>
    <w:uiPriority w:val="99"/>
    <w:semiHidden/>
    <w:unhideWhenUsed/>
    <w:rPr>
      <w:sz w:val="21"/>
      <w:szCs w:val="21"/>
    </w:rPr>
  </w:style>
  <w:style w:type="paragraph" w:styleId="af4">
    <w:name w:val="Revision"/>
    <w:hidden/>
    <w:uiPriority w:val="99"/>
    <w:unhideWhenUsed/>
    <w:rsid w:val="00993B5E"/>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Pages>
  <Words>5895</Words>
  <Characters>34490</Characters>
  <Application>Microsoft Office Word</Application>
  <DocSecurity>0</DocSecurity>
  <Lines>584</Lines>
  <Paragraphs>129</Paragraphs>
  <ScaleCrop>false</ScaleCrop>
  <Company/>
  <LinksUpToDate>false</LinksUpToDate>
  <CharactersWithSpaces>40256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昱 陈</dc:creator>
  <cp:lastModifiedBy>昱 陈</cp:lastModifiedBy>
  <cp:revision>3</cp:revision>
  <dcterms:created xsi:type="dcterms:W3CDTF">2026-06-30T07:57:00Z</dcterms:created>
  <dcterms:modified xsi:type="dcterms:W3CDTF">2026-06-30T11:36:00Z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eyJoZGlkIjoiYTU5ZjA4YTRhNTA0ODUxMTJiMTIxODU1Y2RjODk2MGIiLCJ1c2VySWQiOiIxNzg3NzMxMjQzIn0=</vt:lpwstr>
  </property>
  <property fmtid="{D5CDD505-2E9C-101B-9397-08002B2CF9AE}" pid="3" name="KSOProductBuildVer">
    <vt:lpwstr>2052-12.1.0.26895</vt:lpwstr>
  </property>
  <property fmtid="{D5CDD505-2E9C-101B-9397-08002B2CF9AE}" pid="4" name="ICV">
    <vt:lpwstr>9F05C36CD21E4D93A34A720136AC461C_13</vt:lpwstr>
  </property>
  <property fmtid="{D5CDD505-2E9C-101B-9397-08002B2CF9AE}" pid="5" name="ZOTERO_PREF_1">
    <vt:lpwstr>&lt;data data-version="3" zotero-version="9.0.5"&gt;&lt;session id="6l6tFl1b"/&gt;&lt;style id="http://www.zotero.org/styles/nature" hasBibliography="1" bibliographyStyleHasBeenSet="1"/&gt;&lt;prefs&gt;&lt;pref name="fieldType" value="Field"/&gt;&lt;/prefs&gt;&lt;/data&gt;</vt:lpwstr>
  </property>
</Properties>
</file>