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D6E8" w14:textId="77777777" w:rsidR="00E1475C" w:rsidRPr="00F0123C" w:rsidRDefault="00E1475C" w:rsidP="00E1475C">
      <w:pPr>
        <w:spacing w:line="276" w:lineRule="auto"/>
        <w:ind w:firstLine="0"/>
        <w:rPr>
          <w:rFonts w:eastAsia="SimSun"/>
          <w:b/>
          <w:bCs/>
          <w:color w:val="auto"/>
          <w:sz w:val="22"/>
        </w:rPr>
      </w:pPr>
      <w:r w:rsidRPr="00F0123C">
        <w:rPr>
          <w:rFonts w:eastAsia="SimSun"/>
          <w:b/>
          <w:bCs/>
          <w:color w:val="auto"/>
          <w:sz w:val="22"/>
        </w:rPr>
        <w:t>Table 1. Comparative diagnostic and therapeutic value of imaging modalities in penetrating neck trauma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27"/>
        <w:gridCol w:w="2620"/>
        <w:gridCol w:w="1848"/>
        <w:gridCol w:w="3321"/>
      </w:tblGrid>
      <w:tr w:rsidR="00E1475C" w:rsidRPr="00F0123C" w14:paraId="67DC725E" w14:textId="77777777" w:rsidTr="00495015">
        <w:trPr>
          <w:trHeight w:val="492"/>
        </w:trPr>
        <w:tc>
          <w:tcPr>
            <w:tcW w:w="680" w:type="pct"/>
            <w:noWrap/>
            <w:hideMark/>
          </w:tcPr>
          <w:p w14:paraId="7D804E68" w14:textId="77777777" w:rsidR="00E1475C" w:rsidRPr="00F0123C" w:rsidRDefault="00E1475C" w:rsidP="00495015">
            <w:pPr>
              <w:spacing w:line="276" w:lineRule="auto"/>
              <w:ind w:firstLine="0"/>
              <w:jc w:val="center"/>
              <w:rPr>
                <w:rFonts w:eastAsia="SimSun"/>
                <w:b/>
                <w:bCs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b/>
                <w:bCs/>
                <w:color w:val="auto"/>
                <w:sz w:val="21"/>
                <w:szCs w:val="21"/>
              </w:rPr>
              <w:t>Modality</w:t>
            </w:r>
          </w:p>
        </w:tc>
        <w:tc>
          <w:tcPr>
            <w:tcW w:w="1453" w:type="pct"/>
            <w:noWrap/>
            <w:hideMark/>
          </w:tcPr>
          <w:p w14:paraId="3E4CDA9A" w14:textId="77777777" w:rsidR="00E1475C" w:rsidRPr="00F0123C" w:rsidRDefault="00E1475C" w:rsidP="00495015">
            <w:pPr>
              <w:spacing w:line="276" w:lineRule="auto"/>
              <w:ind w:firstLine="0"/>
              <w:jc w:val="center"/>
              <w:rPr>
                <w:rFonts w:eastAsia="SimSun"/>
                <w:b/>
                <w:bCs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b/>
                <w:bCs/>
                <w:color w:val="auto"/>
                <w:sz w:val="21"/>
                <w:szCs w:val="21"/>
              </w:rPr>
              <w:t>Information Provided</w:t>
            </w:r>
          </w:p>
        </w:tc>
        <w:tc>
          <w:tcPr>
            <w:tcW w:w="1025" w:type="pct"/>
            <w:noWrap/>
            <w:hideMark/>
          </w:tcPr>
          <w:p w14:paraId="256B124D" w14:textId="77777777" w:rsidR="00E1475C" w:rsidRPr="00F0123C" w:rsidRDefault="00E1475C" w:rsidP="00495015">
            <w:pPr>
              <w:spacing w:line="276" w:lineRule="auto"/>
              <w:ind w:firstLine="0"/>
              <w:jc w:val="center"/>
              <w:rPr>
                <w:rFonts w:eastAsia="SimSun"/>
                <w:b/>
                <w:bCs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b/>
                <w:bCs/>
                <w:color w:val="auto"/>
                <w:sz w:val="21"/>
                <w:szCs w:val="21"/>
              </w:rPr>
              <w:t>Key Limitation</w:t>
            </w:r>
          </w:p>
        </w:tc>
        <w:tc>
          <w:tcPr>
            <w:tcW w:w="1842" w:type="pct"/>
            <w:noWrap/>
            <w:hideMark/>
          </w:tcPr>
          <w:p w14:paraId="17A9CAF9" w14:textId="77777777" w:rsidR="00E1475C" w:rsidRPr="00F0123C" w:rsidRDefault="00E1475C" w:rsidP="00495015">
            <w:pPr>
              <w:spacing w:line="276" w:lineRule="auto"/>
              <w:ind w:firstLine="0"/>
              <w:jc w:val="center"/>
              <w:rPr>
                <w:rFonts w:eastAsia="SimSun"/>
                <w:b/>
                <w:bCs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b/>
                <w:bCs/>
                <w:color w:val="auto"/>
                <w:sz w:val="21"/>
                <w:szCs w:val="21"/>
              </w:rPr>
              <w:t>3D Reconstruction-Added Value</w:t>
            </w:r>
          </w:p>
        </w:tc>
      </w:tr>
      <w:tr w:rsidR="00E1475C" w:rsidRPr="00F0123C" w14:paraId="490339BC" w14:textId="77777777" w:rsidTr="00495015">
        <w:trPr>
          <w:trHeight w:val="1080"/>
        </w:trPr>
        <w:tc>
          <w:tcPr>
            <w:tcW w:w="680" w:type="pct"/>
            <w:noWrap/>
            <w:hideMark/>
          </w:tcPr>
          <w:p w14:paraId="0F1C7E08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proofErr w:type="spellStart"/>
            <w:r w:rsidRPr="00F0123C">
              <w:rPr>
                <w:rFonts w:eastAsia="SimSun"/>
                <w:color w:val="auto"/>
                <w:sz w:val="21"/>
                <w:szCs w:val="21"/>
              </w:rPr>
              <w:t>Noncontrast</w:t>
            </w:r>
            <w:proofErr w:type="spellEnd"/>
            <w:r w:rsidRPr="00F0123C">
              <w:rPr>
                <w:rFonts w:eastAsia="SimSun"/>
                <w:color w:val="auto"/>
                <w:sz w:val="21"/>
                <w:szCs w:val="21"/>
              </w:rPr>
              <w:t xml:space="preserve"> CT</w:t>
            </w:r>
          </w:p>
        </w:tc>
        <w:tc>
          <w:tcPr>
            <w:tcW w:w="1453" w:type="pct"/>
            <w:noWrap/>
            <w:hideMark/>
          </w:tcPr>
          <w:p w14:paraId="531BB260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Foreign body trajectory; bony involvement; intracranial/cervical hemorrhage</w:t>
            </w:r>
          </w:p>
        </w:tc>
        <w:tc>
          <w:tcPr>
            <w:tcW w:w="1025" w:type="pct"/>
            <w:noWrap/>
            <w:hideMark/>
          </w:tcPr>
          <w:p w14:paraId="6896F2ED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 xml:space="preserve">Metallic artifacts obscure vessel-foreign body </w:t>
            </w:r>
            <w:proofErr w:type="gramStart"/>
            <w:r w:rsidRPr="00F0123C">
              <w:rPr>
                <w:rFonts w:eastAsia="SimSun"/>
                <w:color w:val="auto"/>
                <w:sz w:val="21"/>
                <w:szCs w:val="21"/>
              </w:rPr>
              <w:t>relationship</w:t>
            </w:r>
            <w:proofErr w:type="gramEnd"/>
            <w:r w:rsidRPr="00F0123C">
              <w:rPr>
                <w:rFonts w:eastAsia="SimSun"/>
                <w:color w:val="auto"/>
                <w:sz w:val="21"/>
                <w:szCs w:val="21"/>
              </w:rPr>
              <w:t>; cannot reliably exclude vascular contact</w:t>
            </w:r>
          </w:p>
        </w:tc>
        <w:tc>
          <w:tcPr>
            <w:tcW w:w="1842" w:type="pct"/>
            <w:noWrap/>
            <w:hideMark/>
          </w:tcPr>
          <w:p w14:paraId="01F25714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 w:hint="eastAsia"/>
                <w:color w:val="auto"/>
                <w:sz w:val="21"/>
                <w:szCs w:val="21"/>
              </w:rPr>
              <w:t>/</w:t>
            </w:r>
          </w:p>
        </w:tc>
      </w:tr>
      <w:tr w:rsidR="00E1475C" w:rsidRPr="00F0123C" w14:paraId="6982DC21" w14:textId="77777777" w:rsidTr="00495015">
        <w:trPr>
          <w:trHeight w:val="1080"/>
        </w:trPr>
        <w:tc>
          <w:tcPr>
            <w:tcW w:w="680" w:type="pct"/>
            <w:noWrap/>
            <w:hideMark/>
          </w:tcPr>
          <w:p w14:paraId="1BCAC63B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CTA</w:t>
            </w:r>
          </w:p>
        </w:tc>
        <w:tc>
          <w:tcPr>
            <w:tcW w:w="1453" w:type="pct"/>
            <w:noWrap/>
            <w:hideMark/>
          </w:tcPr>
          <w:p w14:paraId="4D238340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Vascular integrity (no contrast extravasation, dissection, or occlusion)</w:t>
            </w:r>
          </w:p>
        </w:tc>
        <w:tc>
          <w:tcPr>
            <w:tcW w:w="1025" w:type="pct"/>
            <w:noWrap/>
            <w:hideMark/>
          </w:tcPr>
          <w:p w14:paraId="666F0278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Vascular images displayed separately from foreign body/bony anatomy; spatial proximity assessed subjectively</w:t>
            </w:r>
          </w:p>
        </w:tc>
        <w:tc>
          <w:tcPr>
            <w:tcW w:w="1842" w:type="pct"/>
            <w:noWrap/>
            <w:hideMark/>
          </w:tcPr>
          <w:p w14:paraId="4BBE95BA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 w:hint="eastAsia"/>
                <w:color w:val="auto"/>
                <w:sz w:val="21"/>
                <w:szCs w:val="21"/>
              </w:rPr>
              <w:t>/</w:t>
            </w:r>
          </w:p>
        </w:tc>
      </w:tr>
      <w:tr w:rsidR="00E1475C" w:rsidRPr="00F0123C" w14:paraId="4173470F" w14:textId="77777777" w:rsidTr="00495015">
        <w:trPr>
          <w:trHeight w:val="1080"/>
        </w:trPr>
        <w:tc>
          <w:tcPr>
            <w:tcW w:w="680" w:type="pct"/>
            <w:noWrap/>
            <w:hideMark/>
          </w:tcPr>
          <w:p w14:paraId="5C43DCD7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CT+CTA with 3D reconstruction</w:t>
            </w:r>
          </w:p>
        </w:tc>
        <w:tc>
          <w:tcPr>
            <w:tcW w:w="1453" w:type="pct"/>
            <w:noWrap/>
            <w:hideMark/>
          </w:tcPr>
          <w:p w14:paraId="327C11CD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Unified 3D visualization of foreign body, bone, and vasculature in a single dataset</w:t>
            </w:r>
          </w:p>
        </w:tc>
        <w:tc>
          <w:tcPr>
            <w:tcW w:w="1025" w:type="pct"/>
            <w:noWrap/>
            <w:hideMark/>
          </w:tcPr>
          <w:p w14:paraId="5CC3BC50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>Requires specialized software and expertise; additional processing time</w:t>
            </w:r>
          </w:p>
        </w:tc>
        <w:tc>
          <w:tcPr>
            <w:tcW w:w="1842" w:type="pct"/>
            <w:noWrap/>
            <w:hideMark/>
          </w:tcPr>
          <w:p w14:paraId="5C1C36E8" w14:textId="77777777" w:rsidR="00E1475C" w:rsidRPr="00F0123C" w:rsidRDefault="00E1475C" w:rsidP="00495015">
            <w:pPr>
              <w:spacing w:line="276" w:lineRule="auto"/>
              <w:ind w:firstLine="0"/>
              <w:jc w:val="left"/>
              <w:rPr>
                <w:rFonts w:eastAsia="SimSun"/>
                <w:color w:val="auto"/>
                <w:sz w:val="21"/>
                <w:szCs w:val="21"/>
              </w:rPr>
            </w:pPr>
            <w:r w:rsidRPr="00F0123C">
              <w:rPr>
                <w:rFonts w:eastAsia="SimSun"/>
                <w:color w:val="auto"/>
                <w:sz w:val="21"/>
                <w:szCs w:val="21"/>
              </w:rPr>
              <w:t xml:space="preserve">Quantifies minimum distance between foreign </w:t>
            </w:r>
            <w:proofErr w:type="gramStart"/>
            <w:r w:rsidRPr="00F0123C">
              <w:rPr>
                <w:rFonts w:eastAsia="SimSun"/>
                <w:color w:val="auto"/>
                <w:sz w:val="21"/>
                <w:szCs w:val="21"/>
              </w:rPr>
              <w:t>body</w:t>
            </w:r>
            <w:proofErr w:type="gramEnd"/>
            <w:r w:rsidRPr="00F0123C">
              <w:rPr>
                <w:rFonts w:eastAsia="SimSun"/>
                <w:color w:val="auto"/>
                <w:sz w:val="21"/>
                <w:szCs w:val="21"/>
              </w:rPr>
              <w:t xml:space="preserve"> and vessels; confirms absence of contact; provides objective spatial confidence for selective non-exploratory management</w:t>
            </w:r>
          </w:p>
        </w:tc>
      </w:tr>
    </w:tbl>
    <w:p w14:paraId="75F267C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5C"/>
    <w:rsid w:val="000905F0"/>
    <w:rsid w:val="00112C91"/>
    <w:rsid w:val="00242B4F"/>
    <w:rsid w:val="00271018"/>
    <w:rsid w:val="00302F9E"/>
    <w:rsid w:val="004E23CF"/>
    <w:rsid w:val="006D5216"/>
    <w:rsid w:val="00A80498"/>
    <w:rsid w:val="00C52040"/>
    <w:rsid w:val="00C62D14"/>
    <w:rsid w:val="00C6465A"/>
    <w:rsid w:val="00E1475C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BD2F9"/>
  <w15:chartTrackingRefBased/>
  <w15:docId w15:val="{60937D49-6DA7-4B9F-A265-F741BE05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75C"/>
    <w:pPr>
      <w:spacing w:after="1" w:line="294" w:lineRule="auto"/>
      <w:ind w:right="45" w:firstLine="160"/>
      <w:jc w:val="both"/>
    </w:pPr>
    <w:rPr>
      <w:rFonts w:ascii="Times New Roman" w:eastAsia="Times New Roman" w:hAnsi="Times New Roman" w:cs="Times New Roman"/>
      <w:color w:val="181717"/>
      <w:sz w:val="19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75C"/>
    <w:pPr>
      <w:keepNext/>
      <w:keepLines/>
      <w:spacing w:before="360" w:after="80" w:line="278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75C"/>
    <w:pPr>
      <w:keepNext/>
      <w:keepLines/>
      <w:spacing w:before="160" w:after="80" w:line="278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75C"/>
    <w:pPr>
      <w:keepNext/>
      <w:keepLines/>
      <w:spacing w:before="160" w:after="80" w:line="278" w:lineRule="auto"/>
      <w:ind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5C"/>
    <w:pPr>
      <w:keepNext/>
      <w:keepLines/>
      <w:spacing w:before="80" w:after="40" w:line="278" w:lineRule="auto"/>
      <w:ind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75C"/>
    <w:pPr>
      <w:keepNext/>
      <w:keepLines/>
      <w:spacing w:before="80" w:after="40" w:line="278" w:lineRule="auto"/>
      <w:ind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75C"/>
    <w:pPr>
      <w:keepNext/>
      <w:keepLines/>
      <w:spacing w:before="40" w:after="0" w:line="278" w:lineRule="auto"/>
      <w:ind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75C"/>
    <w:pPr>
      <w:keepNext/>
      <w:keepLines/>
      <w:spacing w:before="40" w:after="0" w:line="278" w:lineRule="auto"/>
      <w:ind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75C"/>
    <w:pPr>
      <w:keepNext/>
      <w:keepLines/>
      <w:spacing w:after="0" w:line="278" w:lineRule="auto"/>
      <w:ind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75C"/>
    <w:pPr>
      <w:keepNext/>
      <w:keepLines/>
      <w:spacing w:after="0" w:line="278" w:lineRule="auto"/>
      <w:ind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75C"/>
    <w:pPr>
      <w:spacing w:after="80" w:line="240" w:lineRule="auto"/>
      <w:ind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75C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75C"/>
    <w:pPr>
      <w:spacing w:before="160" w:after="160" w:line="278" w:lineRule="auto"/>
      <w:ind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4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75C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4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7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475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27</Lines>
  <Paragraphs>20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2026-07-30T15:01:00Z</dcterms:created>
  <dcterms:modified xsi:type="dcterms:W3CDTF">2026-07-30T15:01:00Z</dcterms:modified>
</cp:coreProperties>
</file>