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77F71">
      <w:pPr>
        <w:pStyle w:val="2"/>
        <w:spacing w:before="0" w:after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</w:rPr>
        <w:t>Appendix</w:t>
      </w:r>
    </w:p>
    <w:p w14:paraId="010D2BD4">
      <w:pPr>
        <w:pStyle w:val="2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</w:rPr>
        <w:t>Tables</w:t>
      </w:r>
    </w:p>
    <w:p w14:paraId="0C1CEE08">
      <w:pPr>
        <w:pStyle w:val="3"/>
        <w:keepNext/>
        <w:jc w:val="center"/>
        <w:rPr>
          <w:rFonts w:hint="eastAsia"/>
        </w:rPr>
      </w:pPr>
      <w:bookmarkStart w:id="0" w:name="_Ref233127630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hint="eastAsia" w:ascii="Times New Roman" w:hAnsi="Times New Roman" w:cs="Times New Roman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sz w:val="21"/>
          <w:szCs w:val="21"/>
        </w:rPr>
        <w:instrText xml:space="preserve"> </w:instrText>
      </w:r>
      <w:r>
        <w:rPr>
          <w:rFonts w:ascii="Times New Roman" w:hAnsi="Times New Roman" w:cs="Times New Roman"/>
          <w:sz w:val="21"/>
          <w:szCs w:val="21"/>
        </w:rPr>
        <w:instrText xml:space="preserve">SEQ Table_A \* ARABIC</w:instrText>
      </w:r>
      <w:r>
        <w:rPr>
          <w:rFonts w:hint="eastAsia" w:ascii="Times New Roman" w:hAnsi="Times New Roman" w:cs="Times New Roman"/>
          <w:sz w:val="21"/>
          <w:szCs w:val="21"/>
        </w:rPr>
        <w:instrText xml:space="preserve"> </w:instrText>
      </w:r>
      <w:r>
        <w:rPr>
          <w:rFonts w:hint="eastAsia"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 w:ascii="Times New Roman" w:hAnsi="Times New Roman" w:cs="Times New Roman"/>
          <w:sz w:val="21"/>
          <w:szCs w:val="21"/>
        </w:rPr>
        <w:fldChar w:fldCharType="end"/>
      </w:r>
      <w:bookmarkEnd w:id="0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Description of Network Indicators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694"/>
        <w:gridCol w:w="2268"/>
        <w:gridCol w:w="1633"/>
      </w:tblGrid>
      <w:tr w14:paraId="5E635689">
        <w:tc>
          <w:tcPr>
            <w:tcW w:w="1701" w:type="dxa"/>
            <w:tcBorders>
              <w:top w:val="single" w:color="auto" w:sz="8" w:space="0"/>
              <w:bottom w:val="single" w:color="auto" w:sz="4" w:space="0"/>
            </w:tcBorders>
          </w:tcPr>
          <w:p w14:paraId="5E5CD7EC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Indicator</w:t>
            </w:r>
          </w:p>
        </w:tc>
        <w:tc>
          <w:tcPr>
            <w:tcW w:w="2694" w:type="dxa"/>
            <w:tcBorders>
              <w:top w:val="single" w:color="auto" w:sz="8" w:space="0"/>
              <w:bottom w:val="single" w:color="auto" w:sz="4" w:space="0"/>
            </w:tcBorders>
          </w:tcPr>
          <w:p w14:paraId="2AD44EE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Formula</w:t>
            </w:r>
          </w:p>
        </w:tc>
        <w:tc>
          <w:tcPr>
            <w:tcW w:w="2268" w:type="dxa"/>
            <w:tcBorders>
              <w:top w:val="single" w:color="auto" w:sz="8" w:space="0"/>
              <w:bottom w:val="single" w:color="auto" w:sz="4" w:space="0"/>
            </w:tcBorders>
          </w:tcPr>
          <w:p w14:paraId="2DE3C96A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Parameter Description</w:t>
            </w:r>
          </w:p>
        </w:tc>
        <w:tc>
          <w:tcPr>
            <w:tcW w:w="1633" w:type="dxa"/>
            <w:tcBorders>
              <w:top w:val="single" w:color="auto" w:sz="8" w:space="0"/>
              <w:bottom w:val="single" w:color="auto" w:sz="4" w:space="0"/>
            </w:tcBorders>
          </w:tcPr>
          <w:p w14:paraId="16B2A4A7">
            <w:pPr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Interpretation</w:t>
            </w:r>
          </w:p>
        </w:tc>
      </w:tr>
      <w:tr w14:paraId="5B91BEC7">
        <w:tc>
          <w:tcPr>
            <w:tcW w:w="1701" w:type="dxa"/>
            <w:tcBorders>
              <w:top w:val="single" w:color="auto" w:sz="4" w:space="0"/>
              <w:bottom w:val="nil"/>
            </w:tcBorders>
          </w:tcPr>
          <w:p w14:paraId="23FBA4A1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Relative degree centrality</w:t>
            </w:r>
          </w:p>
        </w:tc>
        <w:tc>
          <w:tcPr>
            <w:tcW w:w="2694" w:type="dxa"/>
            <w:tcBorders>
              <w:top w:val="single" w:color="auto" w:sz="4" w:space="0"/>
              <w:bottom w:val="nil"/>
            </w:tcBorders>
          </w:tcPr>
          <w:p w14:paraId="07E78CAF">
            <w:pPr>
              <w:jc w:val="center"/>
              <w:rPr>
                <w:kern w:val="0"/>
                <w:sz w:val="20"/>
              </w:rPr>
            </w:pPr>
            <m:oMathPara>
              <m:oMath>
                <m:r>
                  <m:rPr/>
                  <w:rPr>
                    <w:rFonts w:ascii="Cambria Math" w:hAnsi="Cambria Math"/>
                    <w:kern w:val="0"/>
                    <w:sz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supHide m:val="1"/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naryPr>
                      <m:sub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b>
                      <m:sup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ij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e>
                    </m:nary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n−1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den>
                </m:f>
              </m:oMath>
            </m:oMathPara>
          </w:p>
        </w:tc>
        <w:tc>
          <w:tcPr>
            <w:tcW w:w="2268" w:type="dxa"/>
            <w:tcBorders>
              <w:top w:val="single" w:color="auto" w:sz="4" w:space="0"/>
              <w:bottom w:val="nil"/>
            </w:tcBorders>
          </w:tcPr>
          <w:p w14:paraId="590CC108">
            <w:pPr>
              <w:jc w:val="center"/>
              <w:rPr>
                <w:kern w:val="0"/>
                <w:sz w:val="20"/>
              </w:rPr>
            </w:pP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n</m:t>
              </m:r>
            </m:oMath>
            <w:r>
              <w:rPr>
                <w:kern w:val="0"/>
                <w:sz w:val="20"/>
              </w:rPr>
              <w:t xml:space="preserve">= total number of nodes;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ij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ub>
              </m:sSub>
            </m:oMath>
            <w:r>
              <w:rPr>
                <w:kern w:val="0"/>
                <w:sz w:val="20"/>
              </w:rPr>
              <w:t>= number of nodes connected to node</w:t>
            </w:r>
          </w:p>
        </w:tc>
        <w:tc>
          <w:tcPr>
            <w:tcW w:w="1633" w:type="dxa"/>
            <w:tcBorders>
              <w:top w:val="single" w:color="auto" w:sz="4" w:space="0"/>
              <w:bottom w:val="nil"/>
            </w:tcBorders>
          </w:tcPr>
          <w:p w14:paraId="5956373B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Reflects the direct influence of a node</w:t>
            </w:r>
          </w:p>
        </w:tc>
      </w:tr>
      <w:tr w14:paraId="57B3A3CF">
        <w:tc>
          <w:tcPr>
            <w:tcW w:w="1701" w:type="dxa"/>
            <w:tcBorders>
              <w:top w:val="nil"/>
            </w:tcBorders>
          </w:tcPr>
          <w:p w14:paraId="0150CB2A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Relative betweenness centrality</w:t>
            </w:r>
          </w:p>
        </w:tc>
        <w:tc>
          <w:tcPr>
            <w:tcW w:w="2694" w:type="dxa"/>
            <w:tcBorders>
              <w:top w:val="nil"/>
            </w:tcBorders>
          </w:tcPr>
          <w:p w14:paraId="138EA8D5">
            <w:pPr>
              <w:jc w:val="center"/>
              <w:rPr>
                <w:kern w:val="0"/>
                <w:sz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RB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kern w:val="0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2</m:t>
                    </m:r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naryPr>
                      <m:sub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j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b>
                      <m:sup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p>
                      <m:e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naryPr>
                          <m:sub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k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sub>
                          <m:sup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n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sup>
                          <m:e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[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0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0"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kern w:val="0"/>
                                        <w:sz w:val="20"/>
                                      </w:rPr>
                                      <m:t>g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0"/>
                                        <w:sz w:val="20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Fonts w:ascii="Cambria Math" w:hAnsi="Cambria Math"/>
                                        <w:kern w:val="0"/>
                                        <w:sz w:val="20"/>
                                      </w:rPr>
                                      <m:t>jk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0"/>
                                        <w:sz w:val="20"/>
                                      </w:rPr>
                                    </m:ctrlPr>
                                  </m:sub>
                                </m:sSub>
                                <m:r>
                                  <m:rPr/>
                                  <w:rPr>
                                    <w:rFonts w:ascii="Cambria Math" w:hAnsi="Cambria Math"/>
                                    <w:kern w:val="0"/>
                                    <w:sz w:val="20"/>
                                  </w:rPr>
                                  <m:t>(i)</m:t>
                                </m:r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0"/>
                                  </w:rPr>
                                </m:ctrlPr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0"/>
                                        <w:sz w:val="20"/>
                                      </w:rPr>
                                    </m:ctrlPr>
                                  </m:sSubPr>
                                  <m:e>
                                    <m:r>
                                      <m:rPr/>
                                      <w:rPr>
                                        <w:rFonts w:ascii="Cambria Math" w:hAnsi="Cambria Math"/>
                                        <w:kern w:val="0"/>
                                        <w:sz w:val="20"/>
                                      </w:rPr>
                                      <m:t>g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0"/>
                                        <w:sz w:val="20"/>
                                      </w:rPr>
                                    </m:ctrlPr>
                                  </m:e>
                                  <m:sub>
                                    <m:r>
                                      <m:rPr/>
                                      <w:rPr>
                                        <w:rFonts w:ascii="Cambria Math" w:hAnsi="Cambria Math"/>
                                        <w:kern w:val="0"/>
                                        <w:sz w:val="20"/>
                                      </w:rPr>
                                      <m:t>jk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kern w:val="0"/>
                                        <w:sz w:val="20"/>
                                      </w:rPr>
                                    </m:ctrlPr>
                                  </m:sub>
                                </m:sSub>
                                <m:ctrlPr>
                                  <w:rPr>
                                    <w:rFonts w:ascii="Cambria Math" w:hAnsi="Cambria Math"/>
                                    <w:i/>
                                    <w:kern w:val="0"/>
                                    <w:sz w:val="20"/>
                                  </w:rPr>
                                </m:ctrlPr>
                              </m:den>
                            </m:f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]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e>
                        </m:nary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e>
                    </m:nary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−3n+2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den>
                </m:f>
              </m:oMath>
            </m:oMathPara>
          </w:p>
        </w:tc>
        <w:tc>
          <w:tcPr>
            <w:tcW w:w="2268" w:type="dxa"/>
            <w:tcBorders>
              <w:top w:val="nil"/>
            </w:tcBorders>
          </w:tcPr>
          <w:p w14:paraId="62EFAB0D">
            <w:pPr>
              <w:jc w:val="center"/>
              <w:rPr>
                <w:kern w:val="0"/>
                <w:sz w:val="20"/>
              </w:rPr>
            </w:pP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n</m:t>
              </m:r>
            </m:oMath>
            <w:r>
              <w:rPr>
                <w:kern w:val="0"/>
                <w:sz w:val="20"/>
              </w:rPr>
              <w:t>= total number of nodes;</w:t>
            </w:r>
            <w:r>
              <w:rPr>
                <w:i/>
                <w:kern w:val="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g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jk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ub>
              </m:sSub>
            </m:oMath>
            <w:r>
              <w:rPr>
                <w:kern w:val="0"/>
                <w:sz w:val="20"/>
              </w:rPr>
              <w:t>= number of shortest paths between nodes</w:t>
            </w:r>
            <w:r>
              <w:rPr>
                <w:i/>
                <w:kern w:val="0"/>
                <w:sz w:val="20"/>
              </w:rPr>
              <w:t xml:space="preserve"> </w:t>
            </w: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j and k</m:t>
              </m:r>
            </m:oMath>
            <w:r>
              <w:t xml:space="preserve"> </w:t>
            </w:r>
            <w:r>
              <w:rPr>
                <w:iCs/>
                <w:kern w:val="0"/>
                <w:sz w:val="20"/>
              </w:rPr>
              <w:t>that pass through node</w:t>
            </w:r>
          </w:p>
        </w:tc>
        <w:tc>
          <w:tcPr>
            <w:tcW w:w="1633" w:type="dxa"/>
            <w:tcBorders>
              <w:top w:val="nil"/>
            </w:tcBorders>
          </w:tcPr>
          <w:p w14:paraId="1F81F57E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Reflects the brokerage power of a node</w:t>
            </w:r>
          </w:p>
        </w:tc>
      </w:tr>
      <w:tr w14:paraId="00C25C53">
        <w:tc>
          <w:tcPr>
            <w:tcW w:w="1701" w:type="dxa"/>
          </w:tcPr>
          <w:p w14:paraId="21A02F8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Relative closeness centrality</w:t>
            </w:r>
          </w:p>
        </w:tc>
        <w:tc>
          <w:tcPr>
            <w:tcW w:w="2694" w:type="dxa"/>
          </w:tcPr>
          <w:p w14:paraId="194BA356">
            <w:pPr>
              <w:jc w:val="center"/>
              <w:rPr>
                <w:kern w:val="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SubSupPr>
                  <m:e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e>
                  <m: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RP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i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ub>
                  <m:sup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−1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up>
                </m:sSubSup>
                <m:r>
                  <m:rPr/>
                  <w:rPr>
                    <w:rFonts w:ascii="Cambria Math" w:hAnsi="Cambria Math"/>
                    <w:kern w:val="0"/>
                    <w:sz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fPr>
                  <m:num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naryPr>
                      <m:sub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j=1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b>
                      <m:sup>
                        <m:r>
                          <m:rPr/>
                          <w:rPr>
                            <w:rFonts w:ascii="Cambria Math" w:hAnsi="Cambria Math"/>
                            <w:kern w:val="0"/>
                            <w:sz w:val="20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d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kern w:val="0"/>
                                <w:sz w:val="20"/>
                              </w:rPr>
                              <m:t>ij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kern w:val="0"/>
                                <w:sz w:val="20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kern w:val="0"/>
                            <w:sz w:val="20"/>
                          </w:rPr>
                        </m:ctrlPr>
                      </m:e>
                    </m:nary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n−1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den>
                </m:f>
              </m:oMath>
            </m:oMathPara>
          </w:p>
        </w:tc>
        <w:tc>
          <w:tcPr>
            <w:tcW w:w="2268" w:type="dxa"/>
          </w:tcPr>
          <w:p w14:paraId="05C5DF8E">
            <w:pPr>
              <w:jc w:val="center"/>
              <w:rPr>
                <w:kern w:val="0"/>
                <w:sz w:val="20"/>
              </w:rPr>
            </w:pP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n</m:t>
              </m:r>
            </m:oMath>
            <w:r>
              <w:rPr>
                <w:kern w:val="0"/>
                <w:sz w:val="20"/>
              </w:rPr>
              <w:t>= total number of nodes;</w:t>
            </w:r>
            <w:r>
              <w:rPr>
                <w:i/>
                <w:kern w:val="0"/>
                <w:sz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d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ij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ub>
              </m:sSub>
            </m:oMath>
            <w:r>
              <w:rPr>
                <w:kern w:val="0"/>
                <w:sz w:val="20"/>
              </w:rPr>
              <w:t>= shortest path distance between nodes</w:t>
            </w:r>
            <w:r>
              <w:rPr>
                <w:i/>
                <w:kern w:val="0"/>
                <w:sz w:val="20"/>
              </w:rPr>
              <w:t xml:space="preserve"> </w:t>
            </w: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i</m:t>
              </m:r>
            </m:oMath>
            <w:r>
              <w:rPr>
                <w:i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and </w:t>
            </w: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j</m:t>
              </m:r>
            </m:oMath>
          </w:p>
        </w:tc>
        <w:tc>
          <w:tcPr>
            <w:tcW w:w="1633" w:type="dxa"/>
          </w:tcPr>
          <w:p w14:paraId="131DFEB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Reflects the independence of a node from control by others</w:t>
            </w:r>
          </w:p>
        </w:tc>
      </w:tr>
      <w:tr w14:paraId="624DE278">
        <w:tc>
          <w:tcPr>
            <w:tcW w:w="1701" w:type="dxa"/>
          </w:tcPr>
          <w:p w14:paraId="3B5C9074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Network density</w:t>
            </w:r>
          </w:p>
        </w:tc>
        <w:tc>
          <w:tcPr>
            <w:tcW w:w="2694" w:type="dxa"/>
          </w:tcPr>
          <w:p w14:paraId="691E83BD">
            <w:pPr>
              <w:jc w:val="center"/>
              <w:rPr>
                <w:kern w:val="0"/>
                <w:sz w:val="20"/>
              </w:rPr>
            </w:pPr>
            <m:oMathPara>
              <m:oMath>
                <m:r>
                  <m:rPr/>
                  <w:rPr>
                    <w:rStyle w:val="10"/>
                    <w:rFonts w:ascii="Cambria Math" w:hAnsi="Cambria Math"/>
                    <w:color w:val="auto"/>
                    <w:kern w:val="0"/>
                    <w:sz w:val="20"/>
                  </w:rPr>
                  <m:t>D=</m:t>
                </m:r>
                <m:f>
                  <m:fPr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fPr>
                  <m:num>
                    <m:r>
                      <m:rPr/>
                      <w:rPr>
                        <w:rStyle w:val="10"/>
                        <w:rFonts w:ascii="Cambria Math" w:hAnsi="Cambria Math"/>
                        <w:color w:val="auto"/>
                        <w:kern w:val="0"/>
                        <w:sz w:val="20"/>
                      </w:rPr>
                      <m:t>2l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num>
                  <m:den>
                    <m:r>
                      <m:rPr/>
                      <w:rPr>
                        <w:rStyle w:val="10"/>
                        <w:rFonts w:ascii="Cambria Math" w:hAnsi="Cambria Math"/>
                        <w:color w:val="auto"/>
                        <w:kern w:val="0"/>
                        <w:sz w:val="20"/>
                      </w:rPr>
                      <m:t>n(n−1)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den>
                </m:f>
                <m:nary>
                  <m:naryPr>
                    <m:chr m:val="∑"/>
                    <m:limLoc m:val="undOvr"/>
                    <m:supHide m:val="1"/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naryPr>
                  <m:sub>
                    <m:r>
                      <m:rPr/>
                      <w:rPr>
                        <w:rStyle w:val="10"/>
                        <w:rFonts w:ascii="Cambria Math" w:hAnsi="Cambria Math"/>
                        <w:color w:val="auto"/>
                        <w:kern w:val="0"/>
                        <w:sz w:val="20"/>
                      </w:rPr>
                      <m:t>i≥j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sub>
                  <m:sup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sup>
                  <m:e>
                    <m:sSub>
                      <m:sSubP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auto"/>
                            <w:kern w:val="0"/>
                            <w:sz w:val="20"/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auto"/>
                            <w:kern w:val="0"/>
                            <w:sz w:val="20"/>
                          </w:rPr>
                          <m:t>d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auto"/>
                            <w:kern w:val="0"/>
                            <w:sz w:val="20"/>
                          </w:rPr>
                        </m:ctrlPr>
                      </m:e>
                      <m:sub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auto"/>
                            <w:kern w:val="0"/>
                            <w:sz w:val="20"/>
                          </w:rPr>
                          <m:t>ij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auto"/>
                            <w:kern w:val="0"/>
                            <w:sz w:val="20"/>
                          </w:rPr>
                        </m:ctrlPr>
                      </m:sub>
                    </m:sSub>
                    <m:ctrlPr>
                      <w:rPr>
                        <w:rStyle w:val="10"/>
                        <w:rFonts w:ascii="Cambria Math" w:hAnsi="Cambria Math"/>
                        <w:i/>
                        <w:color w:val="auto"/>
                        <w:kern w:val="0"/>
                        <w:sz w:val="20"/>
                      </w:rPr>
                    </m:ctrlPr>
                  </m:e>
                </m:nary>
              </m:oMath>
            </m:oMathPara>
          </w:p>
        </w:tc>
        <w:tc>
          <w:tcPr>
            <w:tcW w:w="2268" w:type="dxa"/>
          </w:tcPr>
          <w:p w14:paraId="52B0C78B">
            <w:pPr>
              <w:jc w:val="center"/>
              <w:rPr>
                <w:kern w:val="0"/>
                <w:sz w:val="20"/>
              </w:rPr>
            </w:pPr>
            <m:oMath>
              <m:r>
                <m:rPr/>
                <w:rPr>
                  <w:rStyle w:val="10"/>
                  <w:rFonts w:ascii="Cambria Math" w:hAnsi="Cambria Math"/>
                  <w:color w:val="auto"/>
                  <w:kern w:val="0"/>
                  <w:sz w:val="20"/>
                </w:rPr>
                <m:t>l</m:t>
              </m:r>
            </m:oMath>
            <w:r>
              <w:rPr>
                <w:kern w:val="0"/>
                <w:sz w:val="20"/>
              </w:rPr>
              <w:t xml:space="preserve">= number of cooperation edges; </w:t>
            </w:r>
            <m:oMath>
              <m:r>
                <m:rPr/>
                <w:rPr>
                  <w:rStyle w:val="10"/>
                  <w:rFonts w:ascii="Cambria Math" w:hAnsi="Cambria Math"/>
                  <w:color w:val="auto"/>
                  <w:kern w:val="0"/>
                  <w:sz w:val="20"/>
                </w:rPr>
                <m:t>n</m:t>
              </m:r>
            </m:oMath>
            <w:r>
              <w:rPr>
                <w:kern w:val="0"/>
                <w:sz w:val="20"/>
              </w:rPr>
              <w:t>= number of nodes</w:t>
            </w:r>
          </w:p>
        </w:tc>
        <w:tc>
          <w:tcPr>
            <w:tcW w:w="1633" w:type="dxa"/>
          </w:tcPr>
          <w:p w14:paraId="62E41030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Reflects the tightness of connections among nodes</w:t>
            </w:r>
          </w:p>
        </w:tc>
      </w:tr>
      <w:tr w14:paraId="441330C1">
        <w:tc>
          <w:tcPr>
            <w:tcW w:w="1701" w:type="dxa"/>
          </w:tcPr>
          <w:p w14:paraId="60F5F80C">
            <w:pPr>
              <w:jc w:val="center"/>
              <w:rPr>
                <w:kern w:val="0"/>
                <w:sz w:val="20"/>
              </w:rPr>
            </w:pPr>
            <w:r>
              <w:rPr>
                <w:i/>
                <w:iCs/>
                <w:kern w:val="0"/>
                <w:sz w:val="20"/>
              </w:rPr>
              <w:t>N-</w:t>
            </w:r>
            <w:r>
              <w:rPr>
                <w:kern w:val="0"/>
                <w:sz w:val="20"/>
              </w:rPr>
              <w:t>clique</w:t>
            </w:r>
          </w:p>
        </w:tc>
        <w:tc>
          <w:tcPr>
            <w:tcW w:w="2694" w:type="dxa"/>
          </w:tcPr>
          <w:p w14:paraId="5739D81F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 xml:space="preserve">∀i,j∈S,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d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ij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ub>
                </m:sSub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>≤N</m:t>
                </m:r>
              </m:oMath>
            </m:oMathPara>
          </w:p>
        </w:tc>
        <w:tc>
          <w:tcPr>
            <w:tcW w:w="2268" w:type="dxa"/>
          </w:tcPr>
          <w:p w14:paraId="61250F73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S</m:t>
              </m:r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node set of a maximal induced subgraph;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d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ij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ub>
              </m:sSub>
            </m:oMath>
            <w:r>
              <w:rPr>
                <w:kern w:val="0"/>
                <w:sz w:val="20"/>
              </w:rPr>
              <w:t>= shortest path distance between nodes</w:t>
            </w:r>
            <w:r>
              <w:rPr>
                <w:i/>
                <w:kern w:val="0"/>
                <w:sz w:val="20"/>
              </w:rPr>
              <w:t xml:space="preserve"> </w:t>
            </w: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i</m:t>
              </m:r>
            </m:oMath>
            <w:r>
              <w:rPr>
                <w:i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 xml:space="preserve">and </w:t>
            </w:r>
            <m:oMath>
              <m:r>
                <m:rPr/>
                <w:rPr>
                  <w:rFonts w:ascii="Cambria Math" w:hAnsi="Cambria Math"/>
                  <w:kern w:val="0"/>
                  <w:sz w:val="20"/>
                </w:rPr>
                <m:t>j</m:t>
              </m:r>
            </m:oMath>
            <w:r>
              <w:rPr>
                <w:kern w:val="0"/>
                <w:sz w:val="20"/>
              </w:rPr>
              <w:t xml:space="preserve">;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N</m:t>
              </m:r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maximum path distance</w:t>
            </w:r>
          </w:p>
        </w:tc>
        <w:tc>
          <w:tcPr>
            <w:tcW w:w="1633" w:type="dxa"/>
          </w:tcPr>
          <w:p w14:paraId="65CEA816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Identifies cohesive subgroups based on reachability</w:t>
            </w:r>
          </w:p>
        </w:tc>
      </w:tr>
      <w:tr w14:paraId="3C20008C">
        <w:tc>
          <w:tcPr>
            <w:tcW w:w="1701" w:type="dxa"/>
          </w:tcPr>
          <w:p w14:paraId="2F423102">
            <w:pPr>
              <w:jc w:val="center"/>
              <w:rPr>
                <w:kern w:val="0"/>
                <w:sz w:val="20"/>
              </w:rPr>
            </w:pPr>
            <w:r>
              <w:rPr>
                <w:i/>
                <w:iCs/>
                <w:kern w:val="0"/>
                <w:sz w:val="20"/>
              </w:rPr>
              <w:t>K</w:t>
            </w:r>
            <w:r>
              <w:rPr>
                <w:kern w:val="0"/>
                <w:sz w:val="20"/>
              </w:rPr>
              <w:t>-plex</w:t>
            </w:r>
          </w:p>
        </w:tc>
        <w:tc>
          <w:tcPr>
            <w:tcW w:w="2694" w:type="dxa"/>
          </w:tcPr>
          <w:p w14:paraId="195EEBDA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 xml:space="preserve">∀i∈S, </m:t>
                </m:r>
                <m:sSub>
                  <m:sSubP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SubPr>
                  <m:e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 xml:space="preserve"> deg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  <m:sub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s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</m:sSub>
                <m:d>
                  <m:dP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i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>≥</m:t>
                </m:r>
                <m:d>
                  <m:dPr>
                    <m:begChr m:val="|"/>
                    <m:endChr m:val="|"/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Pr>
                  <m:e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S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d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>−k</m:t>
                </m:r>
              </m:oMath>
            </m:oMathPara>
          </w:p>
        </w:tc>
        <w:tc>
          <w:tcPr>
            <w:tcW w:w="2268" w:type="dxa"/>
          </w:tcPr>
          <w:p w14:paraId="698AC0AA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S</m:t>
              </m:r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node set of a maximal induced subgraph;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S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number of nodes in the subgraph;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sSub>
                <m:sSub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deg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s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d>
                <m:d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degree of node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i</m:t>
              </m:r>
            </m:oMath>
            <w:r>
              <w:t xml:space="preserve"> 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within the subgraph;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k</m:t>
              </m:r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maximum number of allowed missing internal edges</w:t>
            </w:r>
          </w:p>
        </w:tc>
        <w:tc>
          <w:tcPr>
            <w:tcW w:w="1633" w:type="dxa"/>
          </w:tcPr>
          <w:p w14:paraId="0B0E3BF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Identifies degree-based cohesive subgroups where each node misses at most </w:t>
            </w:r>
            <w:r>
              <w:rPr>
                <w:i/>
                <w:iCs/>
                <w:kern w:val="0"/>
                <w:sz w:val="20"/>
              </w:rPr>
              <w:t>k</w:t>
            </w:r>
            <w:r>
              <w:rPr>
                <w:kern w:val="0"/>
                <w:sz w:val="20"/>
              </w:rPr>
              <w:t xml:space="preserve"> internal edges</w:t>
            </w:r>
          </w:p>
        </w:tc>
      </w:tr>
      <w:tr w14:paraId="6F4CD570">
        <w:tc>
          <w:tcPr>
            <w:tcW w:w="1701" w:type="dxa"/>
            <w:tcBorders>
              <w:bottom w:val="nil"/>
            </w:tcBorders>
          </w:tcPr>
          <w:p w14:paraId="32C1D812">
            <w:pPr>
              <w:jc w:val="center"/>
              <w:rPr>
                <w:kern w:val="0"/>
                <w:sz w:val="20"/>
              </w:rPr>
            </w:pPr>
            <w:r>
              <w:rPr>
                <w:i/>
                <w:iCs/>
                <w:kern w:val="0"/>
                <w:sz w:val="20"/>
              </w:rPr>
              <w:t>K</w:t>
            </w:r>
            <w:r>
              <w:rPr>
                <w:kern w:val="0"/>
                <w:sz w:val="20"/>
              </w:rPr>
              <w:t>-core</w:t>
            </w:r>
          </w:p>
        </w:tc>
        <w:tc>
          <w:tcPr>
            <w:tcW w:w="2694" w:type="dxa"/>
            <w:tcBorders>
              <w:bottom w:val="nil"/>
            </w:tcBorders>
          </w:tcPr>
          <w:p w14:paraId="518B02E1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∀i∈S</m:t>
              </m:r>
            </m:oMath>
            <w:r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m:oMath>
              <m:sSub>
                <m:sSub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deg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s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d>
                <m:d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≥k</m:t>
              </m:r>
            </m:oMath>
          </w:p>
        </w:tc>
        <w:tc>
          <w:tcPr>
            <w:tcW w:w="2268" w:type="dxa"/>
            <w:tcBorders>
              <w:bottom w:val="nil"/>
            </w:tcBorders>
          </w:tcPr>
          <w:p w14:paraId="5CFA517F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S</m:t>
              </m:r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node set of a maximal induced subgraph;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sSub>
                <m:sSub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 xml:space="preserve"> deg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s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d>
                <m:d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degree of node i within the subgraph;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k</m:t>
              </m:r>
            </m:oMath>
            <w:bookmarkStart w:id="1" w:name="OLE_LINK3"/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minimum degree threshold</w:t>
            </w:r>
            <w:bookmarkEnd w:id="1"/>
          </w:p>
        </w:tc>
        <w:tc>
          <w:tcPr>
            <w:tcW w:w="1633" w:type="dxa"/>
            <w:tcBorders>
              <w:bottom w:val="nil"/>
            </w:tcBorders>
          </w:tcPr>
          <w:p w14:paraId="0A155439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Identifies connected core subgroups meeting a minimum degree requirement</w:t>
            </w:r>
          </w:p>
        </w:tc>
      </w:tr>
      <w:tr w14:paraId="58453E1A">
        <w:tc>
          <w:tcPr>
            <w:tcW w:w="1701" w:type="dxa"/>
            <w:tcBorders>
              <w:top w:val="nil"/>
              <w:bottom w:val="nil"/>
            </w:tcBorders>
          </w:tcPr>
          <w:p w14:paraId="71A51582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Component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53704C0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>∀i,j∈S, ∃ path i↔j;</m:t>
                </m:r>
              </m:oMath>
            </m:oMathPara>
          </w:p>
          <w:p w14:paraId="0ABE2294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Para>
              <m:oMath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 xml:space="preserve">∀i∈S, j∉S,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d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kern w:val="0"/>
                        <w:sz w:val="20"/>
                      </w:rPr>
                      <m:t>ij</m:t>
                    </m:r>
                    <m:ctrlPr>
                      <w:rPr>
                        <w:rFonts w:ascii="Cambria Math" w:hAnsi="Cambria Math"/>
                        <w:i/>
                        <w:kern w:val="0"/>
                        <w:sz w:val="20"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  <w:kern w:val="0"/>
                    <w:sz w:val="20"/>
                  </w:rPr>
                  <m:t>=0</m:t>
                </m:r>
              </m:oMath>
            </m:oMathPara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B413FAA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S</m:t>
              </m:r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node set of a maximal induced subgraph;</w:t>
            </w:r>
            <w:r>
              <w:rPr>
                <w:i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SubPr>
                <m:e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d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kern w:val="0"/>
                      <w:sz w:val="20"/>
                    </w:rPr>
                    <m:t>ij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</w:rPr>
                  </m:ctrlPr>
                </m:sub>
              </m:sSub>
            </m:oMath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connection status (1 = tie exists, 0 = no tie)</w:t>
            </w:r>
          </w:p>
        </w:tc>
        <w:tc>
          <w:tcPr>
            <w:tcW w:w="1633" w:type="dxa"/>
            <w:tcBorders>
              <w:top w:val="nil"/>
              <w:bottom w:val="nil"/>
            </w:tcBorders>
          </w:tcPr>
          <w:p w14:paraId="51342390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Reflects internal connections within each subgraph</w:t>
            </w:r>
          </w:p>
        </w:tc>
      </w:tr>
      <w:tr w14:paraId="0DBBD9BD">
        <w:tc>
          <w:tcPr>
            <w:tcW w:w="1701" w:type="dxa"/>
            <w:tcBorders>
              <w:top w:val="nil"/>
              <w:bottom w:val="single" w:color="auto" w:sz="8" w:space="0"/>
            </w:tcBorders>
          </w:tcPr>
          <w:p w14:paraId="736C4FC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Core-periphery structure</w:t>
            </w:r>
          </w:p>
        </w:tc>
        <w:tc>
          <w:tcPr>
            <w:tcW w:w="2694" w:type="dxa"/>
            <w:tcBorders>
              <w:top w:val="nil"/>
              <w:bottom w:val="single" w:color="auto" w:sz="8" w:space="0"/>
            </w:tcBorders>
          </w:tcPr>
          <w:p w14:paraId="1D3D4117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2268" w:type="dxa"/>
            <w:tcBorders>
              <w:top w:val="nil"/>
              <w:bottom w:val="single" w:color="auto" w:sz="8" w:space="0"/>
            </w:tcBorders>
          </w:tcPr>
          <w:p w14:paraId="51F6C108">
            <w:pPr>
              <w:jc w:val="center"/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633" w:type="dxa"/>
            <w:tcBorders>
              <w:top w:val="nil"/>
              <w:bottom w:val="single" w:color="auto" w:sz="8" w:space="0"/>
            </w:tcBorders>
          </w:tcPr>
          <w:p w14:paraId="02583A29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Describes the hierarchical structure of a social network</w:t>
            </w:r>
          </w:p>
        </w:tc>
      </w:tr>
    </w:tbl>
    <w:p w14:paraId="7A9CECE5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4153"/>
          <w:tab w:val="left" w:pos="4200"/>
          <w:tab w:val="left" w:pos="6754"/>
        </w:tabs>
        <w:spacing w:line="360" w:lineRule="auto"/>
        <w:jc w:val="lef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Note: The indicators selected in this study are derived from the research of Li et al. </w:t>
      </w:r>
      <w:r>
        <w:rPr>
          <w:bCs/>
          <w:sz w:val="18"/>
          <w:szCs w:val="18"/>
          <w:vertAlign w:val="superscript"/>
        </w:rPr>
        <w:fldChar w:fldCharType="begin"/>
      </w:r>
      <w:r>
        <w:rPr>
          <w:bCs/>
          <w:sz w:val="18"/>
          <w:szCs w:val="18"/>
          <w:vertAlign w:val="superscript"/>
        </w:rPr>
        <w:instrText xml:space="preserve"> REF _Ref224233987 \r \h  \* MERGEFORMAT </w:instrText>
      </w:r>
      <w:r>
        <w:rPr>
          <w:bCs/>
          <w:sz w:val="18"/>
          <w:szCs w:val="18"/>
          <w:vertAlign w:val="superscript"/>
        </w:rPr>
        <w:fldChar w:fldCharType="separate"/>
      </w:r>
      <w:r>
        <w:rPr>
          <w:bCs/>
          <w:sz w:val="18"/>
          <w:szCs w:val="18"/>
          <w:vertAlign w:val="superscript"/>
        </w:rPr>
        <w:t>[33]</w:t>
      </w:r>
      <w:r>
        <w:rPr>
          <w:bCs/>
          <w:sz w:val="18"/>
          <w:szCs w:val="18"/>
          <w:vertAlign w:val="superscript"/>
        </w:rPr>
        <w:fldChar w:fldCharType="end"/>
      </w:r>
      <w:r>
        <w:t xml:space="preserve"> </w:t>
      </w:r>
      <w:r>
        <w:rPr>
          <w:bCs/>
          <w:sz w:val="18"/>
          <w:szCs w:val="18"/>
        </w:rPr>
        <w:t xml:space="preserve">and Chen et al. </w:t>
      </w:r>
      <w:r>
        <w:rPr>
          <w:bCs/>
          <w:sz w:val="18"/>
          <w:szCs w:val="18"/>
          <w:vertAlign w:val="superscript"/>
        </w:rPr>
        <w:fldChar w:fldCharType="begin"/>
      </w:r>
      <w:r>
        <w:rPr>
          <w:bCs/>
          <w:sz w:val="18"/>
          <w:szCs w:val="18"/>
          <w:vertAlign w:val="superscript"/>
        </w:rPr>
        <w:instrText xml:space="preserve"> REF _Ref224230832 \r \h  \* MERGEFORMAT </w:instrText>
      </w:r>
      <w:r>
        <w:rPr>
          <w:bCs/>
          <w:sz w:val="18"/>
          <w:szCs w:val="18"/>
          <w:vertAlign w:val="superscript"/>
        </w:rPr>
        <w:fldChar w:fldCharType="separate"/>
      </w:r>
      <w:r>
        <w:rPr>
          <w:bCs/>
          <w:sz w:val="18"/>
          <w:szCs w:val="18"/>
          <w:vertAlign w:val="superscript"/>
        </w:rPr>
        <w:t>[9]</w:t>
      </w:r>
      <w:r>
        <w:rPr>
          <w:bCs/>
          <w:sz w:val="18"/>
          <w:szCs w:val="18"/>
          <w:vertAlign w:val="superscript"/>
        </w:rPr>
        <w:fldChar w:fldCharType="end"/>
      </w:r>
    </w:p>
    <w:p w14:paraId="3E1264A3"/>
    <w:p w14:paraId="6AEB02C7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2" w:name="_Ref233127646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2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Description of Modularity Indicator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099"/>
        <w:gridCol w:w="2046"/>
        <w:gridCol w:w="2045"/>
      </w:tblGrid>
      <w:tr w14:paraId="63B5264D">
        <w:tc>
          <w:tcPr>
            <w:tcW w:w="1116" w:type="dxa"/>
            <w:tcBorders>
              <w:top w:val="single" w:color="auto" w:sz="8" w:space="0"/>
              <w:bottom w:val="single" w:color="auto" w:sz="4" w:space="0"/>
            </w:tcBorders>
          </w:tcPr>
          <w:p w14:paraId="3326105A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</w:rPr>
              <w:t>Indicator</w:t>
            </w:r>
          </w:p>
        </w:tc>
        <w:tc>
          <w:tcPr>
            <w:tcW w:w="3099" w:type="dxa"/>
            <w:tcBorders>
              <w:top w:val="single" w:color="auto" w:sz="8" w:space="0"/>
              <w:bottom w:val="single" w:color="auto" w:sz="4" w:space="0"/>
            </w:tcBorders>
          </w:tcPr>
          <w:p w14:paraId="564E2748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</w:rPr>
              <w:t>Formula</w:t>
            </w:r>
          </w:p>
        </w:tc>
        <w:tc>
          <w:tcPr>
            <w:tcW w:w="2046" w:type="dxa"/>
            <w:tcBorders>
              <w:top w:val="single" w:color="auto" w:sz="8" w:space="0"/>
              <w:bottom w:val="single" w:color="auto" w:sz="4" w:space="0"/>
            </w:tcBorders>
          </w:tcPr>
          <w:p w14:paraId="0F45E627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</w:rPr>
              <w:t>Parameter Description</w:t>
            </w:r>
          </w:p>
        </w:tc>
        <w:tc>
          <w:tcPr>
            <w:tcW w:w="2045" w:type="dxa"/>
            <w:tcBorders>
              <w:top w:val="single" w:color="auto" w:sz="8" w:space="0"/>
              <w:bottom w:val="single" w:color="auto" w:sz="4" w:space="0"/>
            </w:tcBorders>
          </w:tcPr>
          <w:p w14:paraId="079B165A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</w:rPr>
              <w:t>Interpretation</w:t>
            </w:r>
          </w:p>
        </w:tc>
      </w:tr>
      <w:tr w14:paraId="15F97270">
        <w:tc>
          <w:tcPr>
            <w:tcW w:w="1116" w:type="dxa"/>
            <w:tcBorders>
              <w:top w:val="single" w:color="auto" w:sz="4" w:space="0"/>
              <w:bottom w:val="single" w:color="auto" w:sz="8" w:space="0"/>
            </w:tcBorders>
          </w:tcPr>
          <w:p w14:paraId="378B4D3C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kern w:val="0"/>
                <w:sz w:val="24"/>
              </w:rPr>
            </w:pPr>
            <w:r>
              <w:rPr>
                <w:bCs/>
                <w:kern w:val="0"/>
                <w:sz w:val="20"/>
                <w:szCs w:val="21"/>
              </w:rPr>
              <w:t>Modularity</w:t>
            </w:r>
          </w:p>
        </w:tc>
        <w:tc>
          <w:tcPr>
            <w:tcW w:w="3099" w:type="dxa"/>
            <w:tcBorders>
              <w:top w:val="single" w:color="auto" w:sz="4" w:space="0"/>
              <w:bottom w:val="single" w:color="auto" w:sz="8" w:space="0"/>
            </w:tcBorders>
          </w:tcPr>
          <w:p w14:paraId="761EDAE6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kern w:val="0"/>
                <w:sz w:val="24"/>
              </w:rPr>
            </w:pPr>
            <m:oMathPara>
              <m:oMath>
                <m:r>
                  <m:rPr/>
                  <w:rPr>
                    <w:rStyle w:val="10"/>
                    <w:rFonts w:ascii="Cambria Math" w:hAnsi="Cambria Math"/>
                    <w:color w:val="000000" w:themeColor="text1"/>
                    <w:kern w:val="0"/>
                    <w:sz w:val="20"/>
                    <w14:textFill>
                      <w14:solidFill>
                        <w14:schemeClr w14:val="tx1"/>
                      </w14:solidFill>
                    </w14:textFill>
                  </w:rPr>
                  <m:t>Q=</m:t>
                </m:r>
                <m:f>
                  <m:fP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fPr>
                  <m:num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1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um>
                  <m:den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2m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den>
                </m:f>
                <m:nary>
                  <m:naryPr>
                    <m:chr m:val="∑"/>
                    <m:limLoc m:val="subSup"/>
                    <m:supHide m:val="1"/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naryPr>
                  <m:sub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i,j</m:t>
                    </m:r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b>
                  <m:sup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sup>
                  <m:e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[</m:t>
                    </m:r>
                    <m:sSub>
                      <w:bookmarkStart w:id="3" w:name="OLE_LINK30"/>
                      <m:sSubP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A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i,j</m:t>
                        </m:r>
                        <w:bookmarkEnd w:id="3"/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−</m:t>
                    </m:r>
                    <m:f>
                      <m:fP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Style w:val="10"/>
                                <w:rFonts w:ascii="Cambria Math" w:hAnsi="Cambria Math"/>
                                <w:i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Style w:val="10"/>
                                <w:rFonts w:ascii="Cambria Math" w:hAnsi="Cambria Math"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k</m:t>
                            </m:r>
                            <m:ctrlPr>
                              <w:rPr>
                                <w:rStyle w:val="10"/>
                                <w:rFonts w:ascii="Cambria Math" w:hAnsi="Cambria Math"/>
                                <w:i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Style w:val="10"/>
                                <w:rFonts w:ascii="Cambria Math" w:hAnsi="Cambria Math"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i</m:t>
                            </m:r>
                            <m:ctrlPr>
                              <w:rPr>
                                <w:rStyle w:val="10"/>
                                <w:rFonts w:ascii="Cambria Math" w:hAnsi="Cambria Math"/>
                                <w:i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sub>
                        </m:sSub>
                        <m:sSub>
                          <m:sSubPr>
                            <m:ctrlPr>
                              <w:rPr>
                                <w:rStyle w:val="10"/>
                                <w:rFonts w:ascii="Cambria Math" w:hAnsi="Cambria Math"/>
                                <w:i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Style w:val="10"/>
                                <w:rFonts w:ascii="Cambria Math" w:hAnsi="Cambria Math"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k</m:t>
                            </m:r>
                            <m:ctrlPr>
                              <w:rPr>
                                <w:rStyle w:val="10"/>
                                <w:rFonts w:ascii="Cambria Math" w:hAnsi="Cambria Math"/>
                                <w:i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Style w:val="10"/>
                                <w:rFonts w:ascii="Cambria Math" w:hAnsi="Cambria Math"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m:t>j</m:t>
                            </m:r>
                            <m:ctrlPr>
                              <w:rPr>
                                <w:rStyle w:val="10"/>
                                <w:rFonts w:ascii="Cambria Math" w:hAnsi="Cambria Math"/>
                                <w:i/>
                                <w:color w:val="000000" w:themeColor="text1"/>
                                <w:kern w:val="0"/>
                                <w:sz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m:ctrlPr>
                          </m:sub>
                        </m:sSub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num>
                      <m:den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2m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den>
                    </m:f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]δ(</m:t>
                    </m:r>
                    <m:sSub>
                      <m:sSubP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i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r>
                      <m:rPr/>
                      <w:rPr>
                        <w:rStyle w:val="10"/>
                        <w:rFonts w:ascii="Cambria Math" w:hAnsi="Cambria Math"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m:t>,</m:t>
                    </m:r>
                    <m:sSub>
                      <m:sSubP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SubPr>
                      <m:e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c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e>
                      <m:sub>
                        <m:r>
                          <m:rPr/>
                          <w:rPr>
                            <w:rStyle w:val="10"/>
                            <w:rFonts w:ascii="Cambria Math" w:hAnsi="Cambria Math"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m:t>j)</m:t>
                        </m:r>
                        <m:ctrlPr>
                          <w:rPr>
                            <w:rStyle w:val="10"/>
                            <w:rFonts w:ascii="Cambria Math" w:hAnsi="Cambria Math"/>
                            <w:i/>
                            <w:color w:val="000000" w:themeColor="text1"/>
                            <w:kern w:val="0"/>
                            <w:sz w:val="20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m:ctrlPr>
                      </m:sub>
                    </m:sSub>
                    <m:ctrlPr>
                      <w:rPr>
                        <w:rStyle w:val="10"/>
                        <w:rFonts w:ascii="Cambria Math" w:hAnsi="Cambria Math"/>
                        <w:i/>
                        <w:color w:val="000000" w:themeColor="text1"/>
                        <w:kern w:val="0"/>
                        <w:sz w:val="2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m:ctrlPr>
                  </m:e>
                </m:nary>
              </m:oMath>
            </m:oMathPara>
          </w:p>
        </w:tc>
        <w:tc>
          <w:tcPr>
            <w:tcW w:w="2046" w:type="dxa"/>
            <w:tcBorders>
              <w:top w:val="single" w:color="auto" w:sz="4" w:space="0"/>
              <w:bottom w:val="single" w:color="auto" w:sz="8" w:space="0"/>
            </w:tcBorders>
          </w:tcPr>
          <w:p w14:paraId="18C09D2C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i/>
                <w:iCs/>
                <w:kern w:val="0"/>
                <w:sz w:val="20"/>
                <w:szCs w:val="21"/>
              </w:rPr>
            </w:pPr>
            <m:oMath>
              <m:sSub>
                <m:sSub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A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i,j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</m:oMath>
            <w:r>
              <w:rPr>
                <w:kern w:val="0"/>
                <w:sz w:val="20"/>
                <w:szCs w:val="21"/>
              </w:rPr>
              <w:t xml:space="preserve">= edge weight between nodes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i</m:t>
              </m:r>
            </m:oMath>
            <w:r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kern w:val="0"/>
                <w:sz w:val="20"/>
                <w:szCs w:val="21"/>
              </w:rPr>
              <w:t xml:space="preserve">and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 xml:space="preserve">j; </m:t>
              </m:r>
              <m:sSub>
                <m:sSub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</m:oMath>
            <w:r>
              <w:rPr>
                <w:kern w:val="0"/>
                <w:sz w:val="20"/>
                <w:szCs w:val="21"/>
              </w:rPr>
              <w:t>=</w:t>
            </w:r>
            <m:oMath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kern w:val="0"/>
                      <w:sz w:val="20"/>
                      <w:szCs w:val="21"/>
                    </w:rPr>
                  </m:ctrlPr>
                </m:naryPr>
                <m:sub>
                  <m:r>
                    <m:rPr/>
                    <w:rPr>
                      <w:rFonts w:ascii="Cambria Math" w:hAnsi="Cambria Math"/>
                      <w:kern w:val="0"/>
                      <w:sz w:val="20"/>
                      <w:szCs w:val="21"/>
                    </w:rPr>
                    <m:t>j</m:t>
                  </m:r>
                  <m:ctrlPr>
                    <w:rPr>
                      <w:rFonts w:ascii="Cambria Math" w:hAnsi="Cambria Math"/>
                      <w:i/>
                      <w:kern w:val="0"/>
                      <w:sz w:val="20"/>
                      <w:szCs w:val="21"/>
                    </w:rPr>
                  </m:ctrlPr>
                </m:sub>
                <m:sup>
                  <m:ctrlPr>
                    <w:rPr>
                      <w:rFonts w:ascii="Cambria Math" w:hAnsi="Cambria Math"/>
                      <w:i/>
                      <w:kern w:val="0"/>
                      <w:sz w:val="20"/>
                      <w:szCs w:val="21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kern w:val="0"/>
                          <w:sz w:val="20"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kern w:val="0"/>
                          <w:sz w:val="20"/>
                          <w:szCs w:val="21"/>
                        </w:rPr>
                        <m:t>A</m:t>
                      </m:r>
                      <m:ctrlPr>
                        <w:rPr>
                          <w:rFonts w:ascii="Cambria Math" w:hAnsi="Cambria Math"/>
                          <w:i/>
                          <w:kern w:val="0"/>
                          <w:sz w:val="20"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ascii="Cambria Math" w:hAnsi="Cambria Math"/>
                          <w:kern w:val="0"/>
                          <w:sz w:val="20"/>
                          <w:szCs w:val="21"/>
                        </w:rPr>
                        <m:t>ij</m:t>
                      </m:r>
                      <m:ctrlPr>
                        <w:rPr>
                          <w:rFonts w:ascii="Cambria Math" w:hAnsi="Cambria Math"/>
                          <w:i/>
                          <w:kern w:val="0"/>
                          <w:sz w:val="20"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kern w:val="0"/>
                      <w:sz w:val="20"/>
                      <w:szCs w:val="21"/>
                    </w:rPr>
                  </m:ctrlPr>
                </m:e>
              </m:nary>
            </m:oMath>
            <w:r>
              <w:rPr>
                <w:kern w:val="0"/>
                <w:sz w:val="20"/>
                <w:szCs w:val="21"/>
              </w:rPr>
              <w:t>= degree of node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i;</m:t>
              </m:r>
            </m:oMath>
            <w:r>
              <w:rPr>
                <w:rStyle w:val="11"/>
                <w:rFonts w:ascii="Times New Roman" w:hAnsi="Times New Roman" w:eastAsia="宋体" w:cs="Times New Roman"/>
                <w:i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m:oMath>
              <m:sSub>
                <m:sSub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c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</m:oMath>
            <w:r>
              <w:rPr>
                <w:i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= community to which node</w:t>
            </w:r>
            <w:r>
              <w:rPr>
                <w:kern w:val="0"/>
                <w:sz w:val="20"/>
                <w:szCs w:val="21"/>
              </w:rPr>
              <w:t xml:space="preserve">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i</m:t>
              </m:r>
            </m:oMath>
            <w:r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i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belongs;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δ</m:t>
              </m:r>
              <m:d>
                <m:dPr>
                  <m:ctrlPr>
                    <w:rPr>
                      <w:rStyle w:val="10"/>
                      <w:rFonts w:ascii="Cambria Math" w:hAnsi="Cambria Math"/>
                      <w:iCs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Pr>
                <m:e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u,v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d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=1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20"/>
                </w:rPr>
                <m:t xml:space="preserve"> </m:t>
              </m:r>
              <m:r>
                <m:rPr/>
                <w:rPr>
                  <w:rFonts w:ascii="Cambria Math" w:hAnsi="Cambria Math"/>
                  <w:kern w:val="0"/>
                  <w:sz w:val="20"/>
                </w:rPr>
                <m:t>if</m:t>
              </m:r>
              <m:r>
                <m:rPr>
                  <m:sty m:val="p"/>
                </m:rPr>
                <w:rPr>
                  <w:rFonts w:ascii="Cambria Math" w:hAnsi="Cambria Math"/>
                  <w:kern w:val="0"/>
                  <w:sz w:val="20"/>
                </w:rPr>
                <m:t xml:space="preserve"> </m:t>
              </m:r>
              <m:r>
                <m:rPr/>
                <w:rPr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u</m:t>
              </m:r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=</m:t>
              </m:r>
              <m:r>
                <m:rPr/>
                <w:rPr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v</m:t>
              </m:r>
            </m:oMath>
            <w:r>
              <w:rPr>
                <w:i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, 0 otherwise; </w:t>
            </w:r>
            <m:oMath>
              <m:r>
                <m:rPr/>
                <w:rPr>
                  <w:rStyle w:val="10"/>
                  <w:rFonts w:ascii="Cambria Math" w:hAnsi="Cambria Math"/>
                  <w:color w:val="000000" w:themeColor="text1"/>
                  <w:kern w:val="0"/>
                  <w:sz w:val="20"/>
                  <w14:textFill>
                    <w14:solidFill>
                      <w14:schemeClr w14:val="tx1"/>
                    </w14:solidFill>
                  </w14:textFill>
                </w:rPr>
                <m:t>m=</m:t>
              </m:r>
              <m:f>
                <m:fP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fPr>
                <m:num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um>
                <m:den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den>
              </m:f>
              <m:nary>
                <m:naryPr>
                  <m:chr m:val="∑"/>
                  <m:limLoc m:val="undOvr"/>
                  <m:supHide m:val="1"/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naryPr>
                <m:sub>
                  <m:r>
                    <m:rPr/>
                    <w:rPr>
                      <w:rStyle w:val="10"/>
                      <w:rFonts w:ascii="Cambria Math" w:hAnsi="Cambria Math"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  <m:t>ij</m:t>
                  </m:r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  <m:sup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p>
                <m:e>
                  <m:sSub>
                    <m:sSubPr>
                      <m:ctrlPr>
                        <w:rPr>
                          <w:rStyle w:val="10"/>
                          <w:rFonts w:ascii="Cambria Math" w:hAnsi="Cambria Math"/>
                          <w:i/>
                          <w:color w:val="000000" w:themeColor="text1"/>
                          <w:kern w:val="0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SubPr>
                    <m:e>
                      <m:r>
                        <m:rPr/>
                        <w:rPr>
                          <w:rStyle w:val="10"/>
                          <w:rFonts w:ascii="Cambria Math" w:hAnsi="Cambria Math"/>
                          <w:color w:val="000000" w:themeColor="text1"/>
                          <w:kern w:val="0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A</m:t>
                      </m:r>
                      <m:ctrlPr>
                        <w:rPr>
                          <w:rStyle w:val="10"/>
                          <w:rFonts w:ascii="Cambria Math" w:hAnsi="Cambria Math"/>
                          <w:i/>
                          <w:color w:val="000000" w:themeColor="text1"/>
                          <w:kern w:val="0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e>
                    <m:sub>
                      <m:r>
                        <m:rPr/>
                        <w:rPr>
                          <w:rStyle w:val="10"/>
                          <w:rFonts w:ascii="Cambria Math" w:hAnsi="Cambria Math"/>
                          <w:color w:val="000000" w:themeColor="text1"/>
                          <w:kern w:val="0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m:t>ij</m:t>
                      </m:r>
                      <m:ctrlPr>
                        <w:rPr>
                          <w:rStyle w:val="10"/>
                          <w:rFonts w:ascii="Cambria Math" w:hAnsi="Cambria Math"/>
                          <w:i/>
                          <w:color w:val="000000" w:themeColor="text1"/>
                          <w:kern w:val="0"/>
                          <w:sz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m:ctrlPr>
                    </m:sub>
                  </m:sSub>
                  <m:ctrlPr>
                    <w:rPr>
                      <w:rStyle w:val="10"/>
                      <w:rFonts w:ascii="Cambria Math" w:hAnsi="Cambria Math"/>
                      <w:i/>
                      <w:color w:val="000000" w:themeColor="text1"/>
                      <w:kern w:val="0"/>
                      <w:sz w:val="20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</m:nary>
            </m:oMath>
            <w:r>
              <w:rPr>
                <w:rStyle w:val="10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= total number of edges</w:t>
            </w:r>
          </w:p>
        </w:tc>
        <w:tc>
          <w:tcPr>
            <w:tcW w:w="2045" w:type="dxa"/>
            <w:tcBorders>
              <w:top w:val="single" w:color="auto" w:sz="4" w:space="0"/>
              <w:bottom w:val="single" w:color="auto" w:sz="8" w:space="0"/>
            </w:tcBorders>
          </w:tcPr>
          <w:p w14:paraId="305A5EF4">
            <w:pPr>
              <w:keepNext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6754"/>
              </w:tabs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Measures the ratio of intra-community link density to inter-community link density</w:t>
            </w:r>
            <w:r>
              <w:rPr>
                <w:kern w:val="0"/>
                <w:sz w:val="20"/>
                <w:szCs w:val="21"/>
                <w:vertAlign w:val="superscript"/>
              </w:rPr>
              <w:t xml:space="preserve"> </w:t>
            </w:r>
            <w:r>
              <w:rPr>
                <w:kern w:val="0"/>
                <w:sz w:val="20"/>
                <w:szCs w:val="21"/>
                <w:vertAlign w:val="superscript"/>
              </w:rPr>
              <w:fldChar w:fldCharType="begin"/>
            </w:r>
            <w:r>
              <w:rPr>
                <w:kern w:val="0"/>
                <w:sz w:val="20"/>
                <w:szCs w:val="21"/>
                <w:vertAlign w:val="superscript"/>
              </w:rPr>
              <w:instrText xml:space="preserve"> REF _Ref229395145 \r \h  \* MERGEFORMAT </w:instrText>
            </w:r>
            <w:r>
              <w:rPr>
                <w:kern w:val="0"/>
                <w:sz w:val="20"/>
                <w:szCs w:val="21"/>
                <w:vertAlign w:val="superscript"/>
              </w:rPr>
              <w:fldChar w:fldCharType="separate"/>
            </w:r>
            <w:r>
              <w:rPr>
                <w:kern w:val="0"/>
                <w:sz w:val="20"/>
                <w:szCs w:val="21"/>
                <w:vertAlign w:val="superscript"/>
              </w:rPr>
              <w:t>[43]</w:t>
            </w:r>
            <w:r>
              <w:rPr>
                <w:kern w:val="0"/>
                <w:sz w:val="20"/>
                <w:szCs w:val="21"/>
                <w:vertAlign w:val="superscript"/>
              </w:rPr>
              <w:fldChar w:fldCharType="end"/>
            </w:r>
            <w:r>
              <w:rPr>
                <w:kern w:val="0"/>
                <w:sz w:val="20"/>
                <w:szCs w:val="21"/>
                <w:vertAlign w:val="superscript"/>
              </w:rPr>
              <w:fldChar w:fldCharType="begin"/>
            </w:r>
            <w:r>
              <w:rPr>
                <w:kern w:val="0"/>
                <w:sz w:val="20"/>
                <w:szCs w:val="21"/>
                <w:vertAlign w:val="superscript"/>
              </w:rPr>
              <w:instrText xml:space="preserve"> REF _Ref225435539 \r \h  \* MERGEFORMAT </w:instrText>
            </w:r>
            <w:r>
              <w:rPr>
                <w:kern w:val="0"/>
                <w:sz w:val="20"/>
                <w:szCs w:val="21"/>
                <w:vertAlign w:val="superscript"/>
              </w:rPr>
              <w:fldChar w:fldCharType="separate"/>
            </w:r>
            <w:r>
              <w:rPr>
                <w:kern w:val="0"/>
                <w:sz w:val="20"/>
                <w:szCs w:val="21"/>
                <w:vertAlign w:val="superscript"/>
              </w:rPr>
              <w:t>[44]</w:t>
            </w:r>
            <w:r>
              <w:rPr>
                <w:kern w:val="0"/>
                <w:sz w:val="20"/>
                <w:szCs w:val="21"/>
                <w:vertAlign w:val="superscript"/>
              </w:rPr>
              <w:fldChar w:fldCharType="end"/>
            </w:r>
          </w:p>
        </w:tc>
      </w:tr>
    </w:tbl>
    <w:p w14:paraId="1DA7E438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4153"/>
          <w:tab w:val="left" w:pos="4200"/>
          <w:tab w:val="left" w:pos="6754"/>
        </w:tabs>
        <w:spacing w:line="360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Note: The formula is derived from the study of Blondel et al. </w:t>
      </w:r>
      <w:r>
        <w:rPr>
          <w:sz w:val="18"/>
          <w:szCs w:val="18"/>
          <w:vertAlign w:val="superscript"/>
        </w:rPr>
        <w:fldChar w:fldCharType="begin"/>
      </w:r>
      <w:r>
        <w:rPr>
          <w:sz w:val="18"/>
          <w:szCs w:val="18"/>
          <w:vertAlign w:val="superscript"/>
        </w:rPr>
        <w:instrText xml:space="preserve"> REF _Ref225435550 \r \h  \* MERGEFORMAT </w:instrText>
      </w:r>
      <w:r>
        <w:rPr>
          <w:sz w:val="18"/>
          <w:szCs w:val="18"/>
          <w:vertAlign w:val="superscript"/>
        </w:rPr>
        <w:fldChar w:fldCharType="separate"/>
      </w:r>
      <w:r>
        <w:rPr>
          <w:sz w:val="18"/>
          <w:szCs w:val="18"/>
          <w:vertAlign w:val="superscript"/>
        </w:rPr>
        <w:t>[45]</w:t>
      </w:r>
      <w:r>
        <w:rPr>
          <w:sz w:val="18"/>
          <w:szCs w:val="18"/>
          <w:vertAlign w:val="superscript"/>
        </w:rPr>
        <w:fldChar w:fldCharType="end"/>
      </w:r>
    </w:p>
    <w:p w14:paraId="02C4F027"/>
    <w:p w14:paraId="1F8BCD9B">
      <w:pPr>
        <w:pStyle w:val="3"/>
        <w:keepNext/>
        <w:jc w:val="center"/>
        <w:rPr>
          <w:rFonts w:hint="eastAsia"/>
        </w:rPr>
      </w:pPr>
      <w:bookmarkStart w:id="4" w:name="_Ref233127665"/>
      <w:r>
        <w:rPr>
          <w:rFonts w:ascii="Times New Roman" w:hAnsi="Times New Roman" w:eastAsia="宋体" w:cs="Times New Roman"/>
          <w:sz w:val="21"/>
          <w:szCs w:val="21"/>
        </w:rPr>
        <w:t>Table A</w:t>
      </w:r>
      <w:r>
        <w:rPr>
          <w:rFonts w:ascii="Times New Roman" w:hAnsi="Times New Roman" w:eastAsia="宋体" w:cs="Times New Roman"/>
          <w:sz w:val="21"/>
          <w:szCs w:val="21"/>
        </w:rPr>
        <w:fldChar w:fldCharType="begin"/>
      </w:r>
      <w:r>
        <w:rPr>
          <w:rFonts w:ascii="Times New Roman" w:hAnsi="Times New Roman" w:eastAsia="宋体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eastAsia="宋体" w:cs="Times New Roman"/>
          <w:sz w:val="21"/>
          <w:szCs w:val="21"/>
        </w:rPr>
        <w:fldChar w:fldCharType="separate"/>
      </w:r>
      <w:r>
        <w:rPr>
          <w:rFonts w:ascii="Times New Roman" w:hAnsi="Times New Roman" w:eastAsia="宋体" w:cs="Times New Roman"/>
          <w:sz w:val="21"/>
          <w:szCs w:val="21"/>
        </w:rPr>
        <w:t>3</w:t>
      </w:r>
      <w:r>
        <w:rPr>
          <w:rFonts w:ascii="Times New Roman" w:hAnsi="Times New Roman" w:eastAsia="宋体" w:cs="Times New Roman"/>
          <w:sz w:val="21"/>
          <w:szCs w:val="21"/>
        </w:rPr>
        <w:fldChar w:fldCharType="end"/>
      </w:r>
      <w:bookmarkEnd w:id="4"/>
      <w:r>
        <w:rPr>
          <w:rFonts w:hint="eastAsia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ascii="Times New Roman" w:hAnsi="Times New Roman" w:eastAsia="宋体" w:cs="Times New Roman"/>
          <w:sz w:val="21"/>
          <w:szCs w:val="21"/>
        </w:rPr>
        <w:t>Network Density of Patent Applicants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765"/>
        <w:gridCol w:w="2765"/>
      </w:tblGrid>
      <w:tr w14:paraId="1FC19355">
        <w:tc>
          <w:tcPr>
            <w:tcW w:w="2766" w:type="dxa"/>
            <w:tcBorders>
              <w:top w:val="single" w:color="auto" w:sz="8" w:space="0"/>
              <w:bottom w:val="single" w:color="auto" w:sz="4" w:space="0"/>
            </w:tcBorders>
          </w:tcPr>
          <w:p w14:paraId="71F5C168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7C09A8F1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Network Density</w:t>
            </w: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19A310A0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Number of Edges</w:t>
            </w:r>
          </w:p>
        </w:tc>
      </w:tr>
      <w:tr w14:paraId="5948C86F">
        <w:tc>
          <w:tcPr>
            <w:tcW w:w="2766" w:type="dxa"/>
            <w:tcBorders>
              <w:top w:val="single" w:color="auto" w:sz="4" w:space="0"/>
              <w:bottom w:val="single" w:color="auto" w:sz="8" w:space="0"/>
            </w:tcBorders>
          </w:tcPr>
          <w:p w14:paraId="603DE91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Patent applicants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8" w:space="0"/>
            </w:tcBorders>
          </w:tcPr>
          <w:p w14:paraId="4224D11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0.0001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8" w:space="0"/>
            </w:tcBorders>
          </w:tcPr>
          <w:p w14:paraId="1975DA6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142</w:t>
            </w:r>
          </w:p>
        </w:tc>
      </w:tr>
    </w:tbl>
    <w:p w14:paraId="583E1F71">
      <w:pPr>
        <w:pStyle w:val="3"/>
        <w:keepNext/>
        <w:rPr>
          <w:rFonts w:ascii="Times New Roman" w:hAnsi="Times New Roman" w:cs="Times New Roman"/>
          <w:sz w:val="21"/>
          <w:szCs w:val="21"/>
        </w:rPr>
      </w:pPr>
    </w:p>
    <w:p w14:paraId="1D2526DA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5" w:name="_Ref233127671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5"/>
      <w:r>
        <w:rPr>
          <w:rFonts w:ascii="Times New Roman" w:hAnsi="Times New Roman" w:cs="Times New Roman"/>
          <w:sz w:val="21"/>
          <w:szCs w:val="21"/>
        </w:rPr>
        <w:t xml:space="preserve"> Centrality of Patent Applicants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3EFD669E"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2953E4BE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Statistic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127B03A6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 Centrality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1447BABE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Closeness Centrality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1ED3D0C9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Betweenness Centrality</w:t>
            </w:r>
          </w:p>
        </w:tc>
      </w:tr>
      <w:tr w14:paraId="018FC870">
        <w:tc>
          <w:tcPr>
            <w:tcW w:w="2074" w:type="dxa"/>
            <w:tcBorders>
              <w:top w:val="single" w:color="auto" w:sz="4" w:space="0"/>
            </w:tcBorders>
          </w:tcPr>
          <w:p w14:paraId="1A568CB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Mean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0560659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0.020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5E259B3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0.084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63C116A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</w:t>
            </w:r>
          </w:p>
        </w:tc>
      </w:tr>
      <w:tr w14:paraId="7FD45AD2">
        <w:tc>
          <w:tcPr>
            <w:tcW w:w="2074" w:type="dxa"/>
            <w:tcBorders>
              <w:bottom w:val="nil"/>
            </w:tcBorders>
          </w:tcPr>
          <w:p w14:paraId="04091F2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Minimum</w:t>
            </w:r>
          </w:p>
        </w:tc>
        <w:tc>
          <w:tcPr>
            <w:tcW w:w="2074" w:type="dxa"/>
            <w:tcBorders>
              <w:bottom w:val="nil"/>
            </w:tcBorders>
          </w:tcPr>
          <w:p w14:paraId="6CFC999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</w:t>
            </w:r>
          </w:p>
        </w:tc>
        <w:tc>
          <w:tcPr>
            <w:tcW w:w="2074" w:type="dxa"/>
            <w:tcBorders>
              <w:bottom w:val="nil"/>
            </w:tcBorders>
          </w:tcPr>
          <w:p w14:paraId="319D48A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0.084</w:t>
            </w:r>
          </w:p>
        </w:tc>
        <w:tc>
          <w:tcPr>
            <w:tcW w:w="2074" w:type="dxa"/>
            <w:tcBorders>
              <w:bottom w:val="nil"/>
            </w:tcBorders>
          </w:tcPr>
          <w:p w14:paraId="79F9D10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</w:t>
            </w:r>
          </w:p>
        </w:tc>
      </w:tr>
      <w:tr w14:paraId="150F1936">
        <w:tc>
          <w:tcPr>
            <w:tcW w:w="2074" w:type="dxa"/>
            <w:tcBorders>
              <w:bottom w:val="single" w:color="auto" w:sz="8" w:space="0"/>
            </w:tcBorders>
          </w:tcPr>
          <w:p w14:paraId="10AD188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Maximum</w:t>
            </w:r>
          </w:p>
        </w:tc>
        <w:tc>
          <w:tcPr>
            <w:tcW w:w="2074" w:type="dxa"/>
            <w:tcBorders>
              <w:bottom w:val="single" w:color="auto" w:sz="8" w:space="0"/>
            </w:tcBorders>
          </w:tcPr>
          <w:p w14:paraId="5B92148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1.005</w:t>
            </w:r>
          </w:p>
        </w:tc>
        <w:tc>
          <w:tcPr>
            <w:tcW w:w="2074" w:type="dxa"/>
            <w:tcBorders>
              <w:bottom w:val="single" w:color="auto" w:sz="8" w:space="0"/>
            </w:tcBorders>
          </w:tcPr>
          <w:p w14:paraId="0E2B89E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0.085</w:t>
            </w:r>
          </w:p>
        </w:tc>
        <w:tc>
          <w:tcPr>
            <w:tcW w:w="2074" w:type="dxa"/>
            <w:tcBorders>
              <w:bottom w:val="single" w:color="auto" w:sz="8" w:space="0"/>
            </w:tcBorders>
          </w:tcPr>
          <w:p w14:paraId="3756B94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0.009</w:t>
            </w:r>
          </w:p>
        </w:tc>
      </w:tr>
    </w:tbl>
    <w:p w14:paraId="7F46F179">
      <w:pPr>
        <w:spacing w:line="360" w:lineRule="auto"/>
        <w:rPr>
          <w:sz w:val="24"/>
        </w:rPr>
      </w:pPr>
    </w:p>
    <w:p w14:paraId="37873035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6" w:name="_Ref233127764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5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6"/>
      <w:r>
        <w:rPr>
          <w:rFonts w:ascii="Times New Roman" w:hAnsi="Times New Roman" w:cs="Times New Roman"/>
          <w:sz w:val="21"/>
          <w:szCs w:val="21"/>
        </w:rPr>
        <w:t xml:space="preserve"> Core Nodes in the Overall Applicant Network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 w14:paraId="1AB01F23">
        <w:tc>
          <w:tcPr>
            <w:tcW w:w="1696" w:type="dxa"/>
            <w:tcBorders>
              <w:top w:val="single" w:color="auto" w:sz="8" w:space="0"/>
              <w:bottom w:val="single" w:color="auto" w:sz="4" w:space="0"/>
            </w:tcBorders>
          </w:tcPr>
          <w:p w14:paraId="0A4181B8">
            <w:pPr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Centrality Value</w:t>
            </w:r>
          </w:p>
        </w:tc>
        <w:tc>
          <w:tcPr>
            <w:tcW w:w="6600" w:type="dxa"/>
            <w:tcBorders>
              <w:top w:val="single" w:color="auto" w:sz="8" w:space="0"/>
              <w:bottom w:val="single" w:color="auto" w:sz="4" w:space="0"/>
            </w:tcBorders>
          </w:tcPr>
          <w:p w14:paraId="0E1A1BFB">
            <w:pPr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Applicant</w:t>
            </w:r>
          </w:p>
        </w:tc>
      </w:tr>
      <w:tr w14:paraId="618EB0A1">
        <w:tc>
          <w:tcPr>
            <w:tcW w:w="1696" w:type="dxa"/>
            <w:tcBorders>
              <w:top w:val="single" w:color="auto" w:sz="4" w:space="0"/>
            </w:tcBorders>
          </w:tcPr>
          <w:p w14:paraId="71A748F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12</w:t>
            </w:r>
          </w:p>
        </w:tc>
        <w:tc>
          <w:tcPr>
            <w:tcW w:w="6600" w:type="dxa"/>
            <w:tcBorders>
              <w:top w:val="single" w:color="auto" w:sz="4" w:space="0"/>
            </w:tcBorders>
          </w:tcPr>
          <w:p w14:paraId="39A74855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South China Agricultural University</w:t>
            </w:r>
          </w:p>
        </w:tc>
      </w:tr>
      <w:tr w14:paraId="308882F0">
        <w:tc>
          <w:tcPr>
            <w:tcW w:w="1696" w:type="dxa"/>
          </w:tcPr>
          <w:p w14:paraId="3A1B02D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</w:t>
            </w:r>
          </w:p>
        </w:tc>
        <w:tc>
          <w:tcPr>
            <w:tcW w:w="6600" w:type="dxa"/>
          </w:tcPr>
          <w:p w14:paraId="39485FE6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Guangdong Pharmaceutical University </w:t>
            </w:r>
          </w:p>
          <w:p w14:paraId="2893CF1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South China University of Technology </w:t>
            </w:r>
          </w:p>
          <w:p w14:paraId="497BE18C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Shenzhen Osa Pharmaceutical Co., Ltd.</w:t>
            </w:r>
          </w:p>
        </w:tc>
      </w:tr>
      <w:tr w14:paraId="6B7B3426">
        <w:tc>
          <w:tcPr>
            <w:tcW w:w="1696" w:type="dxa"/>
          </w:tcPr>
          <w:p w14:paraId="00140B2E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4</w:t>
            </w:r>
          </w:p>
        </w:tc>
        <w:tc>
          <w:tcPr>
            <w:tcW w:w="6600" w:type="dxa"/>
          </w:tcPr>
          <w:p w14:paraId="1BFD9CF5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 Institute of Respiratory Health</w:t>
            </w:r>
          </w:p>
        </w:tc>
      </w:tr>
      <w:tr w14:paraId="011ABEC0">
        <w:tc>
          <w:tcPr>
            <w:tcW w:w="1696" w:type="dxa"/>
            <w:tcBorders>
              <w:bottom w:val="single" w:color="auto" w:sz="8" w:space="0"/>
            </w:tcBorders>
          </w:tcPr>
          <w:p w14:paraId="708C98C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</w:p>
        </w:tc>
        <w:tc>
          <w:tcPr>
            <w:tcW w:w="6600" w:type="dxa"/>
            <w:tcBorders>
              <w:bottom w:val="single" w:color="auto" w:sz="8" w:space="0"/>
            </w:tcBorders>
          </w:tcPr>
          <w:p w14:paraId="5CCDF79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Lebi (Guangzhou) Health Industry Co., Ltd.</w:t>
            </w:r>
          </w:p>
          <w:p w14:paraId="64A11C79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Guangdong University of Technology</w:t>
            </w:r>
          </w:p>
          <w:p w14:paraId="13CE310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 Lianrui Pharmaceutical Co., Ltd.</w:t>
            </w:r>
          </w:p>
          <w:p w14:paraId="683B1ED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Guangdong Provincial Hospital of Traditional Chinese Medicine</w:t>
            </w:r>
          </w:p>
          <w:p w14:paraId="3F1C4899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 University of Chinese Medicine</w:t>
            </w:r>
          </w:p>
          <w:p w14:paraId="3B19EB8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Guangdong Institute of Poultry Science</w:t>
            </w:r>
          </w:p>
          <w:p w14:paraId="6C6D5AA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Guangdong Yifang Pharmaceutical Co., Ltd.</w:t>
            </w:r>
          </w:p>
          <w:p w14:paraId="3A3AC25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Wuyi University</w:t>
            </w:r>
          </w:p>
          <w:p w14:paraId="7B3EFE3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Perfect (Guangdong) Daily Necessities Co., Ltd.</w:t>
            </w:r>
          </w:p>
          <w:p w14:paraId="3AAC5A8E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 Caizhilin Pharmaceutical Co., Ltd.</w:t>
            </w:r>
          </w:p>
        </w:tc>
      </w:tr>
    </w:tbl>
    <w:p w14:paraId="7A1471F6">
      <w:pPr>
        <w:spacing w:line="360" w:lineRule="auto"/>
        <w:rPr>
          <w:sz w:val="24"/>
        </w:rPr>
      </w:pPr>
      <w:r>
        <w:rPr>
          <w:sz w:val="18"/>
          <w:szCs w:val="18"/>
        </w:rPr>
        <w:t>Note: Only data with degree centrality ≥ 3 are shown due to space limitations.</w:t>
      </w:r>
    </w:p>
    <w:p w14:paraId="70F055E2"/>
    <w:p w14:paraId="4C04653D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7" w:name="_Ref233127785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7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Network Density by Applicant City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1BBFE76F">
        <w:trPr>
          <w:cantSplit/>
        </w:trPr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3B694028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4FCF123A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Network Density</w:t>
            </w:r>
          </w:p>
        </w:tc>
        <w:tc>
          <w:tcPr>
            <w:tcW w:w="2766" w:type="dxa"/>
            <w:tcBorders>
              <w:top w:val="single" w:color="auto" w:sz="8" w:space="0"/>
              <w:bottom w:val="single" w:color="auto" w:sz="4" w:space="0"/>
            </w:tcBorders>
          </w:tcPr>
          <w:p w14:paraId="55FB10CA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Number of Edges</w:t>
            </w:r>
          </w:p>
        </w:tc>
      </w:tr>
      <w:tr w14:paraId="2B8F0CDC">
        <w:trPr>
          <w:cantSplit/>
        </w:trPr>
        <w:tc>
          <w:tcPr>
            <w:tcW w:w="2765" w:type="dxa"/>
            <w:tcBorders>
              <w:top w:val="single" w:color="auto" w:sz="4" w:space="0"/>
              <w:bottom w:val="single" w:color="auto" w:sz="8" w:space="0"/>
            </w:tcBorders>
          </w:tcPr>
          <w:p w14:paraId="2C1E3CD5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Applicant cities</w:t>
            </w:r>
          </w:p>
        </w:tc>
        <w:tc>
          <w:tcPr>
            <w:tcW w:w="2765" w:type="dxa"/>
            <w:tcBorders>
              <w:top w:val="single" w:color="auto" w:sz="4" w:space="0"/>
              <w:bottom w:val="single" w:color="auto" w:sz="8" w:space="0"/>
            </w:tcBorders>
          </w:tcPr>
          <w:p w14:paraId="1F107100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0.0980</w:t>
            </w:r>
          </w:p>
        </w:tc>
        <w:tc>
          <w:tcPr>
            <w:tcW w:w="2766" w:type="dxa"/>
            <w:tcBorders>
              <w:top w:val="single" w:color="auto" w:sz="4" w:space="0"/>
              <w:bottom w:val="single" w:color="auto" w:sz="8" w:space="0"/>
            </w:tcBorders>
          </w:tcPr>
          <w:p w14:paraId="54CBDAA0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30</w:t>
            </w:r>
          </w:p>
        </w:tc>
      </w:tr>
    </w:tbl>
    <w:p w14:paraId="29ED1A82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8" w:name="_Ref224129426"/>
    </w:p>
    <w:bookmarkEnd w:id="8"/>
    <w:p w14:paraId="4022D220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9" w:name="_Ref233127791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9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Centrality by Applicant City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13AAC857">
        <w:trPr>
          <w:cantSplit/>
        </w:trPr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1AA32415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Applicant City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7FABF44B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 Centrality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02C7EA12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Closeness Centrality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4A6B5BBA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Betweenness Centrality</w:t>
            </w:r>
          </w:p>
        </w:tc>
      </w:tr>
      <w:tr w14:paraId="087E9DAA">
        <w:trPr>
          <w:cantSplit/>
        </w:trPr>
        <w:tc>
          <w:tcPr>
            <w:tcW w:w="2074" w:type="dxa"/>
            <w:tcBorders>
              <w:top w:val="single" w:color="auto" w:sz="4" w:space="0"/>
            </w:tcBorders>
          </w:tcPr>
          <w:p w14:paraId="19D46CF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05647ABA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94.118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7AC4D9E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94.444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6CE7824C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89.583</w:t>
            </w:r>
          </w:p>
        </w:tc>
      </w:tr>
      <w:tr w14:paraId="3FAFFFFF">
        <w:trPr>
          <w:cantSplit/>
        </w:trPr>
        <w:tc>
          <w:tcPr>
            <w:tcW w:w="2074" w:type="dxa"/>
          </w:tcPr>
          <w:p w14:paraId="7C73469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Jiangmen</w:t>
            </w:r>
          </w:p>
        </w:tc>
        <w:tc>
          <w:tcPr>
            <w:tcW w:w="2074" w:type="dxa"/>
          </w:tcPr>
          <w:p w14:paraId="6D671146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260E9A26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193C770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3C684FC4">
        <w:trPr>
          <w:cantSplit/>
        </w:trPr>
        <w:tc>
          <w:tcPr>
            <w:tcW w:w="2074" w:type="dxa"/>
          </w:tcPr>
          <w:p w14:paraId="5DFC9E0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Shenzhen</w:t>
            </w:r>
          </w:p>
        </w:tc>
        <w:tc>
          <w:tcPr>
            <w:tcW w:w="2074" w:type="dxa"/>
          </w:tcPr>
          <w:p w14:paraId="3F4805F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23.529</w:t>
            </w:r>
          </w:p>
        </w:tc>
        <w:tc>
          <w:tcPr>
            <w:tcW w:w="2074" w:type="dxa"/>
          </w:tcPr>
          <w:p w14:paraId="491A3CE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54.839</w:t>
            </w:r>
          </w:p>
        </w:tc>
        <w:tc>
          <w:tcPr>
            <w:tcW w:w="2074" w:type="dxa"/>
          </w:tcPr>
          <w:p w14:paraId="0EA072F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1.103</w:t>
            </w:r>
          </w:p>
        </w:tc>
      </w:tr>
      <w:tr w14:paraId="0941F75B">
        <w:trPr>
          <w:cantSplit/>
        </w:trPr>
        <w:tc>
          <w:tcPr>
            <w:tcW w:w="2074" w:type="dxa"/>
          </w:tcPr>
          <w:p w14:paraId="08C8F5B6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Dongguan</w:t>
            </w:r>
          </w:p>
        </w:tc>
        <w:tc>
          <w:tcPr>
            <w:tcW w:w="2074" w:type="dxa"/>
          </w:tcPr>
          <w:p w14:paraId="208702F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768A5C6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3507D9F9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3E416A48">
        <w:trPr>
          <w:cantSplit/>
        </w:trPr>
        <w:tc>
          <w:tcPr>
            <w:tcW w:w="2074" w:type="dxa"/>
          </w:tcPr>
          <w:p w14:paraId="42BB25F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Zhongshan</w:t>
            </w:r>
          </w:p>
        </w:tc>
        <w:tc>
          <w:tcPr>
            <w:tcW w:w="2074" w:type="dxa"/>
          </w:tcPr>
          <w:p w14:paraId="20AD432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17.647</w:t>
            </w:r>
          </w:p>
        </w:tc>
        <w:tc>
          <w:tcPr>
            <w:tcW w:w="2074" w:type="dxa"/>
          </w:tcPr>
          <w:p w14:paraId="31F5629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54.839</w:t>
            </w:r>
          </w:p>
        </w:tc>
        <w:tc>
          <w:tcPr>
            <w:tcW w:w="2074" w:type="dxa"/>
          </w:tcPr>
          <w:p w14:paraId="2DD422A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5.270</w:t>
            </w:r>
          </w:p>
        </w:tc>
      </w:tr>
      <w:tr w14:paraId="58741E23">
        <w:trPr>
          <w:cantSplit/>
        </w:trPr>
        <w:tc>
          <w:tcPr>
            <w:tcW w:w="2074" w:type="dxa"/>
          </w:tcPr>
          <w:p w14:paraId="6E97264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Foshan</w:t>
            </w:r>
          </w:p>
        </w:tc>
        <w:tc>
          <w:tcPr>
            <w:tcW w:w="2074" w:type="dxa"/>
          </w:tcPr>
          <w:p w14:paraId="37A4F8C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23.529</w:t>
            </w:r>
          </w:p>
        </w:tc>
        <w:tc>
          <w:tcPr>
            <w:tcW w:w="2074" w:type="dxa"/>
          </w:tcPr>
          <w:p w14:paraId="4EE94CC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56.667</w:t>
            </w:r>
          </w:p>
        </w:tc>
        <w:tc>
          <w:tcPr>
            <w:tcW w:w="2074" w:type="dxa"/>
          </w:tcPr>
          <w:p w14:paraId="6734322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1.593</w:t>
            </w:r>
          </w:p>
        </w:tc>
      </w:tr>
      <w:tr w14:paraId="68853FD3">
        <w:trPr>
          <w:cantSplit/>
        </w:trPr>
        <w:tc>
          <w:tcPr>
            <w:tcW w:w="2074" w:type="dxa"/>
          </w:tcPr>
          <w:p w14:paraId="79B5121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Huizhou</w:t>
            </w:r>
          </w:p>
        </w:tc>
        <w:tc>
          <w:tcPr>
            <w:tcW w:w="2074" w:type="dxa"/>
          </w:tcPr>
          <w:p w14:paraId="32849D8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249B35E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716FC92A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6C04EC89">
        <w:trPr>
          <w:cantSplit/>
        </w:trPr>
        <w:tc>
          <w:tcPr>
            <w:tcW w:w="2074" w:type="dxa"/>
          </w:tcPr>
          <w:p w14:paraId="5AEE6D5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Zhuhai</w:t>
            </w:r>
          </w:p>
        </w:tc>
        <w:tc>
          <w:tcPr>
            <w:tcW w:w="2074" w:type="dxa"/>
          </w:tcPr>
          <w:p w14:paraId="07E4E3A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72FEDAC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361C055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2380D04F">
        <w:trPr>
          <w:cantSplit/>
        </w:trPr>
        <w:tc>
          <w:tcPr>
            <w:tcW w:w="2074" w:type="dxa"/>
          </w:tcPr>
          <w:p w14:paraId="13F3242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Hong Kong</w:t>
            </w:r>
          </w:p>
        </w:tc>
        <w:tc>
          <w:tcPr>
            <w:tcW w:w="2074" w:type="dxa"/>
          </w:tcPr>
          <w:p w14:paraId="71BDD03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17.647</w:t>
            </w:r>
          </w:p>
        </w:tc>
        <w:tc>
          <w:tcPr>
            <w:tcW w:w="2074" w:type="dxa"/>
          </w:tcPr>
          <w:p w14:paraId="19EAB49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54.839</w:t>
            </w:r>
          </w:p>
        </w:tc>
        <w:tc>
          <w:tcPr>
            <w:tcW w:w="2074" w:type="dxa"/>
          </w:tcPr>
          <w:p w14:paraId="5C1EC53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5.760</w:t>
            </w:r>
          </w:p>
        </w:tc>
      </w:tr>
      <w:tr w14:paraId="52B2331D">
        <w:trPr>
          <w:cantSplit/>
        </w:trPr>
        <w:tc>
          <w:tcPr>
            <w:tcW w:w="2074" w:type="dxa"/>
          </w:tcPr>
          <w:p w14:paraId="1FC42DC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Zhaoqing</w:t>
            </w:r>
          </w:p>
        </w:tc>
        <w:tc>
          <w:tcPr>
            <w:tcW w:w="2074" w:type="dxa"/>
          </w:tcPr>
          <w:p w14:paraId="441E202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11.765</w:t>
            </w:r>
          </w:p>
        </w:tc>
        <w:tc>
          <w:tcPr>
            <w:tcW w:w="2074" w:type="dxa"/>
          </w:tcPr>
          <w:p w14:paraId="52C3B28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51.515</w:t>
            </w:r>
          </w:p>
        </w:tc>
        <w:tc>
          <w:tcPr>
            <w:tcW w:w="2074" w:type="dxa"/>
          </w:tcPr>
          <w:p w14:paraId="38A5FB9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1A0C1935">
        <w:trPr>
          <w:cantSplit/>
        </w:trPr>
        <w:tc>
          <w:tcPr>
            <w:tcW w:w="2074" w:type="dxa"/>
          </w:tcPr>
          <w:p w14:paraId="195FB62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Macao</w:t>
            </w:r>
          </w:p>
        </w:tc>
        <w:tc>
          <w:tcPr>
            <w:tcW w:w="2074" w:type="dxa"/>
          </w:tcPr>
          <w:p w14:paraId="07DBCF1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11.765</w:t>
            </w:r>
          </w:p>
        </w:tc>
        <w:tc>
          <w:tcPr>
            <w:tcW w:w="2074" w:type="dxa"/>
          </w:tcPr>
          <w:p w14:paraId="16A52FF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38.636</w:t>
            </w:r>
          </w:p>
        </w:tc>
        <w:tc>
          <w:tcPr>
            <w:tcW w:w="2074" w:type="dxa"/>
          </w:tcPr>
          <w:p w14:paraId="5A2D61C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0.368</w:t>
            </w:r>
          </w:p>
        </w:tc>
      </w:tr>
      <w:tr w14:paraId="4121801C">
        <w:trPr>
          <w:cantSplit/>
        </w:trPr>
        <w:tc>
          <w:tcPr>
            <w:tcW w:w="2074" w:type="dxa"/>
          </w:tcPr>
          <w:p w14:paraId="5D2FD5E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Non-Guangdong</w:t>
            </w:r>
          </w:p>
        </w:tc>
        <w:tc>
          <w:tcPr>
            <w:tcW w:w="2074" w:type="dxa"/>
          </w:tcPr>
          <w:p w14:paraId="0F2DDBF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11.765</w:t>
            </w:r>
          </w:p>
        </w:tc>
        <w:tc>
          <w:tcPr>
            <w:tcW w:w="2074" w:type="dxa"/>
          </w:tcPr>
          <w:p w14:paraId="6D5CF696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53.125</w:t>
            </w:r>
          </w:p>
        </w:tc>
        <w:tc>
          <w:tcPr>
            <w:tcW w:w="2074" w:type="dxa"/>
          </w:tcPr>
          <w:p w14:paraId="226CC07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19D05FBE">
        <w:trPr>
          <w:cantSplit/>
        </w:trPr>
        <w:tc>
          <w:tcPr>
            <w:tcW w:w="2074" w:type="dxa"/>
          </w:tcPr>
          <w:p w14:paraId="3D3C7FF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Yunfu</w:t>
            </w:r>
          </w:p>
        </w:tc>
        <w:tc>
          <w:tcPr>
            <w:tcW w:w="2074" w:type="dxa"/>
          </w:tcPr>
          <w:p w14:paraId="55055595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11.765</w:t>
            </w:r>
          </w:p>
        </w:tc>
        <w:tc>
          <w:tcPr>
            <w:tcW w:w="2074" w:type="dxa"/>
          </w:tcPr>
          <w:p w14:paraId="48B119D5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51.515</w:t>
            </w:r>
          </w:p>
        </w:tc>
        <w:tc>
          <w:tcPr>
            <w:tcW w:w="2074" w:type="dxa"/>
          </w:tcPr>
          <w:p w14:paraId="4D38DF0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2BF5E19A">
        <w:trPr>
          <w:cantSplit/>
        </w:trPr>
        <w:tc>
          <w:tcPr>
            <w:tcW w:w="2074" w:type="dxa"/>
          </w:tcPr>
          <w:p w14:paraId="69F5B3D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Yangjiang</w:t>
            </w:r>
          </w:p>
        </w:tc>
        <w:tc>
          <w:tcPr>
            <w:tcW w:w="2074" w:type="dxa"/>
          </w:tcPr>
          <w:p w14:paraId="12014BA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11.765</w:t>
            </w:r>
          </w:p>
        </w:tc>
        <w:tc>
          <w:tcPr>
            <w:tcW w:w="2074" w:type="dxa"/>
          </w:tcPr>
          <w:p w14:paraId="56C0D608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51.515</w:t>
            </w:r>
          </w:p>
        </w:tc>
        <w:tc>
          <w:tcPr>
            <w:tcW w:w="2074" w:type="dxa"/>
          </w:tcPr>
          <w:p w14:paraId="3EDFD4DC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159559C1">
        <w:trPr>
          <w:cantSplit/>
        </w:trPr>
        <w:tc>
          <w:tcPr>
            <w:tcW w:w="2074" w:type="dxa"/>
          </w:tcPr>
          <w:p w14:paraId="12DC9715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Meizhou</w:t>
            </w:r>
          </w:p>
        </w:tc>
        <w:tc>
          <w:tcPr>
            <w:tcW w:w="2074" w:type="dxa"/>
          </w:tcPr>
          <w:p w14:paraId="339CB4B5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1DCD407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662E343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40D8FFCA">
        <w:trPr>
          <w:cantSplit/>
        </w:trPr>
        <w:tc>
          <w:tcPr>
            <w:tcW w:w="2074" w:type="dxa"/>
          </w:tcPr>
          <w:p w14:paraId="1DA0F0B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Heyuan</w:t>
            </w:r>
          </w:p>
        </w:tc>
        <w:tc>
          <w:tcPr>
            <w:tcW w:w="2074" w:type="dxa"/>
          </w:tcPr>
          <w:p w14:paraId="423E9D41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7723901D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2A5CB00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0106E1B0">
        <w:trPr>
          <w:cantSplit/>
        </w:trPr>
        <w:tc>
          <w:tcPr>
            <w:tcW w:w="2074" w:type="dxa"/>
          </w:tcPr>
          <w:p w14:paraId="5FD9B1A9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Chaozhou</w:t>
            </w:r>
          </w:p>
        </w:tc>
        <w:tc>
          <w:tcPr>
            <w:tcW w:w="2074" w:type="dxa"/>
          </w:tcPr>
          <w:p w14:paraId="3D8192F6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</w:tcPr>
          <w:p w14:paraId="2EEFB6CB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</w:tcPr>
          <w:p w14:paraId="3D4451E7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  <w:tr w14:paraId="225083A4">
        <w:trPr>
          <w:cantSplit/>
        </w:trPr>
        <w:tc>
          <w:tcPr>
            <w:tcW w:w="2074" w:type="dxa"/>
            <w:tcBorders>
              <w:bottom w:val="single" w:color="auto" w:sz="8" w:space="0"/>
            </w:tcBorders>
          </w:tcPr>
          <w:p w14:paraId="000CDD74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Qingyuan</w:t>
            </w:r>
          </w:p>
        </w:tc>
        <w:tc>
          <w:tcPr>
            <w:tcW w:w="2074" w:type="dxa"/>
            <w:tcBorders>
              <w:bottom w:val="single" w:color="auto" w:sz="8" w:space="0"/>
            </w:tcBorders>
          </w:tcPr>
          <w:p w14:paraId="08986DAF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5.882</w:t>
            </w:r>
          </w:p>
        </w:tc>
        <w:tc>
          <w:tcPr>
            <w:tcW w:w="2074" w:type="dxa"/>
            <w:tcBorders>
              <w:bottom w:val="single" w:color="auto" w:sz="8" w:space="0"/>
            </w:tcBorders>
          </w:tcPr>
          <w:p w14:paraId="5AB47693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50.000</w:t>
            </w:r>
          </w:p>
        </w:tc>
        <w:tc>
          <w:tcPr>
            <w:tcW w:w="2074" w:type="dxa"/>
            <w:tcBorders>
              <w:bottom w:val="single" w:color="auto" w:sz="8" w:space="0"/>
            </w:tcBorders>
          </w:tcPr>
          <w:p w14:paraId="5835C842"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</w:t>
            </w:r>
          </w:p>
        </w:tc>
      </w:tr>
    </w:tbl>
    <w:p w14:paraId="31D4791C"/>
    <w:p w14:paraId="3C8270E9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0" w:name="_Ref233127923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0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Core-Periphery Results of the Overall Network (2016–2024)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4726"/>
        <w:gridCol w:w="1680"/>
      </w:tblGrid>
      <w:tr w14:paraId="7C4B8BD0">
        <w:trPr>
          <w:trHeight w:val="255" w:hRule="atLeast"/>
        </w:trPr>
        <w:tc>
          <w:tcPr>
            <w:tcW w:w="1891" w:type="dxa"/>
            <w:tcBorders>
              <w:top w:val="single" w:color="auto" w:sz="8" w:space="0"/>
              <w:bottom w:val="single" w:color="auto" w:sz="4" w:space="0"/>
            </w:tcBorders>
          </w:tcPr>
          <w:p w14:paraId="665C85C6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Core Cities</w:t>
            </w:r>
          </w:p>
        </w:tc>
        <w:tc>
          <w:tcPr>
            <w:tcW w:w="4726" w:type="dxa"/>
            <w:tcBorders>
              <w:top w:val="single" w:color="auto" w:sz="8" w:space="0"/>
              <w:bottom w:val="single" w:color="auto" w:sz="4" w:space="0"/>
            </w:tcBorders>
          </w:tcPr>
          <w:p w14:paraId="0684F98A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Peripheral Cities</w:t>
            </w:r>
          </w:p>
        </w:tc>
        <w:tc>
          <w:tcPr>
            <w:tcW w:w="1680" w:type="dxa"/>
            <w:tcBorders>
              <w:top w:val="single" w:color="auto" w:sz="8" w:space="0"/>
              <w:bottom w:val="single" w:color="auto" w:sz="4" w:space="0"/>
            </w:tcBorders>
          </w:tcPr>
          <w:p w14:paraId="3665D93B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Goodness of Fit</w:t>
            </w:r>
          </w:p>
        </w:tc>
      </w:tr>
      <w:tr w14:paraId="63443905">
        <w:trPr>
          <w:trHeight w:val="1012" w:hRule="atLeast"/>
        </w:trPr>
        <w:tc>
          <w:tcPr>
            <w:tcW w:w="1891" w:type="dxa"/>
            <w:tcBorders>
              <w:top w:val="single" w:color="auto" w:sz="4" w:space="0"/>
              <w:bottom w:val="single" w:color="auto" w:sz="8" w:space="0"/>
            </w:tcBorders>
          </w:tcPr>
          <w:p w14:paraId="793FB38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Guangzhou, Jiangmen</w:t>
            </w:r>
          </w:p>
        </w:tc>
        <w:tc>
          <w:tcPr>
            <w:tcW w:w="4726" w:type="dxa"/>
            <w:tcBorders>
              <w:top w:val="single" w:color="auto" w:sz="4" w:space="0"/>
              <w:bottom w:val="single" w:color="auto" w:sz="8" w:space="0"/>
            </w:tcBorders>
          </w:tcPr>
          <w:p w14:paraId="1BD743B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Shenzhen, Foshan, Dongguan, Zhongshan, Zhuhai, Huizhou, Zhaoqing, Hong Kong, Macao, Yunfu, Yangjiang, Meizhou, Heyuan, Chaozhou, Qingyuan, Non-Guangdong</w:t>
            </w:r>
          </w:p>
        </w:tc>
        <w:tc>
          <w:tcPr>
            <w:tcW w:w="1680" w:type="dxa"/>
            <w:tcBorders>
              <w:top w:val="single" w:color="auto" w:sz="4" w:space="0"/>
              <w:bottom w:val="single" w:color="auto" w:sz="8" w:space="0"/>
            </w:tcBorders>
          </w:tcPr>
          <w:p w14:paraId="2C4EBA0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0.827</w:t>
            </w:r>
          </w:p>
        </w:tc>
      </w:tr>
    </w:tbl>
    <w:p w14:paraId="4B4C6CC7">
      <w:pPr>
        <w:spacing w:line="360" w:lineRule="auto"/>
        <w:jc w:val="center"/>
        <w:rPr>
          <w:rFonts w:eastAsia="黑体"/>
          <w:szCs w:val="21"/>
        </w:rPr>
      </w:pPr>
    </w:p>
    <w:p w14:paraId="48D76D51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1" w:name="_Ref233127932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9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1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Core-Periphery Density Matrix (2016-2024)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6B8EF6AA"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6CBA9ED3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4E6BF665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Core</w:t>
            </w:r>
          </w:p>
        </w:tc>
        <w:tc>
          <w:tcPr>
            <w:tcW w:w="2766" w:type="dxa"/>
            <w:tcBorders>
              <w:top w:val="single" w:color="auto" w:sz="8" w:space="0"/>
              <w:bottom w:val="single" w:color="auto" w:sz="4" w:space="0"/>
            </w:tcBorders>
          </w:tcPr>
          <w:p w14:paraId="1ED85058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Periphery</w:t>
            </w:r>
          </w:p>
        </w:tc>
      </w:tr>
      <w:tr w14:paraId="56868386"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6699C88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Core</w:t>
            </w:r>
          </w:p>
        </w:tc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34AEA4C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5.000</w:t>
            </w:r>
          </w:p>
        </w:tc>
        <w:tc>
          <w:tcPr>
            <w:tcW w:w="2766" w:type="dxa"/>
            <w:tcBorders>
              <w:top w:val="single" w:color="auto" w:sz="4" w:space="0"/>
              <w:bottom w:val="nil"/>
            </w:tcBorders>
          </w:tcPr>
          <w:p w14:paraId="2AF3656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1.344</w:t>
            </w:r>
          </w:p>
        </w:tc>
      </w:tr>
      <w:tr w14:paraId="33AB740C">
        <w:tc>
          <w:tcPr>
            <w:tcW w:w="2765" w:type="dxa"/>
            <w:tcBorders>
              <w:top w:val="nil"/>
              <w:bottom w:val="single" w:color="auto" w:sz="8" w:space="0"/>
            </w:tcBorders>
          </w:tcPr>
          <w:p w14:paraId="01709AB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Periphery</w:t>
            </w:r>
          </w:p>
        </w:tc>
        <w:tc>
          <w:tcPr>
            <w:tcW w:w="2765" w:type="dxa"/>
            <w:tcBorders>
              <w:top w:val="nil"/>
              <w:bottom w:val="single" w:color="auto" w:sz="8" w:space="0"/>
            </w:tcBorders>
          </w:tcPr>
          <w:p w14:paraId="57EC8C6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0.313</w:t>
            </w:r>
          </w:p>
        </w:tc>
        <w:tc>
          <w:tcPr>
            <w:tcW w:w="2766" w:type="dxa"/>
            <w:tcBorders>
              <w:top w:val="nil"/>
              <w:bottom w:val="single" w:color="auto" w:sz="8" w:space="0"/>
            </w:tcBorders>
          </w:tcPr>
          <w:p w14:paraId="28D2A25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0.046</w:t>
            </w:r>
          </w:p>
        </w:tc>
      </w:tr>
    </w:tbl>
    <w:p w14:paraId="15522B2B"/>
    <w:p w14:paraId="0B738AE2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2" w:name="_Ref233127945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2"/>
      <w:r>
        <w:rPr>
          <w:rFonts w:ascii="Times New Roman" w:hAnsi="Times New Roman" w:cs="Times New Roman"/>
          <w:sz w:val="21"/>
          <w:szCs w:val="21"/>
        </w:rPr>
        <w:t xml:space="preserve"> Core Nodes in the Overall City Network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6D358CD4">
        <w:tc>
          <w:tcPr>
            <w:tcW w:w="4148" w:type="dxa"/>
            <w:tcBorders>
              <w:top w:val="single" w:color="auto" w:sz="8" w:space="0"/>
              <w:bottom w:val="single" w:color="auto" w:sz="4" w:space="0"/>
            </w:tcBorders>
          </w:tcPr>
          <w:p w14:paraId="3F22F312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 Centrality Value</w:t>
            </w:r>
          </w:p>
        </w:tc>
        <w:tc>
          <w:tcPr>
            <w:tcW w:w="4148" w:type="dxa"/>
            <w:tcBorders>
              <w:top w:val="single" w:color="auto" w:sz="8" w:space="0"/>
              <w:bottom w:val="single" w:color="auto" w:sz="4" w:space="0"/>
            </w:tcBorders>
          </w:tcPr>
          <w:p w14:paraId="3AD3DF98">
            <w:pPr>
              <w:keepNext/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Applicant City</w:t>
            </w:r>
          </w:p>
        </w:tc>
      </w:tr>
      <w:tr w14:paraId="4E590909">
        <w:tc>
          <w:tcPr>
            <w:tcW w:w="4148" w:type="dxa"/>
            <w:tcBorders>
              <w:top w:val="single" w:color="auto" w:sz="4" w:space="0"/>
            </w:tcBorders>
          </w:tcPr>
          <w:p w14:paraId="3A688D36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16</w:t>
            </w:r>
          </w:p>
        </w:tc>
        <w:tc>
          <w:tcPr>
            <w:tcW w:w="4148" w:type="dxa"/>
            <w:tcBorders>
              <w:top w:val="single" w:color="auto" w:sz="4" w:space="0"/>
            </w:tcBorders>
          </w:tcPr>
          <w:p w14:paraId="57FE358B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Guangzhou</w:t>
            </w:r>
          </w:p>
        </w:tc>
      </w:tr>
      <w:tr w14:paraId="667BDD79">
        <w:tc>
          <w:tcPr>
            <w:tcW w:w="4148" w:type="dxa"/>
          </w:tcPr>
          <w:p w14:paraId="48BC7B8E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4</w:t>
            </w:r>
          </w:p>
        </w:tc>
        <w:tc>
          <w:tcPr>
            <w:tcW w:w="4148" w:type="dxa"/>
          </w:tcPr>
          <w:p w14:paraId="01DCD5E6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Shenzhen</w:t>
            </w:r>
          </w:p>
          <w:p w14:paraId="10068DD5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Foshan</w:t>
            </w:r>
          </w:p>
        </w:tc>
      </w:tr>
      <w:tr w14:paraId="75CBEC69">
        <w:tc>
          <w:tcPr>
            <w:tcW w:w="4148" w:type="dxa"/>
            <w:tcBorders>
              <w:bottom w:val="nil"/>
            </w:tcBorders>
          </w:tcPr>
          <w:p w14:paraId="38EC6B89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</w:t>
            </w:r>
          </w:p>
        </w:tc>
        <w:tc>
          <w:tcPr>
            <w:tcW w:w="4148" w:type="dxa"/>
            <w:tcBorders>
              <w:bottom w:val="nil"/>
            </w:tcBorders>
          </w:tcPr>
          <w:p w14:paraId="60E634EB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Zhongshan</w:t>
            </w:r>
          </w:p>
          <w:p w14:paraId="7A890684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Hong Kong</w:t>
            </w:r>
          </w:p>
        </w:tc>
      </w:tr>
      <w:tr w14:paraId="046D53CA">
        <w:tc>
          <w:tcPr>
            <w:tcW w:w="4148" w:type="dxa"/>
            <w:tcBorders>
              <w:top w:val="nil"/>
              <w:bottom w:val="single" w:color="auto" w:sz="8" w:space="0"/>
            </w:tcBorders>
          </w:tcPr>
          <w:p w14:paraId="2B397F18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</w:t>
            </w:r>
          </w:p>
        </w:tc>
        <w:tc>
          <w:tcPr>
            <w:tcW w:w="4148" w:type="dxa"/>
            <w:tcBorders>
              <w:top w:val="nil"/>
              <w:bottom w:val="single" w:color="auto" w:sz="8" w:space="0"/>
            </w:tcBorders>
          </w:tcPr>
          <w:p w14:paraId="57CD7470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Yunfu</w:t>
            </w:r>
          </w:p>
          <w:p w14:paraId="7FF8D9C8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Macao</w:t>
            </w:r>
          </w:p>
          <w:p w14:paraId="08C7B97B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Zhaoqing</w:t>
            </w:r>
          </w:p>
          <w:p w14:paraId="712365D8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Yangjiang</w:t>
            </w:r>
          </w:p>
          <w:p w14:paraId="7606F837">
            <w:pPr>
              <w:keepNext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Non-Guangdong</w:t>
            </w:r>
          </w:p>
        </w:tc>
      </w:tr>
    </w:tbl>
    <w:p w14:paraId="71341EF5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Note: Only data with degree centrality ≥ 2 are shown due to space limitations.</w:t>
      </w:r>
    </w:p>
    <w:p w14:paraId="47D3A194"/>
    <w:p w14:paraId="51C64B36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3" w:name="_Ref233127987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11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3"/>
      <w:r>
        <w:rPr>
          <w:rFonts w:ascii="Times New Roman" w:hAnsi="Times New Roman" w:cs="Times New Roman"/>
          <w:sz w:val="21"/>
          <w:szCs w:val="21"/>
        </w:rPr>
        <w:t xml:space="preserve"> Degree Centrality by Applicant Type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716"/>
        <w:gridCol w:w="2790"/>
      </w:tblGrid>
      <w:tr w14:paraId="69C98029">
        <w:tc>
          <w:tcPr>
            <w:tcW w:w="2790" w:type="dxa"/>
            <w:tcBorders>
              <w:top w:val="single" w:color="auto" w:sz="8" w:space="0"/>
              <w:bottom w:val="single" w:color="auto" w:sz="4" w:space="0"/>
            </w:tcBorders>
          </w:tcPr>
          <w:p w14:paraId="415B2BE5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Applicant Type</w:t>
            </w:r>
          </w:p>
        </w:tc>
        <w:tc>
          <w:tcPr>
            <w:tcW w:w="2716" w:type="dxa"/>
            <w:tcBorders>
              <w:top w:val="single" w:color="auto" w:sz="8" w:space="0"/>
              <w:bottom w:val="single" w:color="auto" w:sz="4" w:space="0"/>
            </w:tcBorders>
          </w:tcPr>
          <w:p w14:paraId="61AFD86A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</w:t>
            </w:r>
          </w:p>
        </w:tc>
        <w:tc>
          <w:tcPr>
            <w:tcW w:w="2790" w:type="dxa"/>
            <w:tcBorders>
              <w:top w:val="single" w:color="auto" w:sz="8" w:space="0"/>
              <w:bottom w:val="single" w:color="auto" w:sz="4" w:space="0"/>
            </w:tcBorders>
          </w:tcPr>
          <w:p w14:paraId="320E4DC0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Ratio</w:t>
            </w:r>
          </w:p>
        </w:tc>
      </w:tr>
      <w:tr w14:paraId="2FDF408E">
        <w:tc>
          <w:tcPr>
            <w:tcW w:w="2790" w:type="dxa"/>
            <w:tcBorders>
              <w:top w:val="single" w:color="auto" w:sz="4" w:space="0"/>
            </w:tcBorders>
          </w:tcPr>
          <w:p w14:paraId="724694A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Enterprise</w:t>
            </w:r>
          </w:p>
        </w:tc>
        <w:tc>
          <w:tcPr>
            <w:tcW w:w="2716" w:type="dxa"/>
            <w:tcBorders>
              <w:top w:val="single" w:color="auto" w:sz="4" w:space="0"/>
            </w:tcBorders>
          </w:tcPr>
          <w:p w14:paraId="18C2FE1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32.00</w:t>
            </w:r>
          </w:p>
        </w:tc>
        <w:tc>
          <w:tcPr>
            <w:tcW w:w="2790" w:type="dxa"/>
            <w:tcBorders>
              <w:top w:val="single" w:color="auto" w:sz="4" w:space="0"/>
            </w:tcBorders>
          </w:tcPr>
          <w:p w14:paraId="0B9A0C8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0.34</w:t>
            </w:r>
          </w:p>
        </w:tc>
      </w:tr>
      <w:tr w14:paraId="262BC435">
        <w:tc>
          <w:tcPr>
            <w:tcW w:w="2790" w:type="dxa"/>
          </w:tcPr>
          <w:p w14:paraId="22BC533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University</w:t>
            </w:r>
          </w:p>
        </w:tc>
        <w:tc>
          <w:tcPr>
            <w:tcW w:w="2716" w:type="dxa"/>
          </w:tcPr>
          <w:p w14:paraId="2DD03CD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27.00</w:t>
            </w:r>
          </w:p>
        </w:tc>
        <w:tc>
          <w:tcPr>
            <w:tcW w:w="2790" w:type="dxa"/>
          </w:tcPr>
          <w:p w14:paraId="28BAED3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0.29</w:t>
            </w:r>
          </w:p>
        </w:tc>
      </w:tr>
      <w:tr w14:paraId="4B5276F5">
        <w:tc>
          <w:tcPr>
            <w:tcW w:w="2790" w:type="dxa"/>
            <w:tcBorders>
              <w:bottom w:val="nil"/>
            </w:tcBorders>
          </w:tcPr>
          <w:p w14:paraId="7812DB9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Research institution</w:t>
            </w:r>
          </w:p>
        </w:tc>
        <w:tc>
          <w:tcPr>
            <w:tcW w:w="2716" w:type="dxa"/>
            <w:tcBorders>
              <w:bottom w:val="nil"/>
            </w:tcBorders>
          </w:tcPr>
          <w:p w14:paraId="067E8AB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23.00</w:t>
            </w:r>
          </w:p>
        </w:tc>
        <w:tc>
          <w:tcPr>
            <w:tcW w:w="2790" w:type="dxa"/>
            <w:tcBorders>
              <w:bottom w:val="nil"/>
            </w:tcBorders>
          </w:tcPr>
          <w:p w14:paraId="3F9B7E8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0.24</w:t>
            </w:r>
          </w:p>
        </w:tc>
      </w:tr>
      <w:tr w14:paraId="793154D2">
        <w:tc>
          <w:tcPr>
            <w:tcW w:w="2790" w:type="dxa"/>
            <w:tcBorders>
              <w:bottom w:val="single" w:color="auto" w:sz="8" w:space="0"/>
            </w:tcBorders>
          </w:tcPr>
          <w:p w14:paraId="35AA746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Government agency</w:t>
            </w:r>
          </w:p>
        </w:tc>
        <w:tc>
          <w:tcPr>
            <w:tcW w:w="2716" w:type="dxa"/>
            <w:tcBorders>
              <w:bottom w:val="single" w:color="auto" w:sz="8" w:space="0"/>
            </w:tcBorders>
          </w:tcPr>
          <w:p w14:paraId="673FDC9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12.00</w:t>
            </w:r>
          </w:p>
        </w:tc>
        <w:tc>
          <w:tcPr>
            <w:tcW w:w="2790" w:type="dxa"/>
            <w:tcBorders>
              <w:bottom w:val="single" w:color="auto" w:sz="8" w:space="0"/>
            </w:tcBorders>
          </w:tcPr>
          <w:p w14:paraId="17FDA86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0.13</w:t>
            </w:r>
          </w:p>
        </w:tc>
      </w:tr>
    </w:tbl>
    <w:p w14:paraId="748FF65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Note: Network Centralization = 31.48%.</w:t>
      </w:r>
    </w:p>
    <w:p w14:paraId="6A9ACF3D"/>
    <w:p w14:paraId="1367B926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4" w:name="_Ref233128031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12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4"/>
      <w:r>
        <w:rPr>
          <w:rFonts w:ascii="Times New Roman" w:hAnsi="Times New Roman" w:cs="Times New Roman"/>
          <w:sz w:val="21"/>
          <w:szCs w:val="21"/>
        </w:rPr>
        <w:t xml:space="preserve"> Network Density of Applicants by Phase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3BB41823"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03AAA88F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Phase</w:t>
            </w: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45111BF0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Network Density</w:t>
            </w:r>
          </w:p>
        </w:tc>
        <w:tc>
          <w:tcPr>
            <w:tcW w:w="2766" w:type="dxa"/>
            <w:tcBorders>
              <w:top w:val="single" w:color="auto" w:sz="8" w:space="0"/>
              <w:bottom w:val="single" w:color="auto" w:sz="4" w:space="0"/>
            </w:tcBorders>
          </w:tcPr>
          <w:p w14:paraId="3C69A38C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Number of Edges</w:t>
            </w:r>
          </w:p>
        </w:tc>
      </w:tr>
      <w:tr w14:paraId="33328817"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070ECE3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2016—2020</w:t>
            </w:r>
          </w:p>
        </w:tc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5E0A8D4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0.0002</w:t>
            </w:r>
          </w:p>
        </w:tc>
        <w:tc>
          <w:tcPr>
            <w:tcW w:w="2766" w:type="dxa"/>
            <w:tcBorders>
              <w:top w:val="single" w:color="auto" w:sz="4" w:space="0"/>
              <w:bottom w:val="nil"/>
            </w:tcBorders>
          </w:tcPr>
          <w:p w14:paraId="55DA4FC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40</w:t>
            </w:r>
          </w:p>
        </w:tc>
      </w:tr>
      <w:tr w14:paraId="6E9D2A70">
        <w:tc>
          <w:tcPr>
            <w:tcW w:w="2765" w:type="dxa"/>
            <w:tcBorders>
              <w:top w:val="nil"/>
              <w:bottom w:val="single" w:color="auto" w:sz="8" w:space="0"/>
            </w:tcBorders>
          </w:tcPr>
          <w:p w14:paraId="349BA03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2021—2024</w:t>
            </w:r>
          </w:p>
        </w:tc>
        <w:tc>
          <w:tcPr>
            <w:tcW w:w="2765" w:type="dxa"/>
            <w:tcBorders>
              <w:top w:val="nil"/>
              <w:bottom w:val="single" w:color="auto" w:sz="8" w:space="0"/>
            </w:tcBorders>
          </w:tcPr>
          <w:p w14:paraId="515D365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0.0001</w:t>
            </w:r>
          </w:p>
        </w:tc>
        <w:tc>
          <w:tcPr>
            <w:tcW w:w="2766" w:type="dxa"/>
            <w:tcBorders>
              <w:top w:val="nil"/>
              <w:bottom w:val="single" w:color="auto" w:sz="8" w:space="0"/>
            </w:tcBorders>
          </w:tcPr>
          <w:p w14:paraId="7FFB815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109</w:t>
            </w:r>
          </w:p>
        </w:tc>
      </w:tr>
    </w:tbl>
    <w:p w14:paraId="1E71EA13"/>
    <w:p w14:paraId="5BEB7C69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5" w:name="_Ref233128063"/>
      <w:bookmarkStart w:id="16" w:name="_Ref224129780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13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5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Centrality of Applicants by Phase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134"/>
        <w:gridCol w:w="284"/>
        <w:gridCol w:w="992"/>
        <w:gridCol w:w="1134"/>
        <w:gridCol w:w="425"/>
        <w:gridCol w:w="851"/>
        <w:gridCol w:w="1218"/>
      </w:tblGrid>
      <w:tr w14:paraId="592E9781">
        <w:tc>
          <w:tcPr>
            <w:tcW w:w="1134" w:type="dxa"/>
            <w:tcBorders>
              <w:top w:val="single" w:color="auto" w:sz="8" w:space="0"/>
              <w:bottom w:val="single" w:color="auto" w:sz="4" w:space="0"/>
            </w:tcBorders>
          </w:tcPr>
          <w:p w14:paraId="570F21A6"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8" w:space="0"/>
              <w:bottom w:val="single" w:color="auto" w:sz="4" w:space="0"/>
            </w:tcBorders>
          </w:tcPr>
          <w:p w14:paraId="7A8AC321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 Centrality</w:t>
            </w:r>
          </w:p>
        </w:tc>
        <w:tc>
          <w:tcPr>
            <w:tcW w:w="2551" w:type="dxa"/>
            <w:gridSpan w:val="3"/>
            <w:tcBorders>
              <w:top w:val="single" w:color="auto" w:sz="8" w:space="0"/>
              <w:bottom w:val="single" w:color="auto" w:sz="4" w:space="0"/>
            </w:tcBorders>
          </w:tcPr>
          <w:p w14:paraId="386CC36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Closeness Centrality</w:t>
            </w:r>
          </w:p>
        </w:tc>
        <w:tc>
          <w:tcPr>
            <w:tcW w:w="2069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3F91D89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Betweenness Centrality</w:t>
            </w:r>
          </w:p>
        </w:tc>
      </w:tr>
      <w:tr w14:paraId="4431C6D1"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6B7725B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Phase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54EF1FB2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749FC24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2021–2024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nil"/>
            </w:tcBorders>
          </w:tcPr>
          <w:p w14:paraId="2FEE37F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</w:tcPr>
          <w:p w14:paraId="60E54ACE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2021–2024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nil"/>
            </w:tcBorders>
          </w:tcPr>
          <w:p w14:paraId="57739F65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218" w:type="dxa"/>
            <w:tcBorders>
              <w:top w:val="single" w:color="auto" w:sz="4" w:space="0"/>
              <w:bottom w:val="nil"/>
            </w:tcBorders>
          </w:tcPr>
          <w:p w14:paraId="09B6C860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2016–2024</w:t>
            </w:r>
          </w:p>
        </w:tc>
      </w:tr>
      <w:tr w14:paraId="1E3ADA2F">
        <w:tc>
          <w:tcPr>
            <w:tcW w:w="1134" w:type="dxa"/>
            <w:tcBorders>
              <w:top w:val="nil"/>
              <w:bottom w:val="nil"/>
            </w:tcBorders>
          </w:tcPr>
          <w:p w14:paraId="44A525C1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Mean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EA63130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8B9AA46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0.02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25C5FCD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0.24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782CEC1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0.11</w:t>
            </w: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14:paraId="3042907D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  <w:bottom w:val="nil"/>
            </w:tcBorders>
          </w:tcPr>
          <w:p w14:paraId="04ADE51A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</w:tr>
      <w:tr w14:paraId="792DABF9">
        <w:tc>
          <w:tcPr>
            <w:tcW w:w="1134" w:type="dxa"/>
            <w:tcBorders>
              <w:top w:val="nil"/>
            </w:tcBorders>
          </w:tcPr>
          <w:p w14:paraId="52D0F857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Std Dev</w:t>
            </w:r>
          </w:p>
        </w:tc>
        <w:tc>
          <w:tcPr>
            <w:tcW w:w="1134" w:type="dxa"/>
            <w:tcBorders>
              <w:top w:val="nil"/>
            </w:tcBorders>
          </w:tcPr>
          <w:p w14:paraId="35D41572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0.11</w:t>
            </w:r>
          </w:p>
        </w:tc>
        <w:tc>
          <w:tcPr>
            <w:tcW w:w="1134" w:type="dxa"/>
            <w:tcBorders>
              <w:top w:val="nil"/>
            </w:tcBorders>
          </w:tcPr>
          <w:p w14:paraId="24478936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0.06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6767AB71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14:paraId="0F28EB31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14:paraId="2FD361D0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top w:val="nil"/>
            </w:tcBorders>
          </w:tcPr>
          <w:p w14:paraId="5B5C2614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</w:tr>
      <w:tr w14:paraId="344035B7">
        <w:tc>
          <w:tcPr>
            <w:tcW w:w="1134" w:type="dxa"/>
          </w:tcPr>
          <w:p w14:paraId="682B6012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Sum</w:t>
            </w:r>
          </w:p>
        </w:tc>
        <w:tc>
          <w:tcPr>
            <w:tcW w:w="1134" w:type="dxa"/>
          </w:tcPr>
          <w:p w14:paraId="6311930A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19.18</w:t>
            </w:r>
          </w:p>
        </w:tc>
        <w:tc>
          <w:tcPr>
            <w:tcW w:w="1134" w:type="dxa"/>
          </w:tcPr>
          <w:p w14:paraId="3442D42E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23.17</w:t>
            </w:r>
          </w:p>
        </w:tc>
        <w:tc>
          <w:tcPr>
            <w:tcW w:w="1276" w:type="dxa"/>
            <w:gridSpan w:val="2"/>
          </w:tcPr>
          <w:p w14:paraId="02D2B19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17.05</w:t>
            </w:r>
          </w:p>
        </w:tc>
        <w:tc>
          <w:tcPr>
            <w:tcW w:w="1134" w:type="dxa"/>
          </w:tcPr>
          <w:p w14:paraId="67F4CA1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18.62</w:t>
            </w:r>
          </w:p>
        </w:tc>
        <w:tc>
          <w:tcPr>
            <w:tcW w:w="1276" w:type="dxa"/>
            <w:gridSpan w:val="2"/>
          </w:tcPr>
          <w:p w14:paraId="34FAEB4B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0.02</w:t>
            </w:r>
          </w:p>
        </w:tc>
        <w:tc>
          <w:tcPr>
            <w:tcW w:w="1218" w:type="dxa"/>
          </w:tcPr>
          <w:p w14:paraId="19217989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0.02</w:t>
            </w:r>
          </w:p>
        </w:tc>
      </w:tr>
      <w:tr w14:paraId="5323A2A8">
        <w:tc>
          <w:tcPr>
            <w:tcW w:w="1134" w:type="dxa"/>
          </w:tcPr>
          <w:p w14:paraId="1E59891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Variance</w:t>
            </w:r>
          </w:p>
        </w:tc>
        <w:tc>
          <w:tcPr>
            <w:tcW w:w="1134" w:type="dxa"/>
          </w:tcPr>
          <w:p w14:paraId="6BEE235B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0.01</w:t>
            </w:r>
          </w:p>
        </w:tc>
        <w:tc>
          <w:tcPr>
            <w:tcW w:w="1134" w:type="dxa"/>
          </w:tcPr>
          <w:p w14:paraId="29CF43A2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76" w:type="dxa"/>
            <w:gridSpan w:val="2"/>
          </w:tcPr>
          <w:p w14:paraId="0F627525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134" w:type="dxa"/>
          </w:tcPr>
          <w:p w14:paraId="4F34D75E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76" w:type="dxa"/>
            <w:gridSpan w:val="2"/>
          </w:tcPr>
          <w:p w14:paraId="39372391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</w:tcPr>
          <w:p w14:paraId="135C332B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</w:tr>
      <w:tr w14:paraId="2EA6FD9F">
        <w:tc>
          <w:tcPr>
            <w:tcW w:w="1134" w:type="dxa"/>
          </w:tcPr>
          <w:p w14:paraId="1923DD0D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SSQ</w:t>
            </w:r>
          </w:p>
        </w:tc>
        <w:tc>
          <w:tcPr>
            <w:tcW w:w="1134" w:type="dxa"/>
          </w:tcPr>
          <w:p w14:paraId="0FE40348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5.87</w:t>
            </w:r>
          </w:p>
        </w:tc>
        <w:tc>
          <w:tcPr>
            <w:tcW w:w="1134" w:type="dxa"/>
          </w:tcPr>
          <w:p w14:paraId="395EA68A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4.31</w:t>
            </w:r>
          </w:p>
        </w:tc>
        <w:tc>
          <w:tcPr>
            <w:tcW w:w="1276" w:type="dxa"/>
            <w:gridSpan w:val="2"/>
          </w:tcPr>
          <w:p w14:paraId="7F27DD9C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4.09</w:t>
            </w:r>
          </w:p>
        </w:tc>
        <w:tc>
          <w:tcPr>
            <w:tcW w:w="1134" w:type="dxa"/>
          </w:tcPr>
          <w:p w14:paraId="376DB5F0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1.98</w:t>
            </w:r>
          </w:p>
        </w:tc>
        <w:tc>
          <w:tcPr>
            <w:tcW w:w="1276" w:type="dxa"/>
            <w:gridSpan w:val="2"/>
          </w:tcPr>
          <w:p w14:paraId="06E9933B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</w:tcPr>
          <w:p w14:paraId="49C1E625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</w:tr>
      <w:tr w14:paraId="106A64F5">
        <w:tc>
          <w:tcPr>
            <w:tcW w:w="1134" w:type="dxa"/>
          </w:tcPr>
          <w:p w14:paraId="575C90FB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MCSSQ</w:t>
            </w:r>
          </w:p>
        </w:tc>
        <w:tc>
          <w:tcPr>
            <w:tcW w:w="1134" w:type="dxa"/>
          </w:tcPr>
          <w:p w14:paraId="1532CD52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4.99</w:t>
            </w:r>
          </w:p>
        </w:tc>
        <w:tc>
          <w:tcPr>
            <w:tcW w:w="1134" w:type="dxa"/>
          </w:tcPr>
          <w:p w14:paraId="58FB77FD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3.74</w:t>
            </w:r>
          </w:p>
        </w:tc>
        <w:tc>
          <w:tcPr>
            <w:tcW w:w="1276" w:type="dxa"/>
            <w:gridSpan w:val="2"/>
          </w:tcPr>
          <w:p w14:paraId="4236FD67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134" w:type="dxa"/>
          </w:tcPr>
          <w:p w14:paraId="52A41FC0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76" w:type="dxa"/>
            <w:gridSpan w:val="2"/>
          </w:tcPr>
          <w:p w14:paraId="7D62DF97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</w:tcPr>
          <w:p w14:paraId="552891B3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</w:tr>
      <w:tr w14:paraId="32A65311">
        <w:tc>
          <w:tcPr>
            <w:tcW w:w="1134" w:type="dxa"/>
          </w:tcPr>
          <w:p w14:paraId="5CAFD82E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Euc Norm</w:t>
            </w:r>
          </w:p>
        </w:tc>
        <w:tc>
          <w:tcPr>
            <w:tcW w:w="1134" w:type="dxa"/>
          </w:tcPr>
          <w:p w14:paraId="610539F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2.42</w:t>
            </w:r>
          </w:p>
        </w:tc>
        <w:tc>
          <w:tcPr>
            <w:tcW w:w="1134" w:type="dxa"/>
          </w:tcPr>
          <w:p w14:paraId="208ECAF3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2.08</w:t>
            </w:r>
          </w:p>
        </w:tc>
        <w:tc>
          <w:tcPr>
            <w:tcW w:w="1276" w:type="dxa"/>
            <w:gridSpan w:val="2"/>
          </w:tcPr>
          <w:p w14:paraId="210C818E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2.02</w:t>
            </w:r>
          </w:p>
        </w:tc>
        <w:tc>
          <w:tcPr>
            <w:tcW w:w="1134" w:type="dxa"/>
          </w:tcPr>
          <w:p w14:paraId="77D2DDAE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1.41</w:t>
            </w:r>
          </w:p>
        </w:tc>
        <w:tc>
          <w:tcPr>
            <w:tcW w:w="1276" w:type="dxa"/>
            <w:gridSpan w:val="2"/>
          </w:tcPr>
          <w:p w14:paraId="6F8F45C8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0.01</w:t>
            </w:r>
          </w:p>
        </w:tc>
        <w:tc>
          <w:tcPr>
            <w:tcW w:w="1218" w:type="dxa"/>
          </w:tcPr>
          <w:p w14:paraId="6675074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0.01</w:t>
            </w:r>
          </w:p>
        </w:tc>
      </w:tr>
      <w:tr w14:paraId="55BE82BB">
        <w:tc>
          <w:tcPr>
            <w:tcW w:w="1134" w:type="dxa"/>
            <w:tcBorders>
              <w:bottom w:val="nil"/>
            </w:tcBorders>
          </w:tcPr>
          <w:p w14:paraId="31CD8633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Minimum</w:t>
            </w:r>
          </w:p>
        </w:tc>
        <w:tc>
          <w:tcPr>
            <w:tcW w:w="1134" w:type="dxa"/>
            <w:tcBorders>
              <w:bottom w:val="nil"/>
            </w:tcBorders>
          </w:tcPr>
          <w:p w14:paraId="34A20FE5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484894F7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23879A3B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14:paraId="24347C63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0.11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14:paraId="0C94A93A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  <w:tc>
          <w:tcPr>
            <w:tcW w:w="1218" w:type="dxa"/>
            <w:tcBorders>
              <w:bottom w:val="nil"/>
            </w:tcBorders>
          </w:tcPr>
          <w:p w14:paraId="3E2CBF95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</w:t>
            </w:r>
          </w:p>
        </w:tc>
      </w:tr>
      <w:tr w14:paraId="730490DE">
        <w:tc>
          <w:tcPr>
            <w:tcW w:w="1134" w:type="dxa"/>
            <w:tcBorders>
              <w:bottom w:val="single" w:color="auto" w:sz="8" w:space="0"/>
            </w:tcBorders>
          </w:tcPr>
          <w:p w14:paraId="08AA2457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Maximum</w:t>
            </w: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0240E05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0.72</w:t>
            </w: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0DEC49EC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0.96</w:t>
            </w: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</w:tcPr>
          <w:p w14:paraId="3CDC990F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0.01</w:t>
            </w:r>
          </w:p>
        </w:tc>
        <w:tc>
          <w:tcPr>
            <w:tcW w:w="1134" w:type="dxa"/>
            <w:tcBorders>
              <w:bottom w:val="single" w:color="auto" w:sz="8" w:space="0"/>
            </w:tcBorders>
          </w:tcPr>
          <w:p w14:paraId="75E8B960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0.11</w:t>
            </w:r>
          </w:p>
        </w:tc>
        <w:tc>
          <w:tcPr>
            <w:tcW w:w="1276" w:type="dxa"/>
            <w:gridSpan w:val="2"/>
            <w:tcBorders>
              <w:bottom w:val="single" w:color="auto" w:sz="8" w:space="0"/>
            </w:tcBorders>
          </w:tcPr>
          <w:p w14:paraId="7C1C8B69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0.01</w:t>
            </w:r>
          </w:p>
        </w:tc>
        <w:tc>
          <w:tcPr>
            <w:tcW w:w="1218" w:type="dxa"/>
            <w:tcBorders>
              <w:bottom w:val="single" w:color="auto" w:sz="8" w:space="0"/>
            </w:tcBorders>
          </w:tcPr>
          <w:p w14:paraId="6E1D3EF1">
            <w:pPr>
              <w:jc w:val="center"/>
              <w:rPr>
                <w:rFonts w:eastAsia="黑体"/>
                <w:kern w:val="0"/>
                <w:sz w:val="20"/>
                <w:szCs w:val="21"/>
              </w:rPr>
            </w:pPr>
            <w:r>
              <w:rPr>
                <w:rFonts w:eastAsia="黑体"/>
                <w:kern w:val="0"/>
                <w:sz w:val="20"/>
                <w:szCs w:val="21"/>
              </w:rPr>
              <w:t>0.01</w:t>
            </w:r>
          </w:p>
        </w:tc>
      </w:tr>
      <w:bookmarkEnd w:id="16"/>
    </w:tbl>
    <w:p w14:paraId="11369574">
      <w:pPr>
        <w:pStyle w:val="3"/>
        <w:keepNext/>
        <w:rPr>
          <w:rFonts w:ascii="Times New Roman" w:hAnsi="Times New Roman" w:cs="Times New Roman"/>
          <w:sz w:val="21"/>
          <w:szCs w:val="21"/>
        </w:rPr>
      </w:pPr>
    </w:p>
    <w:p w14:paraId="244D1D14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7" w:name="_Ref233128082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14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7"/>
      <w:r>
        <w:rPr>
          <w:rFonts w:ascii="Times New Roman" w:hAnsi="Times New Roman" w:cs="Times New Roman"/>
          <w:sz w:val="21"/>
          <w:szCs w:val="21"/>
        </w:rPr>
        <w:t xml:space="preserve"> Core Nodes in the 2016–2020 Applicant Sub-network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 w14:paraId="54605592">
        <w:tc>
          <w:tcPr>
            <w:tcW w:w="2972" w:type="dxa"/>
            <w:tcBorders>
              <w:top w:val="single" w:color="auto" w:sz="8" w:space="0"/>
              <w:bottom w:val="single" w:color="auto" w:sz="4" w:space="0"/>
            </w:tcBorders>
          </w:tcPr>
          <w:p w14:paraId="68708D08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 Centrality Value</w:t>
            </w:r>
          </w:p>
        </w:tc>
        <w:tc>
          <w:tcPr>
            <w:tcW w:w="5324" w:type="dxa"/>
            <w:tcBorders>
              <w:top w:val="single" w:color="auto" w:sz="8" w:space="0"/>
              <w:bottom w:val="single" w:color="auto" w:sz="4" w:space="0"/>
            </w:tcBorders>
          </w:tcPr>
          <w:p w14:paraId="40DF5F85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Applicant</w:t>
            </w:r>
          </w:p>
        </w:tc>
      </w:tr>
      <w:tr w14:paraId="1383B2A6">
        <w:tc>
          <w:tcPr>
            <w:tcW w:w="2972" w:type="dxa"/>
            <w:tcBorders>
              <w:top w:val="single" w:color="auto" w:sz="4" w:space="0"/>
              <w:bottom w:val="nil"/>
            </w:tcBorders>
          </w:tcPr>
          <w:p w14:paraId="0EBF9D3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</w:t>
            </w:r>
          </w:p>
        </w:tc>
        <w:tc>
          <w:tcPr>
            <w:tcW w:w="5324" w:type="dxa"/>
            <w:tcBorders>
              <w:top w:val="single" w:color="auto" w:sz="4" w:space="0"/>
              <w:bottom w:val="nil"/>
            </w:tcBorders>
          </w:tcPr>
          <w:p w14:paraId="67FF961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Guangzhou Caizhilin Pharmaceutical Co., Ltd.</w:t>
            </w:r>
          </w:p>
          <w:p w14:paraId="532D7F9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Shenzhen Osa Pharmaceutical Co., Ltd.</w:t>
            </w:r>
          </w:p>
        </w:tc>
      </w:tr>
      <w:tr w14:paraId="7067EF1A">
        <w:tc>
          <w:tcPr>
            <w:tcW w:w="2972" w:type="dxa"/>
            <w:tcBorders>
              <w:bottom w:val="single" w:color="auto" w:sz="8" w:space="0"/>
            </w:tcBorders>
          </w:tcPr>
          <w:p w14:paraId="3E693D0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</w:t>
            </w:r>
          </w:p>
        </w:tc>
        <w:tc>
          <w:tcPr>
            <w:tcW w:w="5324" w:type="dxa"/>
            <w:tcBorders>
              <w:bottom w:val="single" w:color="auto" w:sz="8" w:space="0"/>
            </w:tcBorders>
          </w:tcPr>
          <w:p w14:paraId="6657349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Guangdong Zhidao Pharmaceutical Technology Co., Ltd.</w:t>
            </w:r>
          </w:p>
          <w:p w14:paraId="3A8A940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Taiyuan (Guangzhou) Biotechnology Co., Ltd.</w:t>
            </w:r>
          </w:p>
          <w:p w14:paraId="715C8E7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Perfect (Guangdong) Daily Necessities Co., Ltd.</w:t>
            </w:r>
          </w:p>
          <w:p w14:paraId="06D2CD4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FuLaite (Shenzhen) Precision Nutrition Food Group Co., Ltd.</w:t>
            </w:r>
          </w:p>
          <w:p w14:paraId="601A6A2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Tianhe District Hospital of Traditional Chinese Medicine, Guangzhou</w:t>
            </w:r>
          </w:p>
        </w:tc>
      </w:tr>
    </w:tbl>
    <w:p w14:paraId="5E4C9F78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Note: Only data with degree centrality ≥ 2 are shown due to space limitations.</w:t>
      </w:r>
    </w:p>
    <w:p w14:paraId="1CA71855"/>
    <w:p w14:paraId="5D2F98E6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8" w:name="_Ref233128089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15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8"/>
      <w:r>
        <w:rPr>
          <w:rFonts w:ascii="Times New Roman" w:hAnsi="Times New Roman" w:cs="Times New Roman"/>
          <w:sz w:val="21"/>
          <w:szCs w:val="21"/>
        </w:rPr>
        <w:t xml:space="preserve"> Core Nodes in the 2021–2024 Applicant Sub-network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453"/>
      </w:tblGrid>
      <w:tr w14:paraId="393C0DA4">
        <w:tc>
          <w:tcPr>
            <w:tcW w:w="1843" w:type="dxa"/>
            <w:tcBorders>
              <w:top w:val="single" w:color="auto" w:sz="8" w:space="0"/>
              <w:bottom w:val="single" w:color="auto" w:sz="4" w:space="0"/>
            </w:tcBorders>
          </w:tcPr>
          <w:p w14:paraId="48D3F313">
            <w:r>
              <w:t>Degree Centrality Value</w:t>
            </w:r>
          </w:p>
        </w:tc>
        <w:tc>
          <w:tcPr>
            <w:tcW w:w="6453" w:type="dxa"/>
            <w:tcBorders>
              <w:top w:val="single" w:color="auto" w:sz="8" w:space="0"/>
              <w:bottom w:val="single" w:color="auto" w:sz="4" w:space="0"/>
            </w:tcBorders>
          </w:tcPr>
          <w:p w14:paraId="0620F3F7">
            <w:r>
              <w:t>Applicant</w:t>
            </w:r>
          </w:p>
        </w:tc>
      </w:tr>
      <w:tr w14:paraId="7C0A2467">
        <w:tc>
          <w:tcPr>
            <w:tcW w:w="1843" w:type="dxa"/>
            <w:tcBorders>
              <w:top w:val="single" w:color="auto" w:sz="4" w:space="0"/>
              <w:bottom w:val="nil"/>
            </w:tcBorders>
          </w:tcPr>
          <w:p w14:paraId="4FE42E49">
            <w:r>
              <w:t>9</w:t>
            </w:r>
          </w:p>
        </w:tc>
        <w:tc>
          <w:tcPr>
            <w:tcW w:w="6453" w:type="dxa"/>
            <w:tcBorders>
              <w:top w:val="single" w:color="auto" w:sz="4" w:space="0"/>
              <w:bottom w:val="nil"/>
            </w:tcBorders>
          </w:tcPr>
          <w:p w14:paraId="7FD07AF6">
            <w:r>
              <w:t>South China Agricultural University</w:t>
            </w:r>
          </w:p>
        </w:tc>
      </w:tr>
      <w:tr w14:paraId="024A9337">
        <w:tc>
          <w:tcPr>
            <w:tcW w:w="1843" w:type="dxa"/>
            <w:tcBorders>
              <w:top w:val="nil"/>
              <w:bottom w:val="nil"/>
            </w:tcBorders>
          </w:tcPr>
          <w:p w14:paraId="2C237922">
            <w:r>
              <w:t>4</w:t>
            </w:r>
          </w:p>
        </w:tc>
        <w:tc>
          <w:tcPr>
            <w:tcW w:w="6453" w:type="dxa"/>
            <w:tcBorders>
              <w:top w:val="nil"/>
              <w:bottom w:val="nil"/>
            </w:tcBorders>
          </w:tcPr>
          <w:p w14:paraId="67EACE9D">
            <w:r>
              <w:t>Guangdong Pharmaceutical University</w:t>
            </w:r>
          </w:p>
          <w:p w14:paraId="36053EE4">
            <w:r>
              <w:t>South China University of Technology</w:t>
            </w:r>
          </w:p>
        </w:tc>
      </w:tr>
      <w:tr w14:paraId="3F6EB707">
        <w:tc>
          <w:tcPr>
            <w:tcW w:w="1843" w:type="dxa"/>
            <w:tcBorders>
              <w:top w:val="nil"/>
              <w:bottom w:val="nil"/>
            </w:tcBorders>
          </w:tcPr>
          <w:p w14:paraId="01FE450E">
            <w:r>
              <w:t>3</w:t>
            </w:r>
          </w:p>
        </w:tc>
        <w:tc>
          <w:tcPr>
            <w:tcW w:w="6453" w:type="dxa"/>
            <w:tcBorders>
              <w:top w:val="nil"/>
              <w:bottom w:val="nil"/>
            </w:tcBorders>
          </w:tcPr>
          <w:p w14:paraId="12ABD3AD">
            <w:r>
              <w:t>Guangdong Institute of Poultry Science</w:t>
            </w:r>
          </w:p>
          <w:p w14:paraId="64E4570D">
            <w:r>
              <w:t>Guangdong University of Technology</w:t>
            </w:r>
          </w:p>
          <w:p w14:paraId="26EC83AE">
            <w:r>
              <w:t>Guangzhou Institute of Respiratory Health</w:t>
            </w:r>
          </w:p>
          <w:p w14:paraId="5A84786F">
            <w:r>
              <w:t>Guangzhou Lianrui Pharmaceutical Co., Ltd.</w:t>
            </w:r>
          </w:p>
          <w:p w14:paraId="270D2C71">
            <w:r>
              <w:t>Guangdong Provincial Hospital of Traditional Chinese Medicine</w:t>
            </w:r>
          </w:p>
        </w:tc>
      </w:tr>
      <w:tr w14:paraId="3C96A6A4">
        <w:tc>
          <w:tcPr>
            <w:tcW w:w="1843" w:type="dxa"/>
            <w:tcBorders>
              <w:top w:val="nil"/>
              <w:bottom w:val="single" w:color="auto" w:sz="8" w:space="0"/>
            </w:tcBorders>
          </w:tcPr>
          <w:p w14:paraId="1570686E">
            <w:r>
              <w:t>2</w:t>
            </w:r>
          </w:p>
        </w:tc>
        <w:tc>
          <w:tcPr>
            <w:tcW w:w="6453" w:type="dxa"/>
            <w:tcBorders>
              <w:top w:val="nil"/>
              <w:bottom w:val="single" w:color="auto" w:sz="8" w:space="0"/>
            </w:tcBorders>
          </w:tcPr>
          <w:p w14:paraId="1462F21F">
            <w:r>
              <w:t>Sun Yat-sen University</w:t>
            </w:r>
          </w:p>
          <w:p w14:paraId="32EF3E8B">
            <w:r>
              <w:t>Guangzhou Huaxia Biopharmaceutical Co., Ltd.</w:t>
            </w:r>
          </w:p>
          <w:p w14:paraId="1F3F2594">
            <w:r>
              <w:t>Sericultural &amp; Agri-Food Research Institute, Guangdong Academy of Agricultural Sciences</w:t>
            </w:r>
          </w:p>
          <w:p w14:paraId="54915264">
            <w:r>
              <w:t>Guangzhou Beta Health Biotechnology Co., Ltd.</w:t>
            </w:r>
          </w:p>
          <w:p w14:paraId="6612A5EF">
            <w:r>
              <w:t>South China Collaborative Innovation Institute</w:t>
            </w:r>
          </w:p>
          <w:p w14:paraId="7474B955">
            <w:r>
              <w:t>Guangzhou New Journey Biotechnology Co., Ltd.</w:t>
            </w:r>
          </w:p>
          <w:p w14:paraId="3CF6E738">
            <w:r>
              <w:t>Guangzhou New Journey Life Science Co., Ltd.</w:t>
            </w:r>
          </w:p>
          <w:p w14:paraId="67111433">
            <w:r>
              <w:t>Guangzhou New Journey Life Science Research Institute</w:t>
            </w:r>
          </w:p>
          <w:p w14:paraId="1540E5F6">
            <w:r>
              <w:t>Lebi (Guangzhou) Health Industry Co., Ltd.</w:t>
            </w:r>
          </w:p>
          <w:p w14:paraId="75C2C463">
            <w:r>
              <w:t>Shenzhen Center for Disease Control and Prevention</w:t>
            </w:r>
          </w:p>
          <w:p w14:paraId="4BF508BE">
            <w:r>
              <w:t>Zhongshan Zhongzhi Pharmaceutical Group Co., Ltd.</w:t>
            </w:r>
          </w:p>
          <w:p w14:paraId="125D47C1">
            <w:r>
              <w:t>Guangdong Yifang Pharmaceutical Co., Ltd.</w:t>
            </w:r>
          </w:p>
          <w:p w14:paraId="1F966BB7">
            <w:r>
              <w:t>First Affiliated Hospital of Guangzhou Medical University</w:t>
            </w:r>
          </w:p>
          <w:p w14:paraId="68AF1296">
            <w:r>
              <w:t>Guangdong Institute of Microbiology</w:t>
            </w:r>
          </w:p>
          <w:p w14:paraId="1F68ECCB">
            <w:r>
              <w:t>University of Macau</w:t>
            </w:r>
          </w:p>
          <w:p w14:paraId="1750FB98">
            <w:r>
              <w:t>Wuyi University</w:t>
            </w:r>
          </w:p>
          <w:p w14:paraId="18D0B383">
            <w:r>
              <w:t>Guangdong Xinbaotang Biotechnology Co., Ltd.</w:t>
            </w:r>
          </w:p>
          <w:p w14:paraId="19837266">
            <w:r>
              <w:t>Perfect (Guangdong) Daily Necessities Co., Ltd.</w:t>
            </w:r>
          </w:p>
          <w:p w14:paraId="62C8634F">
            <w:r>
              <w:t>Foshan Hospital of Traditional Chinese Medicine</w:t>
            </w:r>
          </w:p>
        </w:tc>
      </w:tr>
    </w:tbl>
    <w:p w14:paraId="7A83AC5A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Note: Only data with degree centrality ≥ 2 are shown due to space limitations.</w:t>
      </w:r>
    </w:p>
    <w:p w14:paraId="28EEF2B4"/>
    <w:p w14:paraId="351BDFF9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19" w:name="_Ref233128114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16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19"/>
      <w:r>
        <w:rPr>
          <w:rFonts w:ascii="Times New Roman" w:hAnsi="Times New Roman" w:cs="Times New Roman"/>
          <w:sz w:val="21"/>
          <w:szCs w:val="21"/>
        </w:rPr>
        <w:t xml:space="preserve"> Network Density of Cities by Phase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D40DDB7"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2619F7DE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Phase</w:t>
            </w: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4D46CCAD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Network Density</w:t>
            </w:r>
          </w:p>
        </w:tc>
        <w:tc>
          <w:tcPr>
            <w:tcW w:w="2766" w:type="dxa"/>
            <w:tcBorders>
              <w:top w:val="single" w:color="auto" w:sz="8" w:space="0"/>
              <w:bottom w:val="single" w:color="auto" w:sz="4" w:space="0"/>
            </w:tcBorders>
          </w:tcPr>
          <w:p w14:paraId="3026D833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Number of Edges</w:t>
            </w:r>
          </w:p>
        </w:tc>
      </w:tr>
      <w:tr w14:paraId="2B887B1E"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1C86905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2016—2020</w:t>
            </w:r>
          </w:p>
        </w:tc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715D4CA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0.0381</w:t>
            </w:r>
          </w:p>
        </w:tc>
        <w:tc>
          <w:tcPr>
            <w:tcW w:w="2766" w:type="dxa"/>
            <w:tcBorders>
              <w:top w:val="single" w:color="auto" w:sz="4" w:space="0"/>
              <w:bottom w:val="nil"/>
            </w:tcBorders>
          </w:tcPr>
          <w:p w14:paraId="235268B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8</w:t>
            </w:r>
          </w:p>
        </w:tc>
      </w:tr>
      <w:tr w14:paraId="23B0896D">
        <w:tc>
          <w:tcPr>
            <w:tcW w:w="2765" w:type="dxa"/>
            <w:tcBorders>
              <w:top w:val="nil"/>
              <w:bottom w:val="single" w:color="auto" w:sz="8" w:space="0"/>
            </w:tcBorders>
          </w:tcPr>
          <w:p w14:paraId="2DE7F5A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2021—2024</w:t>
            </w:r>
          </w:p>
        </w:tc>
        <w:tc>
          <w:tcPr>
            <w:tcW w:w="2765" w:type="dxa"/>
            <w:tcBorders>
              <w:top w:val="nil"/>
              <w:bottom w:val="single" w:color="auto" w:sz="8" w:space="0"/>
            </w:tcBorders>
          </w:tcPr>
          <w:p w14:paraId="36C8EE8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0.0956</w:t>
            </w:r>
          </w:p>
        </w:tc>
        <w:tc>
          <w:tcPr>
            <w:tcW w:w="2766" w:type="dxa"/>
            <w:tcBorders>
              <w:top w:val="nil"/>
              <w:bottom w:val="single" w:color="auto" w:sz="8" w:space="0"/>
            </w:tcBorders>
          </w:tcPr>
          <w:p w14:paraId="5572799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26</w:t>
            </w:r>
          </w:p>
        </w:tc>
      </w:tr>
    </w:tbl>
    <w:p w14:paraId="4694EB12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20" w:name="_Ref224129935"/>
    </w:p>
    <w:bookmarkEnd w:id="20"/>
    <w:p w14:paraId="2644FD49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21" w:name="_Ref233128124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17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21"/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Centrality of Cities by Phase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6"/>
        <w:gridCol w:w="1088"/>
        <w:gridCol w:w="1181"/>
        <w:gridCol w:w="1277"/>
        <w:gridCol w:w="69"/>
        <w:gridCol w:w="1115"/>
        <w:gridCol w:w="1115"/>
      </w:tblGrid>
      <w:tr w14:paraId="2A4E7DC5">
        <w:tc>
          <w:tcPr>
            <w:tcW w:w="1151" w:type="dxa"/>
            <w:tcBorders>
              <w:top w:val="single" w:color="auto" w:sz="8" w:space="0"/>
              <w:bottom w:val="single" w:color="auto" w:sz="4" w:space="0"/>
            </w:tcBorders>
          </w:tcPr>
          <w:p w14:paraId="706D747A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Applicant City</w:t>
            </w:r>
          </w:p>
        </w:tc>
        <w:tc>
          <w:tcPr>
            <w:tcW w:w="2228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321A5871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Degree Centrality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37BFC516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Closeness Centrality</w:t>
            </w:r>
          </w:p>
        </w:tc>
        <w:tc>
          <w:tcPr>
            <w:tcW w:w="2377" w:type="dxa"/>
            <w:gridSpan w:val="3"/>
            <w:tcBorders>
              <w:top w:val="single" w:color="auto" w:sz="8" w:space="0"/>
              <w:bottom w:val="single" w:color="auto" w:sz="4" w:space="0"/>
            </w:tcBorders>
          </w:tcPr>
          <w:p w14:paraId="52F8B542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Betweenness Centrality</w:t>
            </w:r>
          </w:p>
        </w:tc>
      </w:tr>
      <w:tr w14:paraId="51A291CF">
        <w:tc>
          <w:tcPr>
            <w:tcW w:w="1151" w:type="dxa"/>
            <w:tcBorders>
              <w:top w:val="single" w:color="auto" w:sz="4" w:space="0"/>
              <w:bottom w:val="nil"/>
            </w:tcBorders>
          </w:tcPr>
          <w:p w14:paraId="203BAB6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Phase</w:t>
            </w:r>
          </w:p>
        </w:tc>
        <w:tc>
          <w:tcPr>
            <w:tcW w:w="1107" w:type="dxa"/>
            <w:tcBorders>
              <w:top w:val="single" w:color="auto" w:sz="4" w:space="0"/>
              <w:bottom w:val="nil"/>
            </w:tcBorders>
          </w:tcPr>
          <w:p w14:paraId="2C2BA18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121" w:type="dxa"/>
            <w:tcBorders>
              <w:top w:val="single" w:color="auto" w:sz="4" w:space="0"/>
              <w:bottom w:val="nil"/>
            </w:tcBorders>
          </w:tcPr>
          <w:p w14:paraId="20DF9AD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</w:t>
            </w:r>
          </w:p>
          <w:p w14:paraId="3D44272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–2024</w:t>
            </w:r>
          </w:p>
        </w:tc>
        <w:tc>
          <w:tcPr>
            <w:tcW w:w="1223" w:type="dxa"/>
            <w:tcBorders>
              <w:top w:val="single" w:color="auto" w:sz="4" w:space="0"/>
              <w:bottom w:val="nil"/>
            </w:tcBorders>
          </w:tcPr>
          <w:p w14:paraId="7A9F2FC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</w:t>
            </w:r>
          </w:p>
          <w:p w14:paraId="47F9B87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–2020</w:t>
            </w:r>
          </w:p>
        </w:tc>
        <w:tc>
          <w:tcPr>
            <w:tcW w:w="1327" w:type="dxa"/>
            <w:tcBorders>
              <w:top w:val="single" w:color="auto" w:sz="4" w:space="0"/>
              <w:bottom w:val="nil"/>
            </w:tcBorders>
          </w:tcPr>
          <w:p w14:paraId="52279EB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</w:t>
            </w:r>
          </w:p>
          <w:p w14:paraId="55002C9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–2024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bottom w:val="nil"/>
            </w:tcBorders>
          </w:tcPr>
          <w:p w14:paraId="02BA93F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</w:t>
            </w:r>
          </w:p>
          <w:p w14:paraId="4ACB23A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–2020</w:t>
            </w:r>
          </w:p>
        </w:tc>
        <w:tc>
          <w:tcPr>
            <w:tcW w:w="1151" w:type="dxa"/>
            <w:tcBorders>
              <w:top w:val="single" w:color="auto" w:sz="4" w:space="0"/>
              <w:bottom w:val="nil"/>
            </w:tcBorders>
          </w:tcPr>
          <w:p w14:paraId="6E247F7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</w:t>
            </w:r>
          </w:p>
          <w:p w14:paraId="093BAE8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–2024</w:t>
            </w:r>
          </w:p>
        </w:tc>
      </w:tr>
      <w:tr w14:paraId="69EB246B">
        <w:tc>
          <w:tcPr>
            <w:tcW w:w="1151" w:type="dxa"/>
            <w:tcBorders>
              <w:top w:val="nil"/>
              <w:bottom w:val="nil"/>
            </w:tcBorders>
          </w:tcPr>
          <w:p w14:paraId="64C0913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Guangzhou</w:t>
            </w:r>
          </w:p>
        </w:tc>
        <w:tc>
          <w:tcPr>
            <w:tcW w:w="1107" w:type="dxa"/>
            <w:tcBorders>
              <w:top w:val="nil"/>
              <w:bottom w:val="nil"/>
            </w:tcBorders>
          </w:tcPr>
          <w:p w14:paraId="4A8F846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21.43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14:paraId="7ED66D2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93.75</w:t>
            </w:r>
          </w:p>
        </w:tc>
        <w:tc>
          <w:tcPr>
            <w:tcW w:w="1223" w:type="dxa"/>
            <w:tcBorders>
              <w:top w:val="nil"/>
              <w:bottom w:val="nil"/>
            </w:tcBorders>
          </w:tcPr>
          <w:p w14:paraId="032765C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11.97</w:t>
            </w:r>
          </w:p>
        </w:tc>
        <w:tc>
          <w:tcPr>
            <w:tcW w:w="1327" w:type="dxa"/>
            <w:tcBorders>
              <w:top w:val="nil"/>
              <w:bottom w:val="nil"/>
            </w:tcBorders>
          </w:tcPr>
          <w:p w14:paraId="1978B56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94.12</w:t>
            </w:r>
          </w:p>
        </w:tc>
        <w:tc>
          <w:tcPr>
            <w:tcW w:w="1226" w:type="dxa"/>
            <w:gridSpan w:val="2"/>
            <w:tcBorders>
              <w:top w:val="nil"/>
              <w:bottom w:val="nil"/>
            </w:tcBorders>
          </w:tcPr>
          <w:p w14:paraId="46D3DAA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15.38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14:paraId="487920C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93.47</w:t>
            </w:r>
          </w:p>
        </w:tc>
      </w:tr>
      <w:tr w14:paraId="0126D7DE">
        <w:tc>
          <w:tcPr>
            <w:tcW w:w="1151" w:type="dxa"/>
            <w:tcBorders>
              <w:top w:val="nil"/>
            </w:tcBorders>
          </w:tcPr>
          <w:p w14:paraId="7CE10A9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Jiangmen</w:t>
            </w:r>
          </w:p>
        </w:tc>
        <w:tc>
          <w:tcPr>
            <w:tcW w:w="1107" w:type="dxa"/>
            <w:tcBorders>
              <w:top w:val="nil"/>
            </w:tcBorders>
          </w:tcPr>
          <w:p w14:paraId="605F338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  <w:tcBorders>
              <w:top w:val="nil"/>
            </w:tcBorders>
          </w:tcPr>
          <w:p w14:paraId="3F483CE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top w:val="nil"/>
            </w:tcBorders>
          </w:tcPr>
          <w:p w14:paraId="515422C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</w:t>
            </w:r>
          </w:p>
        </w:tc>
        <w:tc>
          <w:tcPr>
            <w:tcW w:w="1327" w:type="dxa"/>
            <w:tcBorders>
              <w:top w:val="nil"/>
            </w:tcBorders>
          </w:tcPr>
          <w:p w14:paraId="23C64DF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226" w:type="dxa"/>
            <w:gridSpan w:val="2"/>
            <w:tcBorders>
              <w:top w:val="nil"/>
            </w:tcBorders>
          </w:tcPr>
          <w:p w14:paraId="09A995E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  <w:tcBorders>
              <w:top w:val="nil"/>
            </w:tcBorders>
          </w:tcPr>
          <w:p w14:paraId="49E8C05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6DADD31A">
        <w:tc>
          <w:tcPr>
            <w:tcW w:w="1151" w:type="dxa"/>
          </w:tcPr>
          <w:p w14:paraId="4A341D7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Shenzhen</w:t>
            </w:r>
          </w:p>
        </w:tc>
        <w:tc>
          <w:tcPr>
            <w:tcW w:w="1107" w:type="dxa"/>
          </w:tcPr>
          <w:p w14:paraId="4C5B327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14.29</w:t>
            </w:r>
          </w:p>
        </w:tc>
        <w:tc>
          <w:tcPr>
            <w:tcW w:w="1121" w:type="dxa"/>
          </w:tcPr>
          <w:p w14:paraId="61AB515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18.75</w:t>
            </w:r>
          </w:p>
        </w:tc>
        <w:tc>
          <w:tcPr>
            <w:tcW w:w="1223" w:type="dxa"/>
          </w:tcPr>
          <w:p w14:paraId="045DA36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11.57</w:t>
            </w:r>
          </w:p>
        </w:tc>
        <w:tc>
          <w:tcPr>
            <w:tcW w:w="1327" w:type="dxa"/>
          </w:tcPr>
          <w:p w14:paraId="17532E0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53.33</w:t>
            </w:r>
          </w:p>
        </w:tc>
        <w:tc>
          <w:tcPr>
            <w:tcW w:w="1226" w:type="dxa"/>
            <w:gridSpan w:val="2"/>
          </w:tcPr>
          <w:p w14:paraId="6D1929B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6.59</w:t>
            </w:r>
          </w:p>
        </w:tc>
        <w:tc>
          <w:tcPr>
            <w:tcW w:w="1151" w:type="dxa"/>
          </w:tcPr>
          <w:p w14:paraId="7963332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0.42</w:t>
            </w:r>
          </w:p>
        </w:tc>
      </w:tr>
      <w:tr w14:paraId="5107EEB6">
        <w:tc>
          <w:tcPr>
            <w:tcW w:w="1151" w:type="dxa"/>
          </w:tcPr>
          <w:p w14:paraId="4088835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Dongguan</w:t>
            </w:r>
          </w:p>
        </w:tc>
        <w:tc>
          <w:tcPr>
            <w:tcW w:w="1107" w:type="dxa"/>
          </w:tcPr>
          <w:p w14:paraId="50241E1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</w:tcPr>
          <w:p w14:paraId="14A31EA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</w:tcPr>
          <w:p w14:paraId="50DB3B9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</w:t>
            </w:r>
          </w:p>
        </w:tc>
        <w:tc>
          <w:tcPr>
            <w:tcW w:w="1327" w:type="dxa"/>
          </w:tcPr>
          <w:p w14:paraId="0589EAA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226" w:type="dxa"/>
            <w:gridSpan w:val="2"/>
          </w:tcPr>
          <w:p w14:paraId="16FC81A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7006D43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5CDB957E">
        <w:tc>
          <w:tcPr>
            <w:tcW w:w="1151" w:type="dxa"/>
          </w:tcPr>
          <w:p w14:paraId="385DA6E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Zhongshan</w:t>
            </w:r>
          </w:p>
        </w:tc>
        <w:tc>
          <w:tcPr>
            <w:tcW w:w="1107" w:type="dxa"/>
          </w:tcPr>
          <w:p w14:paraId="7BD84C7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7.14</w:t>
            </w:r>
          </w:p>
        </w:tc>
        <w:tc>
          <w:tcPr>
            <w:tcW w:w="1121" w:type="dxa"/>
          </w:tcPr>
          <w:p w14:paraId="33F9A68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12.50</w:t>
            </w:r>
          </w:p>
        </w:tc>
        <w:tc>
          <w:tcPr>
            <w:tcW w:w="1223" w:type="dxa"/>
          </w:tcPr>
          <w:p w14:paraId="0B765F4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11.02</w:t>
            </w:r>
          </w:p>
        </w:tc>
        <w:tc>
          <w:tcPr>
            <w:tcW w:w="1402" w:type="dxa"/>
            <w:gridSpan w:val="2"/>
          </w:tcPr>
          <w:p w14:paraId="57324FF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53.33</w:t>
            </w:r>
          </w:p>
        </w:tc>
        <w:tc>
          <w:tcPr>
            <w:tcW w:w="1151" w:type="dxa"/>
          </w:tcPr>
          <w:p w14:paraId="40332F9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06B4B04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5.28</w:t>
            </w:r>
          </w:p>
        </w:tc>
      </w:tr>
      <w:tr w14:paraId="1D514DAA">
        <w:tc>
          <w:tcPr>
            <w:tcW w:w="1151" w:type="dxa"/>
          </w:tcPr>
          <w:p w14:paraId="6F02ECB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Foshan</w:t>
            </w:r>
          </w:p>
        </w:tc>
        <w:tc>
          <w:tcPr>
            <w:tcW w:w="1107" w:type="dxa"/>
          </w:tcPr>
          <w:p w14:paraId="5E4048E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21.43</w:t>
            </w:r>
          </w:p>
        </w:tc>
        <w:tc>
          <w:tcPr>
            <w:tcW w:w="1121" w:type="dxa"/>
          </w:tcPr>
          <w:p w14:paraId="63399BB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18.75</w:t>
            </w:r>
          </w:p>
        </w:tc>
        <w:tc>
          <w:tcPr>
            <w:tcW w:w="1223" w:type="dxa"/>
          </w:tcPr>
          <w:p w14:paraId="34176E2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11.97</w:t>
            </w:r>
          </w:p>
        </w:tc>
        <w:tc>
          <w:tcPr>
            <w:tcW w:w="1402" w:type="dxa"/>
            <w:gridSpan w:val="2"/>
          </w:tcPr>
          <w:p w14:paraId="01E8E01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55.17</w:t>
            </w:r>
          </w:p>
        </w:tc>
        <w:tc>
          <w:tcPr>
            <w:tcW w:w="1151" w:type="dxa"/>
          </w:tcPr>
          <w:p w14:paraId="5DE9FF7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15.38</w:t>
            </w:r>
          </w:p>
        </w:tc>
        <w:tc>
          <w:tcPr>
            <w:tcW w:w="1151" w:type="dxa"/>
          </w:tcPr>
          <w:p w14:paraId="74F95C2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0.69</w:t>
            </w:r>
          </w:p>
        </w:tc>
      </w:tr>
      <w:tr w14:paraId="4DECE806">
        <w:tc>
          <w:tcPr>
            <w:tcW w:w="1151" w:type="dxa"/>
          </w:tcPr>
          <w:p w14:paraId="531D323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Huizhou</w:t>
            </w:r>
          </w:p>
        </w:tc>
        <w:tc>
          <w:tcPr>
            <w:tcW w:w="1107" w:type="dxa"/>
          </w:tcPr>
          <w:p w14:paraId="221C88C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</w:tcPr>
          <w:p w14:paraId="3BB80C7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</w:tcPr>
          <w:p w14:paraId="1EC3FB3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</w:tcPr>
          <w:p w14:paraId="5F8944B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</w:tcPr>
          <w:p w14:paraId="301E3B9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12E09CD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2BEEA0D2">
        <w:tc>
          <w:tcPr>
            <w:tcW w:w="1151" w:type="dxa"/>
          </w:tcPr>
          <w:p w14:paraId="148E0FD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Zhuhai</w:t>
            </w:r>
          </w:p>
        </w:tc>
        <w:tc>
          <w:tcPr>
            <w:tcW w:w="1107" w:type="dxa"/>
          </w:tcPr>
          <w:p w14:paraId="29016C0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</w:tcPr>
          <w:p w14:paraId="369A8E6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</w:tcPr>
          <w:p w14:paraId="6256E0C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</w:tcPr>
          <w:p w14:paraId="39FA5C2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</w:tcPr>
          <w:p w14:paraId="54AE3BE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3B3CF0C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35D428D0">
        <w:tc>
          <w:tcPr>
            <w:tcW w:w="1151" w:type="dxa"/>
          </w:tcPr>
          <w:p w14:paraId="7C9C628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Hong Kong</w:t>
            </w:r>
          </w:p>
        </w:tc>
        <w:tc>
          <w:tcPr>
            <w:tcW w:w="1107" w:type="dxa"/>
          </w:tcPr>
          <w:p w14:paraId="167D489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</w:tcPr>
          <w:p w14:paraId="5F557CA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18.75</w:t>
            </w:r>
          </w:p>
        </w:tc>
        <w:tc>
          <w:tcPr>
            <w:tcW w:w="1223" w:type="dxa"/>
          </w:tcPr>
          <w:p w14:paraId="6D9CD3C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</w:tcPr>
          <w:p w14:paraId="347699A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55.17</w:t>
            </w:r>
          </w:p>
        </w:tc>
        <w:tc>
          <w:tcPr>
            <w:tcW w:w="1151" w:type="dxa"/>
          </w:tcPr>
          <w:p w14:paraId="44F21D7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17626BF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6.39</w:t>
            </w:r>
          </w:p>
        </w:tc>
      </w:tr>
      <w:tr w14:paraId="5C6A72F2">
        <w:tc>
          <w:tcPr>
            <w:tcW w:w="1151" w:type="dxa"/>
          </w:tcPr>
          <w:p w14:paraId="272E7DB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Zhaoqing</w:t>
            </w:r>
          </w:p>
        </w:tc>
        <w:tc>
          <w:tcPr>
            <w:tcW w:w="1107" w:type="dxa"/>
          </w:tcPr>
          <w:p w14:paraId="3D9AB51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</w:tcPr>
          <w:p w14:paraId="73232A9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12.50</w:t>
            </w:r>
          </w:p>
        </w:tc>
        <w:tc>
          <w:tcPr>
            <w:tcW w:w="1223" w:type="dxa"/>
          </w:tcPr>
          <w:p w14:paraId="2725FC3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</w:tcPr>
          <w:p w14:paraId="774A5CB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51.61</w:t>
            </w:r>
          </w:p>
        </w:tc>
        <w:tc>
          <w:tcPr>
            <w:tcW w:w="1151" w:type="dxa"/>
          </w:tcPr>
          <w:p w14:paraId="7AD4C1C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4F1B111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253782BF">
        <w:tc>
          <w:tcPr>
            <w:tcW w:w="1151" w:type="dxa"/>
          </w:tcPr>
          <w:p w14:paraId="7AC8897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Macao</w:t>
            </w:r>
          </w:p>
        </w:tc>
        <w:tc>
          <w:tcPr>
            <w:tcW w:w="1107" w:type="dxa"/>
          </w:tcPr>
          <w:p w14:paraId="7A4EE5C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21" w:type="dxa"/>
          </w:tcPr>
          <w:p w14:paraId="3FD323F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12.50</w:t>
            </w:r>
          </w:p>
        </w:tc>
        <w:tc>
          <w:tcPr>
            <w:tcW w:w="1223" w:type="dxa"/>
          </w:tcPr>
          <w:p w14:paraId="2217BEF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</w:tcPr>
          <w:p w14:paraId="04066D8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38.10</w:t>
            </w:r>
          </w:p>
        </w:tc>
        <w:tc>
          <w:tcPr>
            <w:tcW w:w="1151" w:type="dxa"/>
          </w:tcPr>
          <w:p w14:paraId="05A41BA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</w:tcPr>
          <w:p w14:paraId="03C4853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0.42</w:t>
            </w:r>
          </w:p>
        </w:tc>
      </w:tr>
      <w:tr w14:paraId="62E8567D">
        <w:tc>
          <w:tcPr>
            <w:tcW w:w="1151" w:type="dxa"/>
          </w:tcPr>
          <w:p w14:paraId="5D9FA53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Non-Guangdong</w:t>
            </w:r>
          </w:p>
        </w:tc>
        <w:tc>
          <w:tcPr>
            <w:tcW w:w="1107" w:type="dxa"/>
          </w:tcPr>
          <w:p w14:paraId="509201E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14.29</w:t>
            </w:r>
          </w:p>
        </w:tc>
        <w:tc>
          <w:tcPr>
            <w:tcW w:w="1121" w:type="dxa"/>
          </w:tcPr>
          <w:p w14:paraId="0C60BDD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</w:t>
            </w:r>
          </w:p>
        </w:tc>
        <w:tc>
          <w:tcPr>
            <w:tcW w:w="1223" w:type="dxa"/>
          </w:tcPr>
          <w:p w14:paraId="766075D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11.57</w:t>
            </w:r>
          </w:p>
        </w:tc>
        <w:tc>
          <w:tcPr>
            <w:tcW w:w="1402" w:type="dxa"/>
            <w:gridSpan w:val="2"/>
          </w:tcPr>
          <w:p w14:paraId="6D94A50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</w:t>
            </w:r>
          </w:p>
        </w:tc>
        <w:tc>
          <w:tcPr>
            <w:tcW w:w="1151" w:type="dxa"/>
          </w:tcPr>
          <w:p w14:paraId="7A8C9A3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6.59</w:t>
            </w:r>
          </w:p>
        </w:tc>
        <w:tc>
          <w:tcPr>
            <w:tcW w:w="1151" w:type="dxa"/>
          </w:tcPr>
          <w:p w14:paraId="7F044C1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–</w:t>
            </w:r>
          </w:p>
        </w:tc>
      </w:tr>
      <w:tr w14:paraId="30AB165C">
        <w:tc>
          <w:tcPr>
            <w:tcW w:w="1151" w:type="dxa"/>
            <w:tcBorders>
              <w:bottom w:val="nil"/>
            </w:tcBorders>
          </w:tcPr>
          <w:p w14:paraId="064AD98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Yunfu</w:t>
            </w:r>
          </w:p>
        </w:tc>
        <w:tc>
          <w:tcPr>
            <w:tcW w:w="1107" w:type="dxa"/>
            <w:tcBorders>
              <w:bottom w:val="nil"/>
            </w:tcBorders>
          </w:tcPr>
          <w:p w14:paraId="0088851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7.14</w:t>
            </w:r>
          </w:p>
        </w:tc>
        <w:tc>
          <w:tcPr>
            <w:tcW w:w="1121" w:type="dxa"/>
            <w:tcBorders>
              <w:bottom w:val="nil"/>
            </w:tcBorders>
          </w:tcPr>
          <w:p w14:paraId="106568F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bottom w:val="nil"/>
            </w:tcBorders>
          </w:tcPr>
          <w:p w14:paraId="1D77ACE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11.02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14:paraId="13303C7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  <w:tcBorders>
              <w:bottom w:val="nil"/>
            </w:tcBorders>
          </w:tcPr>
          <w:p w14:paraId="3C8BB78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  <w:tcBorders>
              <w:bottom w:val="nil"/>
            </w:tcBorders>
          </w:tcPr>
          <w:p w14:paraId="570D34B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720A8897">
        <w:tc>
          <w:tcPr>
            <w:tcW w:w="1151" w:type="dxa"/>
            <w:tcBorders>
              <w:bottom w:val="nil"/>
            </w:tcBorders>
          </w:tcPr>
          <w:p w14:paraId="2E8599C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Yangjiang</w:t>
            </w:r>
          </w:p>
        </w:tc>
        <w:tc>
          <w:tcPr>
            <w:tcW w:w="1107" w:type="dxa"/>
            <w:tcBorders>
              <w:bottom w:val="nil"/>
            </w:tcBorders>
          </w:tcPr>
          <w:p w14:paraId="5668E5F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7.14</w:t>
            </w:r>
          </w:p>
        </w:tc>
        <w:tc>
          <w:tcPr>
            <w:tcW w:w="1121" w:type="dxa"/>
            <w:tcBorders>
              <w:bottom w:val="nil"/>
            </w:tcBorders>
          </w:tcPr>
          <w:p w14:paraId="114A446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bottom w:val="nil"/>
            </w:tcBorders>
          </w:tcPr>
          <w:p w14:paraId="692F65A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11.38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14:paraId="5A5ACA7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  <w:tcBorders>
              <w:bottom w:val="nil"/>
            </w:tcBorders>
          </w:tcPr>
          <w:p w14:paraId="6817516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  <w:tcBorders>
              <w:bottom w:val="nil"/>
            </w:tcBorders>
          </w:tcPr>
          <w:p w14:paraId="619A285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1A2076C8">
        <w:tc>
          <w:tcPr>
            <w:tcW w:w="1151" w:type="dxa"/>
            <w:tcBorders>
              <w:bottom w:val="nil"/>
            </w:tcBorders>
          </w:tcPr>
          <w:p w14:paraId="1926F3C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Meizhou</w:t>
            </w:r>
          </w:p>
        </w:tc>
        <w:tc>
          <w:tcPr>
            <w:tcW w:w="1107" w:type="dxa"/>
            <w:tcBorders>
              <w:bottom w:val="nil"/>
            </w:tcBorders>
          </w:tcPr>
          <w:p w14:paraId="0662FAE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7.14</w:t>
            </w:r>
          </w:p>
        </w:tc>
        <w:tc>
          <w:tcPr>
            <w:tcW w:w="1121" w:type="dxa"/>
            <w:tcBorders>
              <w:bottom w:val="nil"/>
            </w:tcBorders>
          </w:tcPr>
          <w:p w14:paraId="1E41239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bottom w:val="nil"/>
            </w:tcBorders>
          </w:tcPr>
          <w:p w14:paraId="43FE913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11.38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14:paraId="1815205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  <w:tcBorders>
              <w:bottom w:val="nil"/>
            </w:tcBorders>
          </w:tcPr>
          <w:p w14:paraId="7D86F9D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151" w:type="dxa"/>
            <w:tcBorders>
              <w:bottom w:val="nil"/>
            </w:tcBorders>
          </w:tcPr>
          <w:p w14:paraId="3E2B31C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639466E1">
        <w:tc>
          <w:tcPr>
            <w:tcW w:w="1151" w:type="dxa"/>
            <w:tcBorders>
              <w:bottom w:val="nil"/>
            </w:tcBorders>
          </w:tcPr>
          <w:p w14:paraId="6A799C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Heyuan</w:t>
            </w:r>
          </w:p>
        </w:tc>
        <w:tc>
          <w:tcPr>
            <w:tcW w:w="1107" w:type="dxa"/>
            <w:tcBorders>
              <w:bottom w:val="nil"/>
            </w:tcBorders>
          </w:tcPr>
          <w:p w14:paraId="56868B9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121" w:type="dxa"/>
            <w:tcBorders>
              <w:bottom w:val="nil"/>
            </w:tcBorders>
          </w:tcPr>
          <w:p w14:paraId="02A4EE2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bottom w:val="nil"/>
            </w:tcBorders>
          </w:tcPr>
          <w:p w14:paraId="0C50212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14:paraId="7914EC1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  <w:tcBorders>
              <w:bottom w:val="nil"/>
            </w:tcBorders>
          </w:tcPr>
          <w:p w14:paraId="32B17EF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151" w:type="dxa"/>
            <w:tcBorders>
              <w:bottom w:val="nil"/>
            </w:tcBorders>
          </w:tcPr>
          <w:p w14:paraId="5E61A8C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263D443F">
        <w:tc>
          <w:tcPr>
            <w:tcW w:w="1151" w:type="dxa"/>
            <w:tcBorders>
              <w:bottom w:val="nil"/>
            </w:tcBorders>
          </w:tcPr>
          <w:p w14:paraId="4F3BB35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Chaozhou</w:t>
            </w:r>
          </w:p>
        </w:tc>
        <w:tc>
          <w:tcPr>
            <w:tcW w:w="1107" w:type="dxa"/>
            <w:tcBorders>
              <w:bottom w:val="nil"/>
            </w:tcBorders>
          </w:tcPr>
          <w:p w14:paraId="405CA04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121" w:type="dxa"/>
            <w:tcBorders>
              <w:bottom w:val="nil"/>
            </w:tcBorders>
          </w:tcPr>
          <w:p w14:paraId="3C7E4F3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bottom w:val="nil"/>
            </w:tcBorders>
          </w:tcPr>
          <w:p w14:paraId="54B1AF0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  <w:tcBorders>
              <w:bottom w:val="nil"/>
            </w:tcBorders>
          </w:tcPr>
          <w:p w14:paraId="3F943BF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  <w:tcBorders>
              <w:bottom w:val="nil"/>
            </w:tcBorders>
          </w:tcPr>
          <w:p w14:paraId="34CC605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151" w:type="dxa"/>
            <w:tcBorders>
              <w:bottom w:val="nil"/>
            </w:tcBorders>
          </w:tcPr>
          <w:p w14:paraId="1F98067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69CB0C5A">
        <w:tc>
          <w:tcPr>
            <w:tcW w:w="1151" w:type="dxa"/>
            <w:tcBorders>
              <w:top w:val="nil"/>
              <w:bottom w:val="single" w:color="auto" w:sz="8" w:space="0"/>
            </w:tcBorders>
          </w:tcPr>
          <w:p w14:paraId="176FFB2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Qingyuan</w:t>
            </w:r>
          </w:p>
        </w:tc>
        <w:tc>
          <w:tcPr>
            <w:tcW w:w="1107" w:type="dxa"/>
            <w:tcBorders>
              <w:top w:val="nil"/>
              <w:bottom w:val="single" w:color="auto" w:sz="8" w:space="0"/>
            </w:tcBorders>
          </w:tcPr>
          <w:p w14:paraId="3E01FD7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121" w:type="dxa"/>
            <w:tcBorders>
              <w:top w:val="nil"/>
              <w:bottom w:val="single" w:color="auto" w:sz="8" w:space="0"/>
            </w:tcBorders>
          </w:tcPr>
          <w:p w14:paraId="6D65042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6.25</w:t>
            </w:r>
          </w:p>
        </w:tc>
        <w:tc>
          <w:tcPr>
            <w:tcW w:w="1223" w:type="dxa"/>
            <w:tcBorders>
              <w:top w:val="nil"/>
              <w:bottom w:val="single" w:color="auto" w:sz="8" w:space="0"/>
            </w:tcBorders>
          </w:tcPr>
          <w:p w14:paraId="575D7B8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402" w:type="dxa"/>
            <w:gridSpan w:val="2"/>
            <w:tcBorders>
              <w:top w:val="nil"/>
              <w:bottom w:val="single" w:color="auto" w:sz="8" w:space="0"/>
            </w:tcBorders>
          </w:tcPr>
          <w:p w14:paraId="3857B8D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50.00</w:t>
            </w:r>
          </w:p>
        </w:tc>
        <w:tc>
          <w:tcPr>
            <w:tcW w:w="1151" w:type="dxa"/>
            <w:tcBorders>
              <w:top w:val="nil"/>
              <w:bottom w:val="single" w:color="auto" w:sz="8" w:space="0"/>
            </w:tcBorders>
          </w:tcPr>
          <w:p w14:paraId="185AD3B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t>–</w:t>
            </w:r>
          </w:p>
        </w:tc>
        <w:tc>
          <w:tcPr>
            <w:tcW w:w="1151" w:type="dxa"/>
            <w:tcBorders>
              <w:top w:val="nil"/>
              <w:bottom w:val="single" w:color="auto" w:sz="8" w:space="0"/>
            </w:tcBorders>
          </w:tcPr>
          <w:p w14:paraId="6F7800F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</w:tbl>
    <w:p w14:paraId="7911B58A"/>
    <w:p w14:paraId="7F694744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22" w:name="_Ref233128186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22"/>
      <w:r>
        <w:rPr>
          <w:rFonts w:ascii="Times New Roman" w:hAnsi="Times New Roman" w:cs="Times New Roman"/>
          <w:sz w:val="21"/>
          <w:szCs w:val="21"/>
        </w:rPr>
        <w:t xml:space="preserve"> Core-Periphery Results of Sub-networks by Phase</w:t>
      </w:r>
    </w:p>
    <w:tbl>
      <w:tblPr>
        <w:tblStyle w:val="7"/>
        <w:tblW w:w="834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595"/>
        <w:gridCol w:w="4477"/>
        <w:gridCol w:w="1005"/>
      </w:tblGrid>
      <w:tr w14:paraId="24179E1A">
        <w:trPr>
          <w:trHeight w:val="619" w:hRule="atLeast"/>
          <w:jc w:val="center"/>
        </w:trPr>
        <w:tc>
          <w:tcPr>
            <w:tcW w:w="1265" w:type="dxa"/>
            <w:tcBorders>
              <w:top w:val="single" w:color="auto" w:sz="8" w:space="0"/>
              <w:bottom w:val="single" w:color="auto" w:sz="4" w:space="0"/>
            </w:tcBorders>
          </w:tcPr>
          <w:p w14:paraId="4603C5D1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Phase</w:t>
            </w:r>
          </w:p>
        </w:tc>
        <w:tc>
          <w:tcPr>
            <w:tcW w:w="1595" w:type="dxa"/>
            <w:tcBorders>
              <w:top w:val="single" w:color="auto" w:sz="8" w:space="0"/>
              <w:bottom w:val="single" w:color="auto" w:sz="4" w:space="0"/>
            </w:tcBorders>
          </w:tcPr>
          <w:p w14:paraId="19C8C99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Core Cities</w:t>
            </w:r>
          </w:p>
        </w:tc>
        <w:tc>
          <w:tcPr>
            <w:tcW w:w="4477" w:type="dxa"/>
            <w:tcBorders>
              <w:top w:val="single" w:color="auto" w:sz="8" w:space="0"/>
              <w:bottom w:val="single" w:color="auto" w:sz="4" w:space="0"/>
            </w:tcBorders>
          </w:tcPr>
          <w:p w14:paraId="46EA06C3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Peripheral Cities</w:t>
            </w:r>
          </w:p>
        </w:tc>
        <w:tc>
          <w:tcPr>
            <w:tcW w:w="1005" w:type="dxa"/>
            <w:tcBorders>
              <w:top w:val="single" w:color="auto" w:sz="8" w:space="0"/>
              <w:bottom w:val="single" w:color="auto" w:sz="4" w:space="0"/>
            </w:tcBorders>
          </w:tcPr>
          <w:p w14:paraId="1B123212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Goodness of Fit</w:t>
            </w:r>
          </w:p>
        </w:tc>
      </w:tr>
      <w:tr w14:paraId="26C05B1F">
        <w:trPr>
          <w:trHeight w:val="915" w:hRule="atLeast"/>
          <w:jc w:val="center"/>
        </w:trPr>
        <w:tc>
          <w:tcPr>
            <w:tcW w:w="1265" w:type="dxa"/>
            <w:tcBorders>
              <w:top w:val="single" w:color="auto" w:sz="4" w:space="0"/>
              <w:bottom w:val="nil"/>
            </w:tcBorders>
          </w:tcPr>
          <w:p w14:paraId="391922D0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2016–2020</w:t>
            </w:r>
          </w:p>
        </w:tc>
        <w:tc>
          <w:tcPr>
            <w:tcW w:w="1595" w:type="dxa"/>
            <w:tcBorders>
              <w:top w:val="single" w:color="auto" w:sz="4" w:space="0"/>
              <w:bottom w:val="nil"/>
            </w:tcBorders>
          </w:tcPr>
          <w:p w14:paraId="14595776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Guangzhou, Foshan</w:t>
            </w:r>
          </w:p>
        </w:tc>
        <w:tc>
          <w:tcPr>
            <w:tcW w:w="4477" w:type="dxa"/>
            <w:tcBorders>
              <w:top w:val="single" w:color="auto" w:sz="4" w:space="0"/>
              <w:bottom w:val="nil"/>
            </w:tcBorders>
          </w:tcPr>
          <w:p w14:paraId="427D11CC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Jiangmen, Shenzhen, Dongguan, Zhongshan, Zhuhai, Huizhou, Zhaoqing, Hong Kong, Macao, Yunfu, Yangjiang, Meizhou, Non-Guangdong</w:t>
            </w:r>
          </w:p>
        </w:tc>
        <w:tc>
          <w:tcPr>
            <w:tcW w:w="1005" w:type="dxa"/>
            <w:tcBorders>
              <w:top w:val="single" w:color="auto" w:sz="4" w:space="0"/>
              <w:bottom w:val="nil"/>
            </w:tcBorders>
          </w:tcPr>
          <w:p w14:paraId="5320A75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0.903</w:t>
            </w:r>
          </w:p>
        </w:tc>
      </w:tr>
      <w:tr w14:paraId="301685C8">
        <w:trPr>
          <w:trHeight w:val="928" w:hRule="atLeast"/>
          <w:jc w:val="center"/>
        </w:trPr>
        <w:tc>
          <w:tcPr>
            <w:tcW w:w="1265" w:type="dxa"/>
            <w:tcBorders>
              <w:top w:val="nil"/>
              <w:bottom w:val="single" w:color="auto" w:sz="8" w:space="0"/>
            </w:tcBorders>
          </w:tcPr>
          <w:p w14:paraId="3C7475A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2021–2024</w:t>
            </w:r>
          </w:p>
        </w:tc>
        <w:tc>
          <w:tcPr>
            <w:tcW w:w="1595" w:type="dxa"/>
            <w:tcBorders>
              <w:top w:val="nil"/>
              <w:bottom w:val="single" w:color="auto" w:sz="8" w:space="0"/>
            </w:tcBorders>
          </w:tcPr>
          <w:p w14:paraId="5AD33747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Guangzhou, Shenzhen</w:t>
            </w:r>
          </w:p>
        </w:tc>
        <w:tc>
          <w:tcPr>
            <w:tcW w:w="4477" w:type="dxa"/>
            <w:tcBorders>
              <w:top w:val="nil"/>
              <w:bottom w:val="single" w:color="auto" w:sz="8" w:space="0"/>
            </w:tcBorders>
          </w:tcPr>
          <w:p w14:paraId="73FC78EE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Foshan, Zhuhai, Dongguan, Jiangmen, Zhongshan, Huizhou, Zhaoqing, Hong Kong, Macao, Yunfu, Yangjiang, Meizhou, Heyuan, Chaozhou, Qingyuan</w:t>
            </w:r>
          </w:p>
        </w:tc>
        <w:tc>
          <w:tcPr>
            <w:tcW w:w="1005" w:type="dxa"/>
            <w:tcBorders>
              <w:top w:val="nil"/>
              <w:bottom w:val="single" w:color="auto" w:sz="8" w:space="0"/>
            </w:tcBorders>
          </w:tcPr>
          <w:p w14:paraId="37B83002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0.830</w:t>
            </w:r>
          </w:p>
        </w:tc>
      </w:tr>
    </w:tbl>
    <w:p w14:paraId="1F5F2E46"/>
    <w:p w14:paraId="7BBB4E0C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23" w:name="_Ref233128205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19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23"/>
      <w:r>
        <w:rPr>
          <w:rFonts w:ascii="Times New Roman" w:hAnsi="Times New Roman" w:cs="Times New Roman"/>
          <w:sz w:val="21"/>
          <w:szCs w:val="21"/>
        </w:rPr>
        <w:t xml:space="preserve"> Core Nodes in the 2016–2020 Applicant City Sub-Network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 w14:paraId="5D59CFEA">
        <w:tc>
          <w:tcPr>
            <w:tcW w:w="297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72DC89BF">
            <w:pPr>
              <w:rPr>
                <w:b/>
                <w:bCs/>
              </w:rPr>
            </w:pPr>
            <w:r>
              <w:rPr>
                <w:b/>
                <w:bCs/>
              </w:rPr>
              <w:t>Degree Centrality Value</w:t>
            </w:r>
          </w:p>
        </w:tc>
        <w:tc>
          <w:tcPr>
            <w:tcW w:w="532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119D5F33">
            <w:pPr>
              <w:rPr>
                <w:b/>
                <w:bCs/>
              </w:rPr>
            </w:pPr>
            <w:r>
              <w:rPr>
                <w:b/>
                <w:bCs/>
              </w:rPr>
              <w:t>Applicant City</w:t>
            </w:r>
          </w:p>
        </w:tc>
      </w:tr>
      <w:tr w14:paraId="2170FEE8">
        <w:tc>
          <w:tcPr>
            <w:tcW w:w="297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8A1A2D">
            <w:r>
              <w:t>3</w:t>
            </w:r>
          </w:p>
        </w:tc>
        <w:tc>
          <w:tcPr>
            <w:tcW w:w="53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21B05D8">
            <w:r>
              <w:t>Guangzhou</w:t>
            </w:r>
          </w:p>
          <w:p w14:paraId="01BBEC9D">
            <w:r>
              <w:t>Foshan</w:t>
            </w:r>
          </w:p>
        </w:tc>
      </w:tr>
      <w:tr w14:paraId="5F6B7A68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6EFC2C9">
            <w: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37103B7D">
            <w:r>
              <w:t>Shenzhen</w:t>
            </w:r>
          </w:p>
          <w:p w14:paraId="04C6F32B">
            <w:r>
              <w:t>Non-Guangdong</w:t>
            </w:r>
          </w:p>
        </w:tc>
      </w:tr>
      <w:tr w14:paraId="1CE3AE15"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943D40E">
            <w:r>
              <w:t>1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7A2AE29E">
            <w:r>
              <w:t>Meizhou</w:t>
            </w:r>
          </w:p>
          <w:p w14:paraId="5A44B6D1">
            <w:r>
              <w:t>Yangjiang</w:t>
            </w:r>
          </w:p>
          <w:p w14:paraId="19264DAA">
            <w:r>
              <w:t>Zhongshan</w:t>
            </w:r>
          </w:p>
          <w:p w14:paraId="6D7E2F26">
            <w:r>
              <w:t>Yunfu</w:t>
            </w:r>
          </w:p>
        </w:tc>
      </w:tr>
    </w:tbl>
    <w:p w14:paraId="659A170C">
      <w:bookmarkStart w:id="24" w:name="OLE_LINK2"/>
      <w:r>
        <w:t>Note: Only data with degree centrality ≥ 1 are shown due to space limitations.</w:t>
      </w:r>
    </w:p>
    <w:bookmarkEnd w:id="24"/>
    <w:p w14:paraId="637302C5">
      <w:bookmarkStart w:id="25" w:name="_Ref224130928"/>
    </w:p>
    <w:bookmarkEnd w:id="25"/>
    <w:p w14:paraId="3C87E530">
      <w:pPr>
        <w:jc w:val="center"/>
      </w:pPr>
      <w:bookmarkStart w:id="26" w:name="_Ref233128216"/>
      <w:r>
        <w:t>Table A</w:t>
      </w:r>
      <w:r>
        <w:fldChar w:fldCharType="begin"/>
      </w:r>
      <w:r>
        <w:instrText xml:space="preserve"> SEQ Table_A \* ARABIC </w:instrText>
      </w:r>
      <w:r>
        <w:fldChar w:fldCharType="separate"/>
      </w:r>
      <w:r>
        <w:t>20</w:t>
      </w:r>
      <w:r>
        <w:fldChar w:fldCharType="end"/>
      </w:r>
      <w:bookmarkEnd w:id="26"/>
      <w:r>
        <w:rPr>
          <w:rFonts w:hint="eastAsia"/>
        </w:rPr>
        <w:t xml:space="preserve"> </w:t>
      </w:r>
      <w:r>
        <w:t>Core Nodes in the 2021–2024 Applicant City Sub-Network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 w14:paraId="29C57916">
        <w:tc>
          <w:tcPr>
            <w:tcW w:w="297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42D6D49F">
            <w:pPr>
              <w:rPr>
                <w:b/>
                <w:bCs/>
              </w:rPr>
            </w:pPr>
            <w:r>
              <w:rPr>
                <w:b/>
                <w:bCs/>
              </w:rPr>
              <w:t>Degree Centrality Value</w:t>
            </w:r>
          </w:p>
        </w:tc>
        <w:tc>
          <w:tcPr>
            <w:tcW w:w="532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46A7ADDB">
            <w:pPr>
              <w:rPr>
                <w:b/>
                <w:bCs/>
              </w:rPr>
            </w:pPr>
            <w:r>
              <w:rPr>
                <w:b/>
                <w:bCs/>
              </w:rPr>
              <w:t>Applicant City</w:t>
            </w:r>
          </w:p>
        </w:tc>
      </w:tr>
      <w:tr w14:paraId="6C8732F9">
        <w:tc>
          <w:tcPr>
            <w:tcW w:w="2972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7C30242">
            <w:r>
              <w:t>15</w:t>
            </w:r>
          </w:p>
        </w:tc>
        <w:tc>
          <w:tcPr>
            <w:tcW w:w="53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2F3A5979">
            <w:r>
              <w:t>Guangzhou</w:t>
            </w:r>
          </w:p>
        </w:tc>
      </w:tr>
      <w:tr w14:paraId="5DA38D1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9BB6741">
            <w:r>
              <w:t>3</w:t>
            </w:r>
          </w:p>
        </w:tc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4574F890">
            <w:r>
              <w:t>Hong Kong</w:t>
            </w:r>
          </w:p>
          <w:p w14:paraId="33707EE2">
            <w:r>
              <w:t>Foshan</w:t>
            </w:r>
          </w:p>
          <w:p w14:paraId="7DC08462">
            <w:r>
              <w:t>Shenzhen</w:t>
            </w:r>
          </w:p>
        </w:tc>
      </w:tr>
      <w:tr w14:paraId="2D20B211">
        <w:tc>
          <w:tcPr>
            <w:tcW w:w="2972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668EEB1">
            <w:r>
              <w:t>2</w:t>
            </w:r>
          </w:p>
        </w:tc>
        <w:tc>
          <w:tcPr>
            <w:tcW w:w="532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299EABE">
            <w:r>
              <w:t>Zhongshan</w:t>
            </w:r>
          </w:p>
          <w:p w14:paraId="45CF712F">
            <w:r>
              <w:t>Macao</w:t>
            </w:r>
          </w:p>
          <w:p w14:paraId="42360312">
            <w:r>
              <w:t>Zhaoqing</w:t>
            </w:r>
          </w:p>
        </w:tc>
      </w:tr>
    </w:tbl>
    <w:p w14:paraId="1C3C4627">
      <w:r>
        <w:t>Note: Only data with degree centrality ≥ 2 are shown.</w:t>
      </w:r>
    </w:p>
    <w:p w14:paraId="1B33AAB0"/>
    <w:p w14:paraId="4A36B5BC">
      <w:pPr>
        <w:pStyle w:val="3"/>
        <w:keepNext/>
        <w:jc w:val="center"/>
        <w:rPr>
          <w:rFonts w:hint="eastAsia"/>
        </w:rPr>
      </w:pPr>
      <w:bookmarkStart w:id="27" w:name="_Ref233128284"/>
      <w:r>
        <w:rPr>
          <w:rFonts w:ascii="Times New Roman" w:hAnsi="Times New Roman" w:eastAsia="宋体" w:cs="Times New Roman"/>
          <w:sz w:val="21"/>
          <w:szCs w:val="24"/>
        </w:rPr>
        <w:t>Table A</w:t>
      </w:r>
      <w:r>
        <w:rPr>
          <w:rFonts w:ascii="Times New Roman" w:hAnsi="Times New Roman" w:eastAsia="宋体" w:cs="Times New Roman"/>
          <w:sz w:val="21"/>
          <w:szCs w:val="24"/>
        </w:rPr>
        <w:fldChar w:fldCharType="begin"/>
      </w:r>
      <w:r>
        <w:rPr>
          <w:rFonts w:ascii="Times New Roman" w:hAnsi="Times New Roman" w:eastAsia="宋体" w:cs="Times New Roman"/>
          <w:sz w:val="21"/>
          <w:szCs w:val="24"/>
        </w:rPr>
        <w:instrText xml:space="preserve"> SEQ Table_A \* ARABIC </w:instrText>
      </w:r>
      <w:r>
        <w:rPr>
          <w:rFonts w:ascii="Times New Roman" w:hAnsi="Times New Roman" w:eastAsia="宋体" w:cs="Times New Roman"/>
          <w:sz w:val="21"/>
          <w:szCs w:val="24"/>
        </w:rPr>
        <w:fldChar w:fldCharType="separate"/>
      </w:r>
      <w:r>
        <w:rPr>
          <w:rFonts w:ascii="Times New Roman" w:hAnsi="Times New Roman" w:eastAsia="宋体" w:cs="Times New Roman"/>
          <w:sz w:val="21"/>
          <w:szCs w:val="24"/>
        </w:rPr>
        <w:t>21</w:t>
      </w:r>
      <w:r>
        <w:rPr>
          <w:rFonts w:ascii="Times New Roman" w:hAnsi="Times New Roman" w:eastAsia="宋体" w:cs="Times New Roman"/>
          <w:sz w:val="21"/>
          <w:szCs w:val="24"/>
        </w:rPr>
        <w:fldChar w:fldCharType="end"/>
      </w:r>
      <w:bookmarkEnd w:id="27"/>
      <w:r>
        <w:rPr>
          <w:rFonts w:ascii="Times New Roman" w:hAnsi="Times New Roman" w:eastAsia="宋体" w:cs="Times New Roman"/>
          <w:sz w:val="21"/>
          <w:szCs w:val="24"/>
        </w:rPr>
        <w:t xml:space="preserve"> Network Density of Applicant Types by Phase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666E7EA6"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7EA482F2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Phase</w:t>
            </w:r>
          </w:p>
        </w:tc>
        <w:tc>
          <w:tcPr>
            <w:tcW w:w="2765" w:type="dxa"/>
            <w:tcBorders>
              <w:top w:val="single" w:color="auto" w:sz="8" w:space="0"/>
              <w:bottom w:val="single" w:color="auto" w:sz="4" w:space="0"/>
            </w:tcBorders>
          </w:tcPr>
          <w:p w14:paraId="08408CF5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Network Density</w:t>
            </w:r>
          </w:p>
        </w:tc>
        <w:tc>
          <w:tcPr>
            <w:tcW w:w="2766" w:type="dxa"/>
            <w:tcBorders>
              <w:top w:val="single" w:color="auto" w:sz="8" w:space="0"/>
              <w:bottom w:val="single" w:color="auto" w:sz="4" w:space="0"/>
            </w:tcBorders>
          </w:tcPr>
          <w:p w14:paraId="2F6C3D0A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Number of Edges</w:t>
            </w:r>
          </w:p>
        </w:tc>
      </w:tr>
      <w:tr w14:paraId="48A09AAA"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37FD943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2765" w:type="dxa"/>
            <w:tcBorders>
              <w:top w:val="single" w:color="auto" w:sz="4" w:space="0"/>
              <w:bottom w:val="nil"/>
            </w:tcBorders>
          </w:tcPr>
          <w:p w14:paraId="162C3A7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0.5833</w:t>
            </w:r>
          </w:p>
        </w:tc>
        <w:tc>
          <w:tcPr>
            <w:tcW w:w="2766" w:type="dxa"/>
            <w:tcBorders>
              <w:top w:val="single" w:color="auto" w:sz="4" w:space="0"/>
              <w:bottom w:val="nil"/>
            </w:tcBorders>
          </w:tcPr>
          <w:p w14:paraId="39CB559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</w:t>
            </w:r>
          </w:p>
        </w:tc>
      </w:tr>
      <w:tr w14:paraId="403022D5">
        <w:tc>
          <w:tcPr>
            <w:tcW w:w="2765" w:type="dxa"/>
            <w:tcBorders>
              <w:bottom w:val="single" w:color="auto" w:sz="8" w:space="0"/>
            </w:tcBorders>
          </w:tcPr>
          <w:p w14:paraId="545A46C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2021–2024</w:t>
            </w:r>
          </w:p>
        </w:tc>
        <w:tc>
          <w:tcPr>
            <w:tcW w:w="2765" w:type="dxa"/>
            <w:tcBorders>
              <w:bottom w:val="single" w:color="auto" w:sz="8" w:space="0"/>
            </w:tcBorders>
          </w:tcPr>
          <w:p w14:paraId="265ACE3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</w:t>
            </w:r>
          </w:p>
        </w:tc>
        <w:tc>
          <w:tcPr>
            <w:tcW w:w="2766" w:type="dxa"/>
            <w:tcBorders>
              <w:bottom w:val="single" w:color="auto" w:sz="8" w:space="0"/>
            </w:tcBorders>
          </w:tcPr>
          <w:p w14:paraId="04A4C54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12</w:t>
            </w:r>
          </w:p>
        </w:tc>
      </w:tr>
    </w:tbl>
    <w:p w14:paraId="11B52584">
      <w:pPr>
        <w:pStyle w:val="3"/>
        <w:keepNext/>
        <w:rPr>
          <w:rFonts w:ascii="Times New Roman" w:hAnsi="Times New Roman" w:cs="Times New Roman"/>
          <w:sz w:val="21"/>
          <w:szCs w:val="21"/>
        </w:rPr>
      </w:pPr>
    </w:p>
    <w:p w14:paraId="36D57957">
      <w:pPr>
        <w:pStyle w:val="3"/>
        <w:keepNext/>
        <w:jc w:val="center"/>
        <w:rPr>
          <w:rFonts w:ascii="Times New Roman" w:hAnsi="Times New Roman" w:eastAsia="宋体" w:cs="Times New Roman"/>
          <w:sz w:val="21"/>
          <w:szCs w:val="24"/>
        </w:rPr>
      </w:pPr>
      <w:bookmarkStart w:id="28" w:name="_Ref233128289"/>
      <w:r>
        <w:rPr>
          <w:rFonts w:ascii="Times New Roman" w:hAnsi="Times New Roman" w:eastAsia="宋体" w:cs="Times New Roman"/>
          <w:sz w:val="21"/>
          <w:szCs w:val="24"/>
        </w:rPr>
        <w:t>Table A</w:t>
      </w:r>
      <w:r>
        <w:rPr>
          <w:rFonts w:ascii="Times New Roman" w:hAnsi="Times New Roman" w:eastAsia="宋体" w:cs="Times New Roman"/>
          <w:sz w:val="21"/>
          <w:szCs w:val="24"/>
        </w:rPr>
        <w:fldChar w:fldCharType="begin"/>
      </w:r>
      <w:r>
        <w:rPr>
          <w:rFonts w:ascii="Times New Roman" w:hAnsi="Times New Roman" w:eastAsia="宋体" w:cs="Times New Roman"/>
          <w:sz w:val="21"/>
          <w:szCs w:val="24"/>
        </w:rPr>
        <w:instrText xml:space="preserve"> SEQ Table_A \* ARABIC </w:instrText>
      </w:r>
      <w:r>
        <w:rPr>
          <w:rFonts w:ascii="Times New Roman" w:hAnsi="Times New Roman" w:eastAsia="宋体" w:cs="Times New Roman"/>
          <w:sz w:val="21"/>
          <w:szCs w:val="24"/>
        </w:rPr>
        <w:fldChar w:fldCharType="separate"/>
      </w:r>
      <w:r>
        <w:rPr>
          <w:rFonts w:ascii="Times New Roman" w:hAnsi="Times New Roman" w:eastAsia="宋体" w:cs="Times New Roman"/>
          <w:sz w:val="21"/>
          <w:szCs w:val="24"/>
        </w:rPr>
        <w:t>22</w:t>
      </w:r>
      <w:r>
        <w:rPr>
          <w:rFonts w:ascii="Times New Roman" w:hAnsi="Times New Roman" w:eastAsia="宋体" w:cs="Times New Roman"/>
          <w:sz w:val="21"/>
          <w:szCs w:val="24"/>
        </w:rPr>
        <w:fldChar w:fldCharType="end"/>
      </w:r>
      <w:bookmarkEnd w:id="28"/>
      <w:r>
        <w:rPr>
          <w:rFonts w:hint="eastAsia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ascii="Times New Roman" w:hAnsi="Times New Roman" w:eastAsia="宋体" w:cs="Times New Roman"/>
          <w:sz w:val="21"/>
          <w:szCs w:val="24"/>
        </w:rPr>
        <w:t>Centrality of Applicant Types by Phase (Unit: %)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146"/>
        <w:gridCol w:w="1215"/>
        <w:gridCol w:w="1159"/>
        <w:gridCol w:w="1194"/>
        <w:gridCol w:w="1138"/>
        <w:gridCol w:w="1238"/>
      </w:tblGrid>
      <w:tr w14:paraId="4E13F1E4">
        <w:tc>
          <w:tcPr>
            <w:tcW w:w="1216" w:type="dxa"/>
            <w:tcBorders>
              <w:top w:val="single" w:color="auto" w:sz="8" w:space="0"/>
              <w:bottom w:val="single" w:color="auto" w:sz="4" w:space="0"/>
            </w:tcBorders>
          </w:tcPr>
          <w:p w14:paraId="06F926A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Applicant Type</w:t>
            </w:r>
          </w:p>
        </w:tc>
        <w:tc>
          <w:tcPr>
            <w:tcW w:w="2361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1F4CE8CE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Degree Centrality</w:t>
            </w:r>
          </w:p>
        </w:tc>
        <w:tc>
          <w:tcPr>
            <w:tcW w:w="2353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648BDE4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Closeness Centrality</w:t>
            </w:r>
          </w:p>
        </w:tc>
        <w:tc>
          <w:tcPr>
            <w:tcW w:w="2376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64DB59E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Betweenness Centrality</w:t>
            </w:r>
          </w:p>
        </w:tc>
      </w:tr>
      <w:tr w14:paraId="475B32F9">
        <w:tc>
          <w:tcPr>
            <w:tcW w:w="1216" w:type="dxa"/>
            <w:tcBorders>
              <w:top w:val="single" w:color="auto" w:sz="4" w:space="0"/>
              <w:bottom w:val="nil"/>
            </w:tcBorders>
          </w:tcPr>
          <w:p w14:paraId="6E3399E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Phase</w:t>
            </w:r>
          </w:p>
        </w:tc>
        <w:tc>
          <w:tcPr>
            <w:tcW w:w="1146" w:type="dxa"/>
            <w:tcBorders>
              <w:top w:val="single" w:color="auto" w:sz="4" w:space="0"/>
              <w:bottom w:val="nil"/>
            </w:tcBorders>
          </w:tcPr>
          <w:p w14:paraId="4CA4509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215" w:type="dxa"/>
            <w:tcBorders>
              <w:top w:val="single" w:color="auto" w:sz="4" w:space="0"/>
              <w:bottom w:val="nil"/>
            </w:tcBorders>
          </w:tcPr>
          <w:p w14:paraId="56B3AB1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2021–2024</w:t>
            </w:r>
          </w:p>
        </w:tc>
        <w:tc>
          <w:tcPr>
            <w:tcW w:w="1159" w:type="dxa"/>
            <w:tcBorders>
              <w:top w:val="single" w:color="auto" w:sz="4" w:space="0"/>
              <w:bottom w:val="nil"/>
            </w:tcBorders>
          </w:tcPr>
          <w:p w14:paraId="45B8223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194" w:type="dxa"/>
            <w:tcBorders>
              <w:top w:val="single" w:color="auto" w:sz="4" w:space="0"/>
              <w:bottom w:val="nil"/>
            </w:tcBorders>
          </w:tcPr>
          <w:p w14:paraId="440692E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2021–2024</w:t>
            </w:r>
          </w:p>
        </w:tc>
        <w:tc>
          <w:tcPr>
            <w:tcW w:w="1138" w:type="dxa"/>
            <w:tcBorders>
              <w:top w:val="single" w:color="auto" w:sz="4" w:space="0"/>
              <w:bottom w:val="nil"/>
            </w:tcBorders>
          </w:tcPr>
          <w:p w14:paraId="4B3E240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2016–2020</w:t>
            </w:r>
          </w:p>
        </w:tc>
        <w:tc>
          <w:tcPr>
            <w:tcW w:w="1238" w:type="dxa"/>
            <w:tcBorders>
              <w:top w:val="single" w:color="auto" w:sz="4" w:space="0"/>
              <w:bottom w:val="nil"/>
            </w:tcBorders>
          </w:tcPr>
          <w:p w14:paraId="29F8C2F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2021–2024</w:t>
            </w:r>
          </w:p>
        </w:tc>
      </w:tr>
      <w:tr w14:paraId="37B5B6B9">
        <w:tc>
          <w:tcPr>
            <w:tcW w:w="1216" w:type="dxa"/>
            <w:tcBorders>
              <w:top w:val="nil"/>
              <w:bottom w:val="nil"/>
            </w:tcBorders>
          </w:tcPr>
          <w:p w14:paraId="10BF66B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Government Agency</w:t>
            </w:r>
          </w:p>
        </w:tc>
        <w:tc>
          <w:tcPr>
            <w:tcW w:w="1146" w:type="dxa"/>
            <w:tcBorders>
              <w:top w:val="nil"/>
              <w:bottom w:val="nil"/>
            </w:tcBorders>
          </w:tcPr>
          <w:p w14:paraId="19D4D978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66.67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15A799A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59" w:type="dxa"/>
            <w:tcBorders>
              <w:top w:val="nil"/>
              <w:bottom w:val="nil"/>
            </w:tcBorders>
          </w:tcPr>
          <w:p w14:paraId="59BE52F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75</w:t>
            </w:r>
          </w:p>
        </w:tc>
        <w:tc>
          <w:tcPr>
            <w:tcW w:w="1194" w:type="dxa"/>
            <w:tcBorders>
              <w:top w:val="nil"/>
              <w:bottom w:val="nil"/>
            </w:tcBorders>
          </w:tcPr>
          <w:p w14:paraId="7581A98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14:paraId="0A511A5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646CA9A9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1E3383B4">
        <w:tc>
          <w:tcPr>
            <w:tcW w:w="1216" w:type="dxa"/>
            <w:tcBorders>
              <w:top w:val="nil"/>
            </w:tcBorders>
          </w:tcPr>
          <w:p w14:paraId="512FBA7C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Enterprise</w:t>
            </w:r>
          </w:p>
        </w:tc>
        <w:tc>
          <w:tcPr>
            <w:tcW w:w="1146" w:type="dxa"/>
            <w:tcBorders>
              <w:top w:val="nil"/>
            </w:tcBorders>
          </w:tcPr>
          <w:p w14:paraId="2F121AB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66.67</w:t>
            </w:r>
          </w:p>
        </w:tc>
        <w:tc>
          <w:tcPr>
            <w:tcW w:w="1215" w:type="dxa"/>
            <w:tcBorders>
              <w:top w:val="nil"/>
            </w:tcBorders>
          </w:tcPr>
          <w:p w14:paraId="6498898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59" w:type="dxa"/>
            <w:tcBorders>
              <w:top w:val="nil"/>
            </w:tcBorders>
          </w:tcPr>
          <w:p w14:paraId="4AE08A6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75</w:t>
            </w:r>
          </w:p>
        </w:tc>
        <w:tc>
          <w:tcPr>
            <w:tcW w:w="1194" w:type="dxa"/>
            <w:tcBorders>
              <w:top w:val="nil"/>
            </w:tcBorders>
          </w:tcPr>
          <w:p w14:paraId="2329ADF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38" w:type="dxa"/>
            <w:tcBorders>
              <w:top w:val="nil"/>
            </w:tcBorders>
          </w:tcPr>
          <w:p w14:paraId="11049B5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  <w:tc>
          <w:tcPr>
            <w:tcW w:w="1238" w:type="dxa"/>
            <w:tcBorders>
              <w:top w:val="nil"/>
            </w:tcBorders>
          </w:tcPr>
          <w:p w14:paraId="78C7A5E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37A19451">
        <w:tc>
          <w:tcPr>
            <w:tcW w:w="1216" w:type="dxa"/>
            <w:tcBorders>
              <w:bottom w:val="nil"/>
            </w:tcBorders>
          </w:tcPr>
          <w:p w14:paraId="395057A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University</w:t>
            </w:r>
          </w:p>
        </w:tc>
        <w:tc>
          <w:tcPr>
            <w:tcW w:w="1146" w:type="dxa"/>
            <w:tcBorders>
              <w:bottom w:val="nil"/>
            </w:tcBorders>
          </w:tcPr>
          <w:p w14:paraId="5A3F4B2D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215" w:type="dxa"/>
            <w:tcBorders>
              <w:bottom w:val="nil"/>
            </w:tcBorders>
          </w:tcPr>
          <w:p w14:paraId="4933EF5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59" w:type="dxa"/>
            <w:tcBorders>
              <w:bottom w:val="nil"/>
            </w:tcBorders>
          </w:tcPr>
          <w:p w14:paraId="6870B47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94" w:type="dxa"/>
            <w:tcBorders>
              <w:bottom w:val="nil"/>
            </w:tcBorders>
          </w:tcPr>
          <w:p w14:paraId="46C8225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38" w:type="dxa"/>
            <w:tcBorders>
              <w:bottom w:val="nil"/>
            </w:tcBorders>
          </w:tcPr>
          <w:p w14:paraId="06DAD0D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16.67</w:t>
            </w:r>
          </w:p>
        </w:tc>
        <w:tc>
          <w:tcPr>
            <w:tcW w:w="1238" w:type="dxa"/>
            <w:tcBorders>
              <w:bottom w:val="nil"/>
            </w:tcBorders>
          </w:tcPr>
          <w:p w14:paraId="138A31B4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  <w:tr w14:paraId="01B8576C">
        <w:tc>
          <w:tcPr>
            <w:tcW w:w="1216" w:type="dxa"/>
            <w:tcBorders>
              <w:top w:val="nil"/>
              <w:bottom w:val="single" w:color="auto" w:sz="8" w:space="0"/>
            </w:tcBorders>
          </w:tcPr>
          <w:p w14:paraId="4CC3BDA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Research Institution</w:t>
            </w:r>
          </w:p>
        </w:tc>
        <w:tc>
          <w:tcPr>
            <w:tcW w:w="1146" w:type="dxa"/>
            <w:tcBorders>
              <w:top w:val="nil"/>
              <w:bottom w:val="single" w:color="auto" w:sz="8" w:space="0"/>
            </w:tcBorders>
          </w:tcPr>
          <w:p w14:paraId="0C502596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215" w:type="dxa"/>
            <w:tcBorders>
              <w:top w:val="nil"/>
              <w:bottom w:val="single" w:color="auto" w:sz="8" w:space="0"/>
            </w:tcBorders>
          </w:tcPr>
          <w:p w14:paraId="79BEA482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59" w:type="dxa"/>
            <w:tcBorders>
              <w:top w:val="nil"/>
              <w:bottom w:val="single" w:color="auto" w:sz="8" w:space="0"/>
            </w:tcBorders>
          </w:tcPr>
          <w:p w14:paraId="21BA183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94" w:type="dxa"/>
            <w:tcBorders>
              <w:top w:val="nil"/>
              <w:bottom w:val="single" w:color="auto" w:sz="8" w:space="0"/>
            </w:tcBorders>
          </w:tcPr>
          <w:p w14:paraId="7B3F118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100.00</w:t>
            </w:r>
          </w:p>
        </w:tc>
        <w:tc>
          <w:tcPr>
            <w:tcW w:w="1138" w:type="dxa"/>
            <w:tcBorders>
              <w:top w:val="nil"/>
              <w:bottom w:val="single" w:color="auto" w:sz="8" w:space="0"/>
            </w:tcBorders>
          </w:tcPr>
          <w:p w14:paraId="3D8F4573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16.67</w:t>
            </w:r>
          </w:p>
        </w:tc>
        <w:tc>
          <w:tcPr>
            <w:tcW w:w="1238" w:type="dxa"/>
            <w:tcBorders>
              <w:top w:val="nil"/>
              <w:bottom w:val="single" w:color="auto" w:sz="8" w:space="0"/>
            </w:tcBorders>
          </w:tcPr>
          <w:p w14:paraId="3C68209F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</w:t>
            </w:r>
          </w:p>
        </w:tc>
      </w:tr>
    </w:tbl>
    <w:p w14:paraId="1C4FA861"/>
    <w:p w14:paraId="50F044CC">
      <w:pPr>
        <w:pStyle w:val="3"/>
        <w:jc w:val="center"/>
        <w:rPr>
          <w:rFonts w:ascii="Times New Roman" w:hAnsi="Times New Roman" w:eastAsia="宋体" w:cs="Times New Roman"/>
          <w:sz w:val="21"/>
          <w:szCs w:val="24"/>
        </w:rPr>
      </w:pPr>
      <w:bookmarkStart w:id="29" w:name="_Ref233128309"/>
      <w:r>
        <w:rPr>
          <w:rFonts w:ascii="Times New Roman" w:hAnsi="Times New Roman" w:eastAsia="宋体" w:cs="Times New Roman"/>
          <w:sz w:val="21"/>
          <w:szCs w:val="24"/>
        </w:rPr>
        <w:t>Table A</w:t>
      </w:r>
      <w:r>
        <w:rPr>
          <w:rFonts w:ascii="Times New Roman" w:hAnsi="Times New Roman" w:eastAsia="宋体" w:cs="Times New Roman"/>
          <w:sz w:val="21"/>
          <w:szCs w:val="24"/>
        </w:rPr>
        <w:fldChar w:fldCharType="begin"/>
      </w:r>
      <w:r>
        <w:rPr>
          <w:rFonts w:ascii="Times New Roman" w:hAnsi="Times New Roman" w:eastAsia="宋体" w:cs="Times New Roman"/>
          <w:sz w:val="21"/>
          <w:szCs w:val="24"/>
        </w:rPr>
        <w:instrText xml:space="preserve"> SEQ Table_A \* ARABIC </w:instrText>
      </w:r>
      <w:r>
        <w:rPr>
          <w:rFonts w:ascii="Times New Roman" w:hAnsi="Times New Roman" w:eastAsia="宋体" w:cs="Times New Roman"/>
          <w:sz w:val="21"/>
          <w:szCs w:val="24"/>
        </w:rPr>
        <w:fldChar w:fldCharType="separate"/>
      </w:r>
      <w:r>
        <w:rPr>
          <w:rFonts w:ascii="Times New Roman" w:hAnsi="Times New Roman" w:eastAsia="宋体" w:cs="Times New Roman"/>
          <w:sz w:val="21"/>
          <w:szCs w:val="24"/>
        </w:rPr>
        <w:t>23</w:t>
      </w:r>
      <w:r>
        <w:rPr>
          <w:rFonts w:ascii="Times New Roman" w:hAnsi="Times New Roman" w:eastAsia="宋体" w:cs="Times New Roman"/>
          <w:sz w:val="21"/>
          <w:szCs w:val="24"/>
        </w:rPr>
        <w:fldChar w:fldCharType="end"/>
      </w:r>
      <w:bookmarkEnd w:id="29"/>
      <w:r>
        <w:rPr>
          <w:rFonts w:hint="eastAsia" w:ascii="Times New Roman" w:hAnsi="Times New Roman" w:eastAsia="宋体" w:cs="Times New Roman"/>
          <w:sz w:val="21"/>
          <w:szCs w:val="24"/>
        </w:rPr>
        <w:t xml:space="preserve"> </w:t>
      </w:r>
      <w:r>
        <w:rPr>
          <w:rFonts w:ascii="Times New Roman" w:hAnsi="Times New Roman" w:eastAsia="宋体" w:cs="Times New Roman"/>
          <w:sz w:val="21"/>
          <w:szCs w:val="24"/>
        </w:rPr>
        <w:t>Results of QAP correlation analysis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743"/>
        <w:gridCol w:w="105"/>
        <w:gridCol w:w="1969"/>
        <w:gridCol w:w="2074"/>
      </w:tblGrid>
      <w:tr w14:paraId="3A54745A">
        <w:tc>
          <w:tcPr>
            <w:tcW w:w="2405" w:type="dxa"/>
            <w:tcBorders>
              <w:top w:val="single" w:color="auto" w:sz="8" w:space="0"/>
              <w:bottom w:val="single" w:color="auto" w:sz="4" w:space="0"/>
            </w:tcBorders>
          </w:tcPr>
          <w:p w14:paraId="433253B0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Variable pair</w:t>
            </w:r>
          </w:p>
        </w:tc>
        <w:tc>
          <w:tcPr>
            <w:tcW w:w="1848" w:type="dxa"/>
            <w:gridSpan w:val="2"/>
            <w:tcBorders>
              <w:top w:val="single" w:color="auto" w:sz="8" w:space="0"/>
              <w:bottom w:val="single" w:color="auto" w:sz="4" w:space="0"/>
            </w:tcBorders>
          </w:tcPr>
          <w:p w14:paraId="7CC153E3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Pearson correlation coefficient</w:t>
            </w:r>
          </w:p>
        </w:tc>
        <w:tc>
          <w:tcPr>
            <w:tcW w:w="1969" w:type="dxa"/>
            <w:tcBorders>
              <w:top w:val="single" w:color="auto" w:sz="8" w:space="0"/>
              <w:bottom w:val="single" w:color="auto" w:sz="4" w:space="0"/>
            </w:tcBorders>
          </w:tcPr>
          <w:p w14:paraId="1FBC1A36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QAP correlation coefficient</w:t>
            </w:r>
          </w:p>
        </w:tc>
        <w:tc>
          <w:tcPr>
            <w:tcW w:w="2074" w:type="dxa"/>
            <w:tcBorders>
              <w:top w:val="single" w:color="auto" w:sz="8" w:space="0"/>
              <w:bottom w:val="single" w:color="auto" w:sz="4" w:space="0"/>
            </w:tcBorders>
          </w:tcPr>
          <w:p w14:paraId="0E464F14">
            <w:pPr>
              <w:jc w:val="center"/>
              <w:rPr>
                <w:b/>
                <w:bCs/>
                <w:kern w:val="0"/>
                <w:sz w:val="20"/>
                <w:szCs w:val="21"/>
              </w:rPr>
            </w:pPr>
            <w:r>
              <w:rPr>
                <w:b/>
                <w:bCs/>
                <w:kern w:val="0"/>
                <w:sz w:val="20"/>
                <w:szCs w:val="21"/>
              </w:rPr>
              <w:t>Significance (p-value)</w:t>
            </w:r>
          </w:p>
        </w:tc>
      </w:tr>
      <w:tr w14:paraId="633EA4A8">
        <w:tc>
          <w:tcPr>
            <w:tcW w:w="2405" w:type="dxa"/>
            <w:tcBorders>
              <w:top w:val="single" w:color="auto" w:sz="4" w:space="0"/>
            </w:tcBorders>
          </w:tcPr>
          <w:p w14:paraId="5500827A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Applicant collaboration &amp; Geographical proximity matrix</w:t>
            </w:r>
          </w:p>
        </w:tc>
        <w:tc>
          <w:tcPr>
            <w:tcW w:w="1743" w:type="dxa"/>
            <w:tcBorders>
              <w:top w:val="single" w:color="auto" w:sz="4" w:space="0"/>
            </w:tcBorders>
          </w:tcPr>
          <w:p w14:paraId="0F9A5DBC">
            <w:pPr>
              <w:jc w:val="center"/>
              <w:rPr>
                <w:kern w:val="0"/>
                <w:sz w:val="20"/>
                <w:szCs w:val="21"/>
                <w:vertAlign w:val="superscript"/>
              </w:rPr>
            </w:pPr>
            <w:r>
              <w:rPr>
                <w:kern w:val="0"/>
                <w:sz w:val="20"/>
                <w:szCs w:val="21"/>
              </w:rPr>
              <w:t>0.069</w:t>
            </w:r>
            <w:r>
              <w:rPr>
                <w:kern w:val="0"/>
                <w:sz w:val="20"/>
                <w:szCs w:val="21"/>
                <w:vertAlign w:val="superscript"/>
              </w:rPr>
              <w:t>***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</w:tcBorders>
          </w:tcPr>
          <w:p w14:paraId="300ABFDA">
            <w:pPr>
              <w:jc w:val="center"/>
              <w:rPr>
                <w:kern w:val="0"/>
                <w:sz w:val="20"/>
                <w:szCs w:val="21"/>
                <w:vertAlign w:val="superscript"/>
              </w:rPr>
            </w:pPr>
            <w:r>
              <w:rPr>
                <w:kern w:val="0"/>
                <w:sz w:val="20"/>
                <w:szCs w:val="21"/>
              </w:rPr>
              <w:t>0.07</w:t>
            </w:r>
            <w:r>
              <w:rPr>
                <w:kern w:val="0"/>
                <w:sz w:val="20"/>
                <w:szCs w:val="21"/>
                <w:vertAlign w:val="superscript"/>
              </w:rPr>
              <w:t>***</w:t>
            </w:r>
          </w:p>
        </w:tc>
        <w:tc>
          <w:tcPr>
            <w:tcW w:w="2074" w:type="dxa"/>
            <w:tcBorders>
              <w:top w:val="single" w:color="auto" w:sz="4" w:space="0"/>
            </w:tcBorders>
          </w:tcPr>
          <w:p w14:paraId="276EDDC5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0.000</w:t>
            </w:r>
          </w:p>
        </w:tc>
      </w:tr>
      <w:tr w14:paraId="6B0795DA">
        <w:tc>
          <w:tcPr>
            <w:tcW w:w="2405" w:type="dxa"/>
            <w:tcBorders>
              <w:top w:val="nil"/>
              <w:bottom w:val="single" w:color="auto" w:sz="8" w:space="0"/>
            </w:tcBorders>
          </w:tcPr>
          <w:p w14:paraId="753FB5EB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Applicant collaboration &amp; technological collaboration</w:t>
            </w:r>
          </w:p>
        </w:tc>
        <w:tc>
          <w:tcPr>
            <w:tcW w:w="1743" w:type="dxa"/>
            <w:tcBorders>
              <w:top w:val="nil"/>
              <w:bottom w:val="single" w:color="auto" w:sz="8" w:space="0"/>
            </w:tcBorders>
          </w:tcPr>
          <w:p w14:paraId="2832E000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0.023</w:t>
            </w:r>
            <w:r>
              <w:rPr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74" w:type="dxa"/>
            <w:gridSpan w:val="2"/>
            <w:tcBorders>
              <w:top w:val="nil"/>
              <w:bottom w:val="single" w:color="auto" w:sz="8" w:space="0"/>
            </w:tcBorders>
          </w:tcPr>
          <w:p w14:paraId="42C81B91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0.02</w:t>
            </w:r>
            <w:r>
              <w:rPr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2074" w:type="dxa"/>
            <w:tcBorders>
              <w:top w:val="nil"/>
              <w:bottom w:val="single" w:color="auto" w:sz="8" w:space="0"/>
            </w:tcBorders>
          </w:tcPr>
          <w:p w14:paraId="11D6730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0.001</w:t>
            </w:r>
          </w:p>
        </w:tc>
      </w:tr>
    </w:tbl>
    <w:p w14:paraId="1D0CC2E2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Note: 1 *** p &lt; 0.001，** p &lt; 0.01，* p &lt; 0.05。2 Number of permutations = 5000.</w:t>
      </w:r>
    </w:p>
    <w:p w14:paraId="62903ABE"/>
    <w:p w14:paraId="15BF0A4D">
      <w:pPr>
        <w:pStyle w:val="3"/>
        <w:jc w:val="center"/>
        <w:rPr>
          <w:rFonts w:ascii="Times New Roman" w:hAnsi="Times New Roman" w:eastAsia="宋体" w:cs="Times New Roman"/>
          <w:sz w:val="21"/>
          <w:szCs w:val="24"/>
        </w:rPr>
      </w:pPr>
      <w:bookmarkStart w:id="30" w:name="_Ref233128322"/>
      <w:r>
        <w:rPr>
          <w:rFonts w:ascii="Times New Roman" w:hAnsi="Times New Roman" w:eastAsia="宋体" w:cs="Times New Roman"/>
          <w:sz w:val="21"/>
          <w:szCs w:val="24"/>
        </w:rPr>
        <w:t>Table A</w:t>
      </w:r>
      <w:r>
        <w:rPr>
          <w:rFonts w:ascii="Times New Roman" w:hAnsi="Times New Roman" w:eastAsia="宋体" w:cs="Times New Roman"/>
          <w:sz w:val="21"/>
          <w:szCs w:val="24"/>
        </w:rPr>
        <w:fldChar w:fldCharType="begin"/>
      </w:r>
      <w:r>
        <w:rPr>
          <w:rFonts w:ascii="Times New Roman" w:hAnsi="Times New Roman" w:eastAsia="宋体" w:cs="Times New Roman"/>
          <w:sz w:val="21"/>
          <w:szCs w:val="24"/>
        </w:rPr>
        <w:instrText xml:space="preserve"> SEQ Table_A \* ARABIC </w:instrText>
      </w:r>
      <w:r>
        <w:rPr>
          <w:rFonts w:ascii="Times New Roman" w:hAnsi="Times New Roman" w:eastAsia="宋体" w:cs="Times New Roman"/>
          <w:sz w:val="21"/>
          <w:szCs w:val="24"/>
        </w:rPr>
        <w:fldChar w:fldCharType="separate"/>
      </w:r>
      <w:r>
        <w:rPr>
          <w:rFonts w:ascii="Times New Roman" w:hAnsi="Times New Roman" w:eastAsia="宋体" w:cs="Times New Roman"/>
          <w:sz w:val="21"/>
          <w:szCs w:val="24"/>
        </w:rPr>
        <w:t>24</w:t>
      </w:r>
      <w:r>
        <w:rPr>
          <w:rFonts w:ascii="Times New Roman" w:hAnsi="Times New Roman" w:eastAsia="宋体" w:cs="Times New Roman"/>
          <w:sz w:val="21"/>
          <w:szCs w:val="24"/>
        </w:rPr>
        <w:fldChar w:fldCharType="end"/>
      </w:r>
      <w:bookmarkEnd w:id="30"/>
      <w:r>
        <w:rPr>
          <w:rFonts w:ascii="Times New Roman" w:hAnsi="Times New Roman" w:eastAsia="宋体" w:cs="Times New Roman"/>
          <w:sz w:val="21"/>
          <w:szCs w:val="24"/>
        </w:rPr>
        <w:t xml:space="preserve"> Results of QAP regression analysis</w:t>
      </w:r>
    </w:p>
    <w:tbl>
      <w:tblPr>
        <w:tblStyle w:val="7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583"/>
        <w:gridCol w:w="1373"/>
        <w:gridCol w:w="1323"/>
        <w:gridCol w:w="1284"/>
        <w:gridCol w:w="1308"/>
      </w:tblGrid>
      <w:tr w14:paraId="67642650">
        <w:tc>
          <w:tcPr>
            <w:tcW w:w="146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247CA12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1"/>
              </w:rPr>
              <w:t>Independent variable</w:t>
            </w:r>
          </w:p>
        </w:tc>
        <w:tc>
          <w:tcPr>
            <w:tcW w:w="158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5C3F494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1"/>
              </w:rPr>
              <w:t>Unstandardized coefficient</w:t>
            </w:r>
          </w:p>
        </w:tc>
        <w:tc>
          <w:tcPr>
            <w:tcW w:w="137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2EC240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1"/>
              </w:rPr>
              <w:t>Standardized coefficient</w:t>
            </w:r>
          </w:p>
        </w:tc>
        <w:tc>
          <w:tcPr>
            <w:tcW w:w="132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382E1F1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1"/>
              </w:rPr>
              <w:t>Significance</w:t>
            </w:r>
          </w:p>
        </w:tc>
        <w:tc>
          <w:tcPr>
            <w:tcW w:w="128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5C6AADD0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1"/>
              </w:rPr>
              <w:t>Proportion ≥ current value</w:t>
            </w:r>
          </w:p>
        </w:tc>
        <w:tc>
          <w:tcPr>
            <w:tcW w:w="130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39ADED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1"/>
              </w:rPr>
              <w:t>Proportion ≤ current value</w:t>
            </w:r>
          </w:p>
        </w:tc>
      </w:tr>
      <w:tr w14:paraId="3B16CDDC"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1EB21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Constant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CA2ECD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0.002772</w:t>
            </w:r>
          </w:p>
        </w:tc>
        <w:tc>
          <w:tcPr>
            <w:tcW w:w="137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1645E0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0.000000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2770FC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—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CA5F13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—</w:t>
            </w:r>
          </w:p>
        </w:tc>
        <w:tc>
          <w:tcPr>
            <w:tcW w:w="130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24427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</w:rPr>
              <w:t>—</w:t>
            </w:r>
          </w:p>
        </w:tc>
      </w:tr>
      <w:tr w14:paraId="16559355"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74E449B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Geographical proximity matrix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74ECAE5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0.012927</w:t>
            </w:r>
            <w:r>
              <w:rPr>
                <w:color w:val="000000"/>
                <w:kern w:val="0"/>
                <w:sz w:val="20"/>
                <w:szCs w:val="21"/>
                <w:vertAlign w:val="superscript"/>
              </w:rPr>
              <w:t>***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36E86C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0.068792</w:t>
            </w:r>
            <w:r>
              <w:rPr>
                <w:color w:val="000000"/>
                <w:kern w:val="0"/>
                <w:sz w:val="20"/>
                <w:szCs w:val="21"/>
                <w:vertAlign w:val="superscript"/>
              </w:rPr>
              <w:t>***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0D97A6A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0DE0E59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7D520BC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1.000</w:t>
            </w:r>
          </w:p>
        </w:tc>
      </w:tr>
      <w:tr w14:paraId="3EA19E30"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6C01DED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Technological proximity matrix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14:paraId="1ECF02C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0.019634</w:t>
            </w:r>
            <w:r>
              <w:rPr>
                <w:color w:val="000000"/>
                <w:kern w:val="0"/>
                <w:sz w:val="20"/>
                <w:szCs w:val="21"/>
                <w:vertAlign w:val="superscript"/>
              </w:rPr>
              <w:t>**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06AB2F8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0.022189</w:t>
            </w:r>
            <w:r>
              <w:rPr>
                <w:color w:val="000000"/>
                <w:kern w:val="0"/>
                <w:sz w:val="20"/>
                <w:szCs w:val="21"/>
                <w:vertAlign w:val="superscript"/>
              </w:rPr>
              <w:t>**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14:paraId="704B9C6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14:paraId="1FBBB1AD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E9BEB5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0.999</w:t>
            </w:r>
          </w:p>
        </w:tc>
      </w:tr>
      <w:tr w14:paraId="46EB5B2A"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2CBC11B8">
            <w:pPr>
              <w:widowControl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Adjusted</w:t>
            </w:r>
            <w:r>
              <w:rPr>
                <w:i/>
                <w:iCs/>
                <w:color w:val="000000"/>
                <w:kern w:val="0"/>
                <w:sz w:val="20"/>
                <w:szCs w:val="21"/>
              </w:rPr>
              <w:t xml:space="preserve"> R</w:t>
            </w:r>
            <w:r>
              <w:rPr>
                <w:color w:val="000000"/>
                <w:kern w:val="0"/>
                <w:sz w:val="20"/>
                <w:szCs w:val="21"/>
                <w:vertAlign w:val="superscript"/>
              </w:rPr>
              <w:t>2</w:t>
            </w: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6B41DE4">
            <w:pPr>
              <w:widowControl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0.005</w:t>
            </w:r>
          </w:p>
        </w:tc>
      </w:tr>
      <w:tr w14:paraId="71A8D082"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DFF0365">
            <w:pPr>
              <w:widowControl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Model significance</w:t>
            </w:r>
          </w:p>
        </w:tc>
        <w:tc>
          <w:tcPr>
            <w:tcW w:w="6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B9CAE1">
            <w:pPr>
              <w:widowControl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0.000</w:t>
            </w:r>
            <w:r>
              <w:rPr>
                <w:color w:val="000000"/>
                <w:kern w:val="0"/>
                <w:sz w:val="20"/>
                <w:szCs w:val="21"/>
                <w:vertAlign w:val="superscript"/>
              </w:rPr>
              <w:t>***</w:t>
            </w:r>
          </w:p>
        </w:tc>
      </w:tr>
      <w:tr w14:paraId="44F3D6B0"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7E073AEF">
            <w:pPr>
              <w:widowControl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Number of observations</w:t>
            </w:r>
          </w:p>
        </w:tc>
        <w:tc>
          <w:tcPr>
            <w:tcW w:w="687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B227BCB">
            <w:pPr>
              <w:widowControl/>
              <w:jc w:val="center"/>
              <w:rPr>
                <w:color w:val="000000"/>
                <w:kern w:val="0"/>
                <w:sz w:val="20"/>
                <w:szCs w:val="21"/>
              </w:rPr>
            </w:pPr>
            <w:r>
              <w:rPr>
                <w:color w:val="000000"/>
                <w:kern w:val="0"/>
                <w:sz w:val="20"/>
                <w:szCs w:val="21"/>
              </w:rPr>
              <w:t>45156</w:t>
            </w:r>
          </w:p>
        </w:tc>
      </w:tr>
    </w:tbl>
    <w:p w14:paraId="47015719">
      <w:pPr>
        <w:widowControl/>
        <w:spacing w:line="360" w:lineRule="auto"/>
        <w:jc w:val="left"/>
        <w:rPr>
          <w:sz w:val="18"/>
          <w:szCs w:val="18"/>
        </w:rPr>
      </w:pPr>
      <w:r>
        <w:rPr>
          <w:sz w:val="18"/>
          <w:szCs w:val="18"/>
        </w:rPr>
        <w:t>Note: 1 *** p &lt; 0.001，** p &lt; 0.01，* p &lt; 0.05。2 Number of permutations = 5000.</w:t>
      </w:r>
    </w:p>
    <w:p w14:paraId="428E3FE0"/>
    <w:p w14:paraId="7F85C708">
      <w:pPr>
        <w:pStyle w:val="3"/>
        <w:keepNext/>
        <w:jc w:val="center"/>
        <w:rPr>
          <w:rFonts w:ascii="Times New Roman" w:hAnsi="Times New Roman" w:cs="Times New Roman"/>
          <w:sz w:val="21"/>
          <w:szCs w:val="21"/>
        </w:rPr>
      </w:pPr>
      <w:bookmarkStart w:id="31" w:name="_Ref233128383"/>
      <w:r>
        <w:rPr>
          <w:rFonts w:ascii="Times New Roman" w:hAnsi="Times New Roman" w:cs="Times New Roman"/>
          <w:sz w:val="21"/>
          <w:szCs w:val="21"/>
        </w:rPr>
        <w:t>Table A</w:t>
      </w:r>
      <w:r>
        <w:rPr>
          <w:rFonts w:ascii="Times New Roman" w:hAnsi="Times New Roman" w:cs="Times New Roman"/>
          <w:sz w:val="21"/>
          <w:szCs w:val="21"/>
        </w:rPr>
        <w:fldChar w:fldCharType="begin"/>
      </w:r>
      <w:r>
        <w:rPr>
          <w:rFonts w:ascii="Times New Roman" w:hAnsi="Times New Roman" w:cs="Times New Roman"/>
          <w:sz w:val="21"/>
          <w:szCs w:val="21"/>
        </w:rPr>
        <w:instrText xml:space="preserve"> SEQ Table_A \* ARABIC </w:instrText>
      </w:r>
      <w:r>
        <w:rPr>
          <w:rFonts w:ascii="Times New Roman" w:hAnsi="Times New Roman" w:cs="Times New Roman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sz w:val="21"/>
          <w:szCs w:val="21"/>
        </w:rPr>
        <w:t>25</w:t>
      </w:r>
      <w:r>
        <w:rPr>
          <w:rFonts w:ascii="Times New Roman" w:hAnsi="Times New Roman" w:cs="Times New Roman"/>
          <w:sz w:val="21"/>
          <w:szCs w:val="21"/>
        </w:rPr>
        <w:fldChar w:fldCharType="end"/>
      </w:r>
      <w:bookmarkEnd w:id="31"/>
      <w:r>
        <w:rPr>
          <w:rFonts w:ascii="Times New Roman" w:hAnsi="Times New Roman" w:cs="Times New Roman"/>
          <w:sz w:val="21"/>
          <w:szCs w:val="21"/>
        </w:rPr>
        <w:t xml:space="preserve"> Core IPC categories and definitions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 w14:paraId="256694FB">
        <w:tc>
          <w:tcPr>
            <w:tcW w:w="2689" w:type="dxa"/>
            <w:tcBorders>
              <w:top w:val="single" w:color="auto" w:sz="8" w:space="0"/>
              <w:bottom w:val="single" w:color="auto" w:sz="4" w:space="0"/>
            </w:tcBorders>
          </w:tcPr>
          <w:p w14:paraId="5821280D">
            <w:pPr>
              <w:keepNext/>
              <w:tabs>
                <w:tab w:val="left" w:pos="748"/>
                <w:tab w:val="center" w:pos="1236"/>
              </w:tabs>
              <w:jc w:val="left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ab/>
            </w:r>
            <w:r>
              <w:rPr>
                <w:b/>
                <w:bCs/>
                <w:kern w:val="0"/>
                <w:sz w:val="20"/>
              </w:rPr>
              <w:tab/>
            </w:r>
            <w:r>
              <w:rPr>
                <w:b/>
                <w:bCs/>
                <w:kern w:val="0"/>
                <w:sz w:val="20"/>
              </w:rPr>
              <w:t>IPC code</w:t>
            </w:r>
          </w:p>
        </w:tc>
        <w:tc>
          <w:tcPr>
            <w:tcW w:w="5607" w:type="dxa"/>
            <w:tcBorders>
              <w:top w:val="single" w:color="auto" w:sz="8" w:space="0"/>
              <w:bottom w:val="single" w:color="auto" w:sz="4" w:space="0"/>
            </w:tcBorders>
          </w:tcPr>
          <w:p w14:paraId="0B0A4E32">
            <w:pPr>
              <w:keepNext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Definition</w:t>
            </w:r>
          </w:p>
        </w:tc>
      </w:tr>
      <w:tr w14:paraId="7261C5F8">
        <w:tc>
          <w:tcPr>
            <w:tcW w:w="2689" w:type="dxa"/>
            <w:tcBorders>
              <w:top w:val="single" w:color="auto" w:sz="4" w:space="0"/>
              <w:bottom w:val="nil"/>
            </w:tcBorders>
          </w:tcPr>
          <w:p w14:paraId="6B6E193A">
            <w:bookmarkStart w:id="32" w:name="OLE_LINK32"/>
            <w:r>
              <w:t>A23L33/00</w:t>
            </w:r>
            <w:bookmarkEnd w:id="32"/>
          </w:p>
        </w:tc>
        <w:tc>
          <w:tcPr>
            <w:tcW w:w="5607" w:type="dxa"/>
            <w:tcBorders>
              <w:top w:val="single" w:color="auto" w:sz="4" w:space="0"/>
              <w:bottom w:val="nil"/>
            </w:tcBorders>
          </w:tcPr>
          <w:p w14:paraId="79CAC12D">
            <w:r>
              <w:t>Modifying nutritive qualities of </w:t>
            </w:r>
            <w:r>
              <w:fldChar w:fldCharType="begin"/>
            </w:r>
            <w:r>
              <w:instrText xml:space="preserve"> HYPERLINK "https://www.wipo.int/classifications/ipc/en/ITsupport/Version20170101/transformations/ipc/20170101/en/htm/A23L.htm" \l "70" </w:instrText>
            </w:r>
            <w:r>
              <w:fldChar w:fldCharType="separate"/>
            </w:r>
            <w:r>
              <w:t>foods</w:t>
            </w:r>
            <w:r>
              <w:fldChar w:fldCharType="end"/>
            </w:r>
            <w:r>
              <w:t>; Dietetic products; </w:t>
            </w:r>
            <w:r>
              <w:fldChar w:fldCharType="begin"/>
            </w:r>
            <w:r>
              <w:instrText xml:space="preserve"> HYPERLINK "https://www.wipo.int/classifications/ipc/en/ITsupport/Version20170101/transformations/ipc/20170101/en/htm/A23L.htm" \l "1549" </w:instrText>
            </w:r>
            <w:r>
              <w:fldChar w:fldCharType="separate"/>
            </w:r>
            <w:r>
              <w:t>Preparation</w:t>
            </w:r>
            <w:r>
              <w:fldChar w:fldCharType="end"/>
            </w:r>
            <w:r>
              <w:t> or </w:t>
            </w:r>
            <w:r>
              <w:fldChar w:fldCharType="begin"/>
            </w:r>
            <w:r>
              <w:instrText xml:space="preserve"> HYPERLINK "https://www.wipo.int/classifications/ipc/en/ITsupport/Version20170101/transformations/ipc/20170101/en/htm/A23L.htm" \l "1544" </w:instrText>
            </w:r>
            <w:r>
              <w:fldChar w:fldCharType="separate"/>
            </w:r>
            <w:r>
              <w:t>treatment</w:t>
            </w:r>
            <w:r>
              <w:fldChar w:fldCharType="end"/>
            </w:r>
            <w:r>
              <w:t> thereof</w:t>
            </w:r>
          </w:p>
        </w:tc>
      </w:tr>
      <w:tr w14:paraId="4F42BCB8">
        <w:tc>
          <w:tcPr>
            <w:tcW w:w="2689" w:type="dxa"/>
            <w:tcBorders>
              <w:top w:val="nil"/>
            </w:tcBorders>
          </w:tcPr>
          <w:p w14:paraId="2BF4A738">
            <w:r>
              <w:t>A23L33/105</w:t>
            </w:r>
          </w:p>
        </w:tc>
        <w:tc>
          <w:tcPr>
            <w:tcW w:w="5607" w:type="dxa"/>
            <w:tcBorders>
              <w:top w:val="nil"/>
            </w:tcBorders>
          </w:tcPr>
          <w:p w14:paraId="63BFC703">
            <w:r>
              <w:fldChar w:fldCharType="begin"/>
            </w:r>
            <w:r>
              <w:instrText xml:space="preserve"> HYPERLINK "https://www.wipo.int/classifications/ipc/en/ITsupport/Version20170101/transformations/ipc/20170101/en/htm/A23L.htm" \l "3548" </w:instrText>
            </w:r>
            <w:r>
              <w:fldChar w:fldCharType="separate"/>
            </w:r>
            <w:r>
              <w:t>Plant</w:t>
            </w:r>
            <w:r>
              <w:fldChar w:fldCharType="end"/>
            </w:r>
            <w:r>
              <w:t> extracts, their artificial duplicates or their derivatives</w:t>
            </w:r>
          </w:p>
        </w:tc>
      </w:tr>
      <w:tr w14:paraId="1DB3F6CF">
        <w:tc>
          <w:tcPr>
            <w:tcW w:w="2689" w:type="dxa"/>
          </w:tcPr>
          <w:p w14:paraId="4E4EB7A2">
            <w:r>
              <w:t>A23K10/30</w:t>
            </w:r>
          </w:p>
        </w:tc>
        <w:tc>
          <w:tcPr>
            <w:tcW w:w="5607" w:type="dxa"/>
          </w:tcPr>
          <w:p w14:paraId="3CE7A50F">
            <w:r>
              <w:t>from </w:t>
            </w:r>
            <w:r>
              <w:fldChar w:fldCharType="begin"/>
            </w:r>
            <w:r>
              <w:instrText xml:space="preserve"> HYPERLINK "https://www.wipo.int/classifications/ipc/en/ITsupport/Version20190101/transformations/ipc/20190101/en/htm/A23K.htm" \l "1539" </w:instrText>
            </w:r>
            <w:r>
              <w:fldChar w:fldCharType="separate"/>
            </w:r>
            <w:r>
              <w:t>material</w:t>
            </w:r>
            <w:r>
              <w:fldChar w:fldCharType="end"/>
            </w:r>
            <w:r>
              <w:t> of </w:t>
            </w:r>
            <w:r>
              <w:fldChar w:fldCharType="begin"/>
            </w:r>
            <w:r>
              <w:instrText xml:space="preserve"> HYPERLINK "https://www.wipo.int/classifications/ipc/en/ITsupport/Version20190101/transformations/ipc/20190101/en/htm/A23K.htm" \l "3548" </w:instrText>
            </w:r>
            <w:r>
              <w:fldChar w:fldCharType="separate"/>
            </w:r>
            <w:r>
              <w:t>plant</w:t>
            </w:r>
            <w:r>
              <w:fldChar w:fldCharType="end"/>
            </w:r>
            <w:r>
              <w:t> origin, e.g. roots, seeds or hay; from </w:t>
            </w:r>
            <w:r>
              <w:fldChar w:fldCharType="begin"/>
            </w:r>
            <w:r>
              <w:instrText xml:space="preserve"> HYPERLINK "https://www.wipo.int/classifications/ipc/en/ITsupport/Version20190101/transformations/ipc/20190101/en/htm/A23K.htm" \l "1539" </w:instrText>
            </w:r>
            <w:r>
              <w:fldChar w:fldCharType="separate"/>
            </w:r>
            <w:r>
              <w:t>material</w:t>
            </w:r>
            <w:r>
              <w:fldChar w:fldCharType="end"/>
            </w:r>
            <w:r>
              <w:t> of fungal origin, e.g. mushrooms  enzymes,</w:t>
            </w:r>
          </w:p>
        </w:tc>
      </w:tr>
      <w:tr w14:paraId="2C37CA54">
        <w:tc>
          <w:tcPr>
            <w:tcW w:w="2689" w:type="dxa"/>
          </w:tcPr>
          <w:p w14:paraId="1C102C2F">
            <w:r>
              <w:t>A23K20/174</w:t>
            </w:r>
          </w:p>
        </w:tc>
        <w:tc>
          <w:tcPr>
            <w:tcW w:w="5607" w:type="dxa"/>
          </w:tcPr>
          <w:p w14:paraId="337BB767">
            <w:r>
              <w:t>Vitamins</w:t>
            </w:r>
          </w:p>
        </w:tc>
      </w:tr>
      <w:tr w14:paraId="2A230177">
        <w:tc>
          <w:tcPr>
            <w:tcW w:w="2689" w:type="dxa"/>
          </w:tcPr>
          <w:p w14:paraId="7359BF2C">
            <w:r>
              <w:t>A61K8/9789</w:t>
            </w:r>
          </w:p>
        </w:tc>
        <w:tc>
          <w:tcPr>
            <w:tcW w:w="5607" w:type="dxa"/>
          </w:tcPr>
          <w:p w14:paraId="5507DFD6">
            <w:r>
              <w:t>Magnoliopsida [dicotyledons]</w:t>
            </w:r>
          </w:p>
        </w:tc>
      </w:tr>
      <w:tr w14:paraId="532E3F9B">
        <w:tc>
          <w:tcPr>
            <w:tcW w:w="2689" w:type="dxa"/>
          </w:tcPr>
          <w:p w14:paraId="1BFBFB37">
            <w:r>
              <w:t>A61K36/752</w:t>
            </w:r>
          </w:p>
        </w:tc>
        <w:tc>
          <w:tcPr>
            <w:tcW w:w="5607" w:type="dxa"/>
          </w:tcPr>
          <w:p w14:paraId="2CE11D50">
            <w:r>
              <w:t>Citrus, e.g. lime, orange or lemon</w:t>
            </w:r>
          </w:p>
        </w:tc>
      </w:tr>
      <w:tr w14:paraId="02EB8BB9">
        <w:tc>
          <w:tcPr>
            <w:tcW w:w="2689" w:type="dxa"/>
          </w:tcPr>
          <w:p w14:paraId="304B0A55">
            <w:r>
              <w:t>A61K47/10</w:t>
            </w:r>
          </w:p>
        </w:tc>
        <w:tc>
          <w:tcPr>
            <w:tcW w:w="5607" w:type="dxa"/>
          </w:tcPr>
          <w:p w14:paraId="49D81D5E">
            <w:r>
              <w:t>Alcohols; Phenols; Salts thereof, e.g. glycerol; Polyethylene glycols [PEG]; Poloxamers; PEG/POE alkyl ethers</w:t>
            </w:r>
          </w:p>
        </w:tc>
      </w:tr>
      <w:tr w14:paraId="2859AA3D">
        <w:tc>
          <w:tcPr>
            <w:tcW w:w="2689" w:type="dxa"/>
          </w:tcPr>
          <w:p w14:paraId="215BF341">
            <w:r>
              <w:t>A61K131/00</w:t>
            </w:r>
          </w:p>
        </w:tc>
        <w:tc>
          <w:tcPr>
            <w:tcW w:w="5607" w:type="dxa"/>
          </w:tcPr>
          <w:p w14:paraId="5F8FBD2F">
            <w:r>
              <w:t>Containing or obtained from seeds, nuts, fruits or grains</w:t>
            </w:r>
          </w:p>
        </w:tc>
      </w:tr>
      <w:tr w14:paraId="65583DD0">
        <w:tc>
          <w:tcPr>
            <w:tcW w:w="2689" w:type="dxa"/>
          </w:tcPr>
          <w:p w14:paraId="12E4AACC">
            <w:r>
              <w:t>A61P1/00</w:t>
            </w:r>
          </w:p>
        </w:tc>
        <w:tc>
          <w:tcPr>
            <w:tcW w:w="5607" w:type="dxa"/>
          </w:tcPr>
          <w:p w14:paraId="69791645">
            <w:r>
              <w:fldChar w:fldCharType="begin"/>
            </w:r>
            <w:r>
              <w:instrText xml:space="preserve"> HYPERLINK "https://www.wipo.int/classifications/ipc/en/ITsupport/Version20180101/transformations/ipc/20180101/en/htm/A61P.htm" \l "145" </w:instrText>
            </w:r>
            <w:r>
              <w:fldChar w:fldCharType="separate"/>
            </w:r>
            <w:r>
              <w:t>Drugs</w:t>
            </w:r>
            <w:r>
              <w:fldChar w:fldCharType="end"/>
            </w:r>
            <w:r>
              <w:t> for disorders of the alimentary tract or the digestive system</w:t>
            </w:r>
          </w:p>
        </w:tc>
      </w:tr>
      <w:tr w14:paraId="4F15BE7B">
        <w:tc>
          <w:tcPr>
            <w:tcW w:w="2689" w:type="dxa"/>
          </w:tcPr>
          <w:p w14:paraId="05485239">
            <w:r>
              <w:t>A61P1/16</w:t>
            </w:r>
          </w:p>
        </w:tc>
        <w:tc>
          <w:tcPr>
            <w:tcW w:w="5607" w:type="dxa"/>
          </w:tcPr>
          <w:p w14:paraId="4286F946">
            <w:r>
              <w:t>for liver or gallbladder disorders, e.g. hepatoprotective agents, cholagogues, litholytics </w:t>
            </w:r>
          </w:p>
        </w:tc>
      </w:tr>
      <w:tr w14:paraId="23357BA4">
        <w:tc>
          <w:tcPr>
            <w:tcW w:w="2689" w:type="dxa"/>
          </w:tcPr>
          <w:p w14:paraId="10395C8A">
            <w:r>
              <w:t>A61P11/00</w:t>
            </w:r>
          </w:p>
        </w:tc>
        <w:tc>
          <w:tcPr>
            <w:tcW w:w="5607" w:type="dxa"/>
          </w:tcPr>
          <w:p w14:paraId="039FC42C">
            <w:r>
              <w:fldChar w:fldCharType="begin"/>
            </w:r>
            <w:r>
              <w:instrText xml:space="preserve"> HYPERLINK "https://www.wipo.int/classifications/ipc/en/ITsupport/Version20180101/transformations/ipc/20180101/en/htm/A61P.htm" \l "145" </w:instrText>
            </w:r>
            <w:r>
              <w:fldChar w:fldCharType="separate"/>
            </w:r>
            <w:r>
              <w:t>Drugs</w:t>
            </w:r>
            <w:r>
              <w:fldChar w:fldCharType="end"/>
            </w:r>
            <w:r>
              <w:t> for disorders of the respiratory system</w:t>
            </w:r>
          </w:p>
        </w:tc>
      </w:tr>
      <w:tr w14:paraId="3FDAEE90">
        <w:tc>
          <w:tcPr>
            <w:tcW w:w="2689" w:type="dxa"/>
          </w:tcPr>
          <w:p w14:paraId="55D50A22">
            <w:r>
              <w:t>A61P29/00</w:t>
            </w:r>
          </w:p>
        </w:tc>
        <w:tc>
          <w:tcPr>
            <w:tcW w:w="5607" w:type="dxa"/>
          </w:tcPr>
          <w:p w14:paraId="68F2A619">
            <w:r>
              <w:t>Non-central analgesic, antipyretic or antiinflammatory agents, e.g. antirheumatic agents; Non-steroidal antiinflammatory </w:t>
            </w:r>
            <w:r>
              <w:fldChar w:fldCharType="begin"/>
            </w:r>
            <w:r>
              <w:instrText xml:space="preserve"> HYPERLINK "https://www.wipo.int/classifications/ipc/en/ITsupport/Version20180101/transformations/ipc/20180101/en/htm/A61P.htm" \l "145" </w:instrText>
            </w:r>
            <w:r>
              <w:fldChar w:fldCharType="separate"/>
            </w:r>
            <w:r>
              <w:t>drugs</w:t>
            </w:r>
            <w:r>
              <w:fldChar w:fldCharType="end"/>
            </w:r>
            <w:r>
              <w:t> (NSAIDs)</w:t>
            </w:r>
          </w:p>
        </w:tc>
      </w:tr>
      <w:tr w14:paraId="4EC812E4">
        <w:tc>
          <w:tcPr>
            <w:tcW w:w="2689" w:type="dxa"/>
          </w:tcPr>
          <w:p w14:paraId="4CFEF037">
            <w:r>
              <w:t>A61P31/04</w:t>
            </w:r>
          </w:p>
        </w:tc>
        <w:tc>
          <w:tcPr>
            <w:tcW w:w="5607" w:type="dxa"/>
          </w:tcPr>
          <w:p w14:paraId="6B524904">
            <w:r>
              <w:t>Antibacterial agents</w:t>
            </w:r>
          </w:p>
        </w:tc>
      </w:tr>
      <w:tr w14:paraId="3340B8FB">
        <w:tc>
          <w:tcPr>
            <w:tcW w:w="2689" w:type="dxa"/>
          </w:tcPr>
          <w:p w14:paraId="6C899928">
            <w:r>
              <w:t>A61P31/14</w:t>
            </w:r>
          </w:p>
        </w:tc>
        <w:tc>
          <w:tcPr>
            <w:tcW w:w="5607" w:type="dxa"/>
          </w:tcPr>
          <w:p w14:paraId="75C575AF">
            <w:r>
              <w:t>for RNA viruses</w:t>
            </w:r>
          </w:p>
        </w:tc>
      </w:tr>
      <w:tr w14:paraId="4D803E83">
        <w:tc>
          <w:tcPr>
            <w:tcW w:w="2689" w:type="dxa"/>
          </w:tcPr>
          <w:p w14:paraId="55053925">
            <w:r>
              <w:t>A61P35/00</w:t>
            </w:r>
          </w:p>
        </w:tc>
        <w:tc>
          <w:tcPr>
            <w:tcW w:w="5607" w:type="dxa"/>
          </w:tcPr>
          <w:p w14:paraId="446E109D">
            <w:r>
              <w:t>Antineoplastic agents</w:t>
            </w:r>
          </w:p>
        </w:tc>
      </w:tr>
      <w:tr w14:paraId="20BE34E2">
        <w:tc>
          <w:tcPr>
            <w:tcW w:w="2689" w:type="dxa"/>
          </w:tcPr>
          <w:p w14:paraId="4BEAFB82">
            <w:r>
              <w:t>A61P39/00</w:t>
            </w:r>
          </w:p>
        </w:tc>
        <w:tc>
          <w:tcPr>
            <w:tcW w:w="5607" w:type="dxa"/>
          </w:tcPr>
          <w:p w14:paraId="10BF94DA">
            <w:r>
              <w:t>General protective or antinoxious agents</w:t>
            </w:r>
          </w:p>
        </w:tc>
      </w:tr>
      <w:tr w14:paraId="4A2E6A3B">
        <w:tc>
          <w:tcPr>
            <w:tcW w:w="2689" w:type="dxa"/>
          </w:tcPr>
          <w:p w14:paraId="3BFF72BB">
            <w:r>
              <w:t>A61P39/06</w:t>
            </w:r>
          </w:p>
        </w:tc>
        <w:tc>
          <w:tcPr>
            <w:tcW w:w="5607" w:type="dxa"/>
          </w:tcPr>
          <w:p w14:paraId="51E1455A">
            <w:r>
              <w:t>Free radical scavengers or antioxidants</w:t>
            </w:r>
          </w:p>
        </w:tc>
      </w:tr>
      <w:tr w14:paraId="429E90A7">
        <w:tc>
          <w:tcPr>
            <w:tcW w:w="2689" w:type="dxa"/>
          </w:tcPr>
          <w:p w14:paraId="71AE3FC8">
            <w:r>
              <w:t>A61Q19/00</w:t>
            </w:r>
          </w:p>
        </w:tc>
        <w:tc>
          <w:tcPr>
            <w:tcW w:w="5607" w:type="dxa"/>
          </w:tcPr>
          <w:p w14:paraId="44D1E081">
            <w:r>
              <w:fldChar w:fldCharType="begin"/>
            </w:r>
            <w:r>
              <w:instrText xml:space="preserve"> HYPERLINK "https://www.wipo.int/classifications/ipc/en/ITsupport/Version20230101/transformations/ipc/20230101/en/htm/A61Q.htm" \l "1549" </w:instrText>
            </w:r>
            <w:r>
              <w:fldChar w:fldCharType="separate"/>
            </w:r>
            <w:r>
              <w:t>Preparations</w:t>
            </w:r>
            <w:r>
              <w:fldChar w:fldCharType="end"/>
            </w:r>
            <w:r>
              <w:t> for care of the skin</w:t>
            </w:r>
          </w:p>
        </w:tc>
      </w:tr>
      <w:tr w14:paraId="66DECA63">
        <w:tc>
          <w:tcPr>
            <w:tcW w:w="2689" w:type="dxa"/>
            <w:tcBorders>
              <w:bottom w:val="nil"/>
            </w:tcBorders>
          </w:tcPr>
          <w:p w14:paraId="58201DB3">
            <w:r>
              <w:t>A61Q19/08</w:t>
            </w:r>
          </w:p>
        </w:tc>
        <w:tc>
          <w:tcPr>
            <w:tcW w:w="5607" w:type="dxa"/>
            <w:tcBorders>
              <w:bottom w:val="nil"/>
            </w:tcBorders>
          </w:tcPr>
          <w:p w14:paraId="63203D5B">
            <w:r>
              <w:t>Anti-ageing </w:t>
            </w:r>
            <w:r>
              <w:fldChar w:fldCharType="begin"/>
            </w:r>
            <w:r>
              <w:instrText xml:space="preserve"> HYPERLINK "https://www.wipo.int/classifications/ipc/en/ITsupport/Version20230101/transformations/ipc/20230101/en/htm/A61Q.htm" \l "1549" </w:instrText>
            </w:r>
            <w:r>
              <w:fldChar w:fldCharType="separate"/>
            </w:r>
            <w:r>
              <w:t>preparations</w:t>
            </w:r>
            <w:r>
              <w:fldChar w:fldCharType="end"/>
            </w:r>
          </w:p>
        </w:tc>
      </w:tr>
      <w:tr w14:paraId="14E0BBD8">
        <w:tc>
          <w:tcPr>
            <w:tcW w:w="2689" w:type="dxa"/>
            <w:tcBorders>
              <w:bottom w:val="single" w:color="auto" w:sz="8" w:space="0"/>
            </w:tcBorders>
          </w:tcPr>
          <w:p w14:paraId="0C071B40">
            <w:r>
              <w:t>C12R1/645</w:t>
            </w:r>
          </w:p>
        </w:tc>
        <w:tc>
          <w:tcPr>
            <w:tcW w:w="5607" w:type="dxa"/>
            <w:tcBorders>
              <w:bottom w:val="single" w:color="auto" w:sz="8" w:space="0"/>
            </w:tcBorders>
          </w:tcPr>
          <w:p w14:paraId="07AD0D37">
            <w:r>
              <w:t>Fungi</w:t>
            </w:r>
          </w:p>
        </w:tc>
      </w:tr>
    </w:tbl>
    <w:p w14:paraId="2620447E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Note: IPC definitions are sourced from the World Intellectual Property Organization (WIPO)</w:t>
      </w:r>
      <w:r>
        <w:rPr>
          <w:sz w:val="18"/>
          <w:szCs w:val="18"/>
          <w:vertAlign w:val="superscript"/>
        </w:rPr>
        <w:fldChar w:fldCharType="begin"/>
      </w:r>
      <w:r>
        <w:rPr>
          <w:sz w:val="18"/>
          <w:szCs w:val="18"/>
          <w:vertAlign w:val="superscript"/>
        </w:rPr>
        <w:instrText xml:space="preserve"> REF _Ref225717160 \r \h </w:instrText>
      </w:r>
      <w:r>
        <w:rPr>
          <w:sz w:val="24"/>
          <w:vertAlign w:val="superscript"/>
        </w:rPr>
        <w:instrText xml:space="preserve">\#”[0”</w:instrText>
      </w:r>
      <w:r>
        <w:rPr>
          <w:sz w:val="18"/>
          <w:szCs w:val="18"/>
          <w:vertAlign w:val="superscript"/>
        </w:rPr>
        <w:instrText xml:space="preserve">  \* MERGEFORMAT </w:instrText>
      </w:r>
      <w:r>
        <w:rPr>
          <w:sz w:val="18"/>
          <w:szCs w:val="18"/>
          <w:vertAlign w:val="superscript"/>
        </w:rPr>
        <w:fldChar w:fldCharType="separate"/>
      </w:r>
      <w:r>
        <w:rPr>
          <w:sz w:val="18"/>
          <w:szCs w:val="18"/>
          <w:vertAlign w:val="superscript"/>
        </w:rPr>
        <w:t>[46</w:t>
      </w:r>
      <w:r>
        <w:rPr>
          <w:sz w:val="18"/>
          <w:szCs w:val="18"/>
          <w:vertAlign w:val="superscript"/>
        </w:rPr>
        <w:fldChar w:fldCharType="end"/>
      </w:r>
      <w:r>
        <w:rPr>
          <w:sz w:val="18"/>
          <w:szCs w:val="18"/>
          <w:vertAlign w:val="superscript"/>
        </w:rPr>
        <w:t>-</w:t>
      </w:r>
      <w:r>
        <w:rPr>
          <w:sz w:val="18"/>
          <w:szCs w:val="18"/>
          <w:vertAlign w:val="superscript"/>
        </w:rPr>
        <w:fldChar w:fldCharType="begin"/>
      </w:r>
      <w:r>
        <w:rPr>
          <w:sz w:val="18"/>
          <w:szCs w:val="18"/>
          <w:vertAlign w:val="superscript"/>
        </w:rPr>
        <w:instrText xml:space="preserve"> REF _Ref225721161 \r \h </w:instrText>
      </w:r>
      <w:r>
        <w:rPr>
          <w:sz w:val="24"/>
          <w:vertAlign w:val="superscript"/>
        </w:rPr>
        <w:instrText xml:space="preserve">\#”0]”</w:instrText>
      </w:r>
      <w:r>
        <w:rPr>
          <w:sz w:val="18"/>
          <w:szCs w:val="18"/>
          <w:vertAlign w:val="superscript"/>
        </w:rPr>
        <w:instrText xml:space="preserve">  \* MERGEFORMAT </w:instrText>
      </w:r>
      <w:r>
        <w:rPr>
          <w:sz w:val="18"/>
          <w:szCs w:val="18"/>
          <w:vertAlign w:val="superscript"/>
        </w:rPr>
        <w:fldChar w:fldCharType="separate"/>
      </w:r>
      <w:r>
        <w:rPr>
          <w:sz w:val="18"/>
          <w:szCs w:val="18"/>
          <w:vertAlign w:val="superscript"/>
        </w:rPr>
        <w:t>51]</w:t>
      </w:r>
      <w:r>
        <w:rPr>
          <w:sz w:val="18"/>
          <w:szCs w:val="18"/>
          <w:vertAlign w:val="superscript"/>
        </w:rPr>
        <w:fldChar w:fldCharType="end"/>
      </w:r>
    </w:p>
    <w:p w14:paraId="77B86BE7">
      <w:bookmarkStart w:id="33" w:name="_GoBack"/>
      <w:bookmarkEnd w:id="3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ambria Math">
    <w:altName w:val="Kingsoft Math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2FBA2F"/>
    <w:rsid w:val="FE2FBA2F"/>
    <w:rsid w:val="FFAFB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styleId="10">
    <w:name w:val="Placeholder Text"/>
    <w:basedOn w:val="8"/>
    <w:semiHidden/>
    <w:uiPriority w:val="99"/>
    <w:rPr>
      <w:color w:val="666666"/>
    </w:rPr>
  </w:style>
  <w:style w:type="character" w:customStyle="1" w:styleId="11">
    <w:name w:val="标题 1 字符"/>
    <w:basedOn w:val="8"/>
    <w:link w:val="2"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Office_12.1.24703.24703_F1E327BC-269C-435d-A152-05C5408002CA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2026-06-25T02:45:00Z</dcterms:created>
  <dc:creator>Tan</dc:creator>
  <cp:lastModifiedBy>Tan</cp:lastModifiedBy>
  <dcterms:modified xsi:type="dcterms:W3CDTF">2026-07-01T15:25:07Z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2052-12.1.24703.24703</vt:lpwstr>
  </property>
  <property fmtid="{D5CDD505-2E9C-101B-9397-08002B2CF9AE}" pid="3" name="ICV">
    <vt:lpwstr>C69AD03F820F1BDF32B53B6AA273AE0D_41</vt:lpwstr>
  </property>
</Properties>
</file>