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877F71">
      <w:pPr>
        <w:pStyle w:val="2"/>
        <w:spacing w:before="0" w:after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</w:rPr>
        <w:t>Appendix</w:t>
      </w:r>
    </w:p>
    <w:p w14:paraId="010D2BD4">
      <w:pPr>
        <w:pStyle w:val="2"/>
        <w:spacing w:before="0"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</w:rPr>
        <w:t>Tables</w:t>
      </w:r>
    </w:p>
    <w:p w14:paraId="0C1CEE08">
      <w:pPr>
        <w:pStyle w:val="3"/>
        <w:keepNext/>
        <w:jc w:val="center"/>
        <w:rPr>
          <w:rFonts w:hint="eastAsia"/>
        </w:rPr>
      </w:pPr>
      <w:bookmarkStart w:id="0" w:name="_Ref233127630"/>
      <w:r>
        <w:rPr>
          <w:rFonts w:ascii="Times New Roman" w:hAnsi="Times New Roman" w:cs="Times New Roman"/>
          <w:sz w:val="21"/>
          <w:szCs w:val="21"/>
        </w:rPr>
        <w:t>Table A</w:t>
      </w:r>
      <w:r>
        <w:rPr>
          <w:rFonts w:hint="eastAsia" w:ascii="Times New Roman" w:hAnsi="Times New Roman" w:cs="Times New Roman"/>
          <w:sz w:val="21"/>
          <w:szCs w:val="21"/>
        </w:rPr>
        <w:fldChar w:fldCharType="begin"/>
      </w:r>
      <w:r>
        <w:rPr>
          <w:rFonts w:hint="eastAsia" w:ascii="Times New Roman" w:hAnsi="Times New Roman" w:cs="Times New Roman"/>
          <w:sz w:val="21"/>
          <w:szCs w:val="21"/>
        </w:rPr>
        <w:instrText xml:space="preserve"> </w:instrText>
      </w:r>
      <w:r>
        <w:rPr>
          <w:rFonts w:ascii="Times New Roman" w:hAnsi="Times New Roman" w:cs="Times New Roman"/>
          <w:sz w:val="21"/>
          <w:szCs w:val="21"/>
        </w:rPr>
        <w:instrText xml:space="preserve">SEQ Table_A \* ARABIC</w:instrText>
      </w:r>
      <w:r>
        <w:rPr>
          <w:rFonts w:hint="eastAsia" w:ascii="Times New Roman" w:hAnsi="Times New Roman" w:cs="Times New Roman"/>
          <w:sz w:val="21"/>
          <w:szCs w:val="21"/>
        </w:rPr>
        <w:instrText xml:space="preserve"> </w:instrText>
      </w:r>
      <w:r>
        <w:rPr>
          <w:rFonts w:hint="eastAsia" w:ascii="Times New Roman" w:hAnsi="Times New Roman" w:cs="Times New Roman"/>
          <w:sz w:val="21"/>
          <w:szCs w:val="21"/>
        </w:rPr>
        <w:fldChar w:fldCharType="separate"/>
      </w:r>
      <w:r>
        <w:rPr>
          <w:rFonts w:ascii="Times New Roman" w:hAnsi="Times New Roman" w:cs="Times New Roman"/>
          <w:sz w:val="21"/>
          <w:szCs w:val="21"/>
        </w:rPr>
        <w:t>1</w:t>
      </w:r>
      <w:r>
        <w:rPr>
          <w:rFonts w:hint="eastAsia" w:ascii="Times New Roman" w:hAnsi="Times New Roman" w:cs="Times New Roman"/>
          <w:sz w:val="21"/>
          <w:szCs w:val="21"/>
        </w:rPr>
        <w:fldChar w:fldCharType="end"/>
      </w:r>
      <w:bookmarkEnd w:id="0"/>
      <w:r>
        <w:rPr>
          <w:rFonts w:hint="eastAsia"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Description of Network Indicators</w:t>
      </w:r>
    </w:p>
    <w:tbl>
      <w:tblPr>
        <w:tblStyle w:val="7"/>
        <w:tblW w:w="0" w:type="auto"/>
        <w:tblInd w:w="0" w:type="dxa"/>
        <w:tblBorders>
          <w:top w:val="single" w:color="auto" w:sz="8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2694"/>
        <w:gridCol w:w="2268"/>
        <w:gridCol w:w="1633"/>
      </w:tblGrid>
      <w:tr w14:paraId="5E635689">
        <w:tc>
          <w:tcPr>
            <w:tcW w:w="1701" w:type="dxa"/>
            <w:tcBorders>
              <w:top w:val="single" w:color="auto" w:sz="8" w:space="0"/>
              <w:bottom w:val="single" w:color="auto" w:sz="4" w:space="0"/>
            </w:tcBorders>
          </w:tcPr>
          <w:p w14:paraId="5E5CD7EC">
            <w:pPr>
              <w:jc w:val="center"/>
              <w:rPr>
                <w:b/>
                <w:bCs/>
                <w:kern w:val="0"/>
                <w:sz w:val="20"/>
              </w:rPr>
            </w:pPr>
            <w:r>
              <w:rPr>
                <w:b/>
                <w:bCs/>
                <w:kern w:val="0"/>
                <w:sz w:val="20"/>
              </w:rPr>
              <w:t>Indicator</w:t>
            </w:r>
          </w:p>
        </w:tc>
        <w:tc>
          <w:tcPr>
            <w:tcW w:w="2694" w:type="dxa"/>
            <w:tcBorders>
              <w:top w:val="single" w:color="auto" w:sz="8" w:space="0"/>
              <w:bottom w:val="single" w:color="auto" w:sz="4" w:space="0"/>
            </w:tcBorders>
          </w:tcPr>
          <w:p w14:paraId="2AD44EE7">
            <w:pPr>
              <w:jc w:val="center"/>
              <w:rPr>
                <w:b/>
                <w:bCs/>
                <w:kern w:val="0"/>
                <w:sz w:val="20"/>
              </w:rPr>
            </w:pPr>
            <w:r>
              <w:rPr>
                <w:b/>
                <w:bCs/>
                <w:kern w:val="0"/>
                <w:sz w:val="20"/>
              </w:rPr>
              <w:t>Formula</w:t>
            </w:r>
          </w:p>
        </w:tc>
        <w:tc>
          <w:tcPr>
            <w:tcW w:w="2268" w:type="dxa"/>
            <w:tcBorders>
              <w:top w:val="single" w:color="auto" w:sz="8" w:space="0"/>
              <w:bottom w:val="single" w:color="auto" w:sz="4" w:space="0"/>
            </w:tcBorders>
          </w:tcPr>
          <w:p w14:paraId="2DE3C96A">
            <w:pPr>
              <w:jc w:val="center"/>
              <w:rPr>
                <w:b/>
                <w:bCs/>
                <w:kern w:val="0"/>
                <w:sz w:val="20"/>
              </w:rPr>
            </w:pPr>
            <w:r>
              <w:rPr>
                <w:b/>
                <w:bCs/>
                <w:kern w:val="0"/>
                <w:sz w:val="20"/>
              </w:rPr>
              <w:t>Parameter Description</w:t>
            </w:r>
          </w:p>
        </w:tc>
        <w:tc>
          <w:tcPr>
            <w:tcW w:w="1633" w:type="dxa"/>
            <w:tcBorders>
              <w:top w:val="single" w:color="auto" w:sz="8" w:space="0"/>
              <w:bottom w:val="single" w:color="auto" w:sz="4" w:space="0"/>
            </w:tcBorders>
          </w:tcPr>
          <w:p w14:paraId="16B2A4A7">
            <w:pPr>
              <w:jc w:val="center"/>
              <w:rPr>
                <w:b/>
                <w:bCs/>
                <w:kern w:val="0"/>
                <w:sz w:val="20"/>
              </w:rPr>
            </w:pPr>
            <w:r>
              <w:rPr>
                <w:b/>
                <w:bCs/>
                <w:kern w:val="0"/>
                <w:sz w:val="20"/>
              </w:rPr>
              <w:t>Interpretation</w:t>
            </w:r>
          </w:p>
        </w:tc>
      </w:tr>
      <w:tr w14:paraId="5B91BEC7">
        <w:tc>
          <w:tcPr>
            <w:tcW w:w="1701" w:type="dxa"/>
            <w:tcBorders>
              <w:top w:val="single" w:color="auto" w:sz="4" w:space="0"/>
              <w:bottom w:val="nil"/>
            </w:tcBorders>
          </w:tcPr>
          <w:p w14:paraId="23FBA4A1">
            <w:pPr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Relative degree centrality</w:t>
            </w:r>
          </w:p>
        </w:tc>
        <w:tc>
          <w:tcPr>
            <w:tcW w:w="2694" w:type="dxa"/>
            <w:tcBorders>
              <w:top w:val="single" w:color="auto" w:sz="4" w:space="0"/>
              <w:bottom w:val="nil"/>
            </w:tcBorders>
          </w:tcPr>
          <w:p w14:paraId="07E78CAF">
            <w:pPr>
              <w:jc w:val="center"/>
              <w:rPr>
                <w:kern w:val="0"/>
                <w:sz w:val="20"/>
              </w:rPr>
            </w:pPr>
            <m:oMathPara>
              <m:oMath>
                <m:r>
                  <m:rPr/>
                  <w:rPr>
                    <w:rFonts w:ascii="Cambria Math" w:hAnsi="Cambria Math"/>
                    <w:kern w:val="0"/>
                    <w:sz w:val="20"/>
                  </w:rPr>
                  <m:t>D=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kern w:val="0"/>
                        <w:sz w:val="20"/>
                      </w:rPr>
                    </m:ctrlPr>
                  </m:fPr>
                  <m:num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  <w:i/>
                            <w:kern w:val="0"/>
                            <w:sz w:val="20"/>
                          </w:rPr>
                        </m:ctrlPr>
                      </m:naryPr>
                      <m:sub>
                        <m:r>
                          <m:rPr/>
                          <w:rPr>
                            <w:rFonts w:ascii="Cambria Math" w:hAnsi="Cambria Math"/>
                            <w:kern w:val="0"/>
                            <w:sz w:val="20"/>
                          </w:rPr>
                          <m:t>j</m:t>
                        </m:r>
                        <m:ctrlPr>
                          <w:rPr>
                            <w:rFonts w:ascii="Cambria Math" w:hAnsi="Cambria Math"/>
                            <w:i/>
                            <w:kern w:val="0"/>
                            <w:sz w:val="20"/>
                          </w:rPr>
                        </m:ctrlPr>
                      </m:sub>
                      <m:sup>
                        <m:ctrlPr>
                          <w:rPr>
                            <w:rFonts w:ascii="Cambria Math" w:hAnsi="Cambria Math"/>
                            <w:i/>
                            <w:kern w:val="0"/>
                            <w:sz w:val="20"/>
                          </w:rPr>
                        </m:ctrlP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kern w:val="0"/>
                                <w:sz w:val="20"/>
                              </w:rPr>
                            </m:ctrlPr>
                          </m:sSubPr>
                          <m:e>
                            <m:r>
                              <m:rPr/>
                              <w:rPr>
                                <w:rFonts w:ascii="Cambria Math" w:hAnsi="Cambria Math"/>
                                <w:kern w:val="0"/>
                                <w:sz w:val="20"/>
                              </w:rPr>
                              <m:t>X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kern w:val="0"/>
                                <w:sz w:val="20"/>
                              </w:rPr>
                            </m:ctrlPr>
                          </m:e>
                          <m:sub>
                            <m:r>
                              <m:rPr/>
                              <w:rPr>
                                <w:rFonts w:ascii="Cambria Math" w:hAnsi="Cambria Math"/>
                                <w:kern w:val="0"/>
                                <w:sz w:val="20"/>
                              </w:rPr>
                              <m:t>ij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kern w:val="0"/>
                                <w:sz w:val="20"/>
                              </w:rPr>
                            </m:ctrlPr>
                          </m:sub>
                        </m:sSub>
                        <m:ctrlPr>
                          <w:rPr>
                            <w:rFonts w:ascii="Cambria Math" w:hAnsi="Cambria Math"/>
                            <w:i/>
                            <w:kern w:val="0"/>
                            <w:sz w:val="20"/>
                          </w:rPr>
                        </m:ctrlPr>
                      </m:e>
                    </m:nary>
                    <m:ctrlPr>
                      <w:rPr>
                        <w:rFonts w:ascii="Cambria Math" w:hAnsi="Cambria Math"/>
                        <w:i/>
                        <w:kern w:val="0"/>
                        <w:sz w:val="20"/>
                      </w:rPr>
                    </m:ctrlPr>
                  </m:num>
                  <m:den>
                    <m:r>
                      <m:rPr/>
                      <w:rPr>
                        <w:rFonts w:ascii="Cambria Math" w:hAnsi="Cambria Math"/>
                        <w:kern w:val="0"/>
                        <w:sz w:val="20"/>
                      </w:rPr>
                      <m:t>n−1</m:t>
                    </m:r>
                    <m:ctrlPr>
                      <w:rPr>
                        <w:rFonts w:ascii="Cambria Math" w:hAnsi="Cambria Math"/>
                        <w:i/>
                        <w:kern w:val="0"/>
                        <w:sz w:val="20"/>
                      </w:rPr>
                    </m:ctrlPr>
                  </m:den>
                </m:f>
              </m:oMath>
            </m:oMathPara>
          </w:p>
        </w:tc>
        <w:tc>
          <w:tcPr>
            <w:tcW w:w="2268" w:type="dxa"/>
            <w:tcBorders>
              <w:top w:val="single" w:color="auto" w:sz="4" w:space="0"/>
              <w:bottom w:val="nil"/>
            </w:tcBorders>
          </w:tcPr>
          <w:p w14:paraId="590CC108">
            <w:pPr>
              <w:jc w:val="center"/>
              <w:rPr>
                <w:kern w:val="0"/>
                <w:sz w:val="20"/>
              </w:rPr>
            </w:pPr>
            <m:oMath>
              <m:r>
                <m:rPr/>
                <w:rPr>
                  <w:rFonts w:ascii="Cambria Math" w:hAnsi="Cambria Math"/>
                  <w:kern w:val="0"/>
                  <w:sz w:val="20"/>
                </w:rPr>
                <m:t>n</m:t>
              </m:r>
            </m:oMath>
            <w:r>
              <w:rPr>
                <w:kern w:val="0"/>
                <w:sz w:val="20"/>
              </w:rPr>
              <w:t xml:space="preserve">= total number of nodes;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kern w:val="0"/>
                      <w:sz w:val="20"/>
                    </w:rPr>
                  </m:ctrlPr>
                </m:sSubPr>
                <m:e>
                  <m:r>
                    <m:rPr/>
                    <w:rPr>
                      <w:rFonts w:ascii="Cambria Math" w:hAnsi="Cambria Math"/>
                      <w:kern w:val="0"/>
                      <w:sz w:val="20"/>
                    </w:rPr>
                    <m:t>X</m:t>
                  </m:r>
                  <m:ctrlPr>
                    <w:rPr>
                      <w:rFonts w:ascii="Cambria Math" w:hAnsi="Cambria Math"/>
                      <w:i/>
                      <w:kern w:val="0"/>
                      <w:sz w:val="20"/>
                    </w:rPr>
                  </m:ctrlPr>
                </m:e>
                <m:sub>
                  <m:r>
                    <m:rPr/>
                    <w:rPr>
                      <w:rFonts w:ascii="Cambria Math" w:hAnsi="Cambria Math"/>
                      <w:kern w:val="0"/>
                      <w:sz w:val="20"/>
                    </w:rPr>
                    <m:t>ij</m:t>
                  </m:r>
                  <m:ctrlPr>
                    <w:rPr>
                      <w:rFonts w:ascii="Cambria Math" w:hAnsi="Cambria Math"/>
                      <w:i/>
                      <w:kern w:val="0"/>
                      <w:sz w:val="20"/>
                    </w:rPr>
                  </m:ctrlPr>
                </m:sub>
              </m:sSub>
            </m:oMath>
            <w:r>
              <w:rPr>
                <w:kern w:val="0"/>
                <w:sz w:val="20"/>
              </w:rPr>
              <w:t>= number of nodes connected to node</w:t>
            </w:r>
          </w:p>
        </w:tc>
        <w:tc>
          <w:tcPr>
            <w:tcW w:w="1633" w:type="dxa"/>
            <w:tcBorders>
              <w:top w:val="single" w:color="auto" w:sz="4" w:space="0"/>
              <w:bottom w:val="nil"/>
            </w:tcBorders>
          </w:tcPr>
          <w:p w14:paraId="5956373B">
            <w:pPr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Reflects the direct influence of a node</w:t>
            </w:r>
          </w:p>
        </w:tc>
      </w:tr>
      <w:tr w14:paraId="57B3A3CF">
        <w:tc>
          <w:tcPr>
            <w:tcW w:w="1701" w:type="dxa"/>
            <w:tcBorders>
              <w:top w:val="nil"/>
            </w:tcBorders>
          </w:tcPr>
          <w:p w14:paraId="0150CB2A">
            <w:pPr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Relative betweenness centrality</w:t>
            </w:r>
          </w:p>
        </w:tc>
        <w:tc>
          <w:tcPr>
            <w:tcW w:w="2694" w:type="dxa"/>
            <w:tcBorders>
              <w:top w:val="nil"/>
            </w:tcBorders>
          </w:tcPr>
          <w:p w14:paraId="138EA8D5">
            <w:pPr>
              <w:jc w:val="center"/>
              <w:rPr>
                <w:kern w:val="0"/>
                <w:sz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kern w:val="0"/>
                        <w:sz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/>
                        <w:kern w:val="0"/>
                        <w:sz w:val="20"/>
                      </w:rPr>
                      <m:t>C</m:t>
                    </m:r>
                    <m:ctrlPr>
                      <w:rPr>
                        <w:rFonts w:ascii="Cambria Math" w:hAnsi="Cambria Math"/>
                        <w:i/>
                        <w:kern w:val="0"/>
                        <w:sz w:val="20"/>
                      </w:rPr>
                    </m:ctrlP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kern w:val="0"/>
                            <w:sz w:val="20"/>
                          </w:rPr>
                        </m:ctrlPr>
                      </m:sSubPr>
                      <m:e>
                        <m:r>
                          <m:rPr/>
                          <w:rPr>
                            <w:rFonts w:ascii="Cambria Math" w:hAnsi="Cambria Math"/>
                            <w:kern w:val="0"/>
                            <w:sz w:val="20"/>
                          </w:rPr>
                          <m:t>RB</m:t>
                        </m:r>
                        <m:ctrlPr>
                          <w:rPr>
                            <w:rFonts w:ascii="Cambria Math" w:hAnsi="Cambria Math"/>
                            <w:i/>
                            <w:kern w:val="0"/>
                            <w:sz w:val="20"/>
                          </w:rPr>
                        </m:ctrlPr>
                      </m:e>
                      <m:sub>
                        <m:r>
                          <m:rPr/>
                          <w:rPr>
                            <w:rFonts w:ascii="Cambria Math" w:hAnsi="Cambria Math"/>
                            <w:kern w:val="0"/>
                            <w:sz w:val="20"/>
                          </w:rPr>
                          <m:t>i</m:t>
                        </m:r>
                        <m:ctrlPr>
                          <w:rPr>
                            <w:rFonts w:ascii="Cambria Math" w:hAnsi="Cambria Math"/>
                            <w:i/>
                            <w:kern w:val="0"/>
                            <w:sz w:val="20"/>
                          </w:rPr>
                        </m:ctrlPr>
                      </m:sub>
                    </m:sSub>
                    <m:ctrlPr>
                      <w:rPr>
                        <w:rFonts w:ascii="Cambria Math" w:hAnsi="Cambria Math"/>
                        <w:i/>
                        <w:kern w:val="0"/>
                        <w:sz w:val="20"/>
                      </w:rPr>
                    </m:ctrlPr>
                  </m:sub>
                </m:sSub>
                <m:r>
                  <m:rPr/>
                  <w:rPr>
                    <w:rFonts w:ascii="Cambria Math" w:hAnsi="Cambria Math"/>
                    <w:kern w:val="0"/>
                    <w:sz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kern w:val="0"/>
                        <w:sz w:val="20"/>
                      </w:rPr>
                    </m:ctrlPr>
                  </m:fPr>
                  <m:num>
                    <m:r>
                      <m:rPr/>
                      <w:rPr>
                        <w:rFonts w:ascii="Cambria Math" w:hAnsi="Cambria Math"/>
                        <w:kern w:val="0"/>
                        <w:sz w:val="20"/>
                      </w:rPr>
                      <m:t>2</m:t>
                    </m:r>
                    <m:nary>
                      <m:naryPr>
                        <m:chr m:val="∑"/>
                        <m:limLoc m:val="subSup"/>
                        <m:ctrlPr>
                          <w:rPr>
                            <w:rFonts w:ascii="Cambria Math" w:hAnsi="Cambria Math"/>
                            <w:i/>
                            <w:kern w:val="0"/>
                            <w:sz w:val="20"/>
                          </w:rPr>
                        </m:ctrlPr>
                      </m:naryPr>
                      <m:sub>
                        <m:r>
                          <m:rPr/>
                          <w:rPr>
                            <w:rFonts w:ascii="Cambria Math" w:hAnsi="Cambria Math"/>
                            <w:kern w:val="0"/>
                            <w:sz w:val="20"/>
                          </w:rPr>
                          <m:t>j</m:t>
                        </m:r>
                        <m:ctrlPr>
                          <w:rPr>
                            <w:rFonts w:ascii="Cambria Math" w:hAnsi="Cambria Math"/>
                            <w:i/>
                            <w:kern w:val="0"/>
                            <w:sz w:val="20"/>
                          </w:rPr>
                        </m:ctrlPr>
                      </m:sub>
                      <m:sup>
                        <m:r>
                          <m:rPr/>
                          <w:rPr>
                            <w:rFonts w:ascii="Cambria Math" w:hAnsi="Cambria Math"/>
                            <w:kern w:val="0"/>
                            <w:sz w:val="20"/>
                          </w:rPr>
                          <m:t>n</m:t>
                        </m:r>
                        <m:ctrlPr>
                          <w:rPr>
                            <w:rFonts w:ascii="Cambria Math" w:hAnsi="Cambria Math"/>
                            <w:i/>
                            <w:kern w:val="0"/>
                            <w:sz w:val="20"/>
                          </w:rPr>
                        </m:ctrlPr>
                      </m:sup>
                      <m:e>
                        <m:nary>
                          <m:naryPr>
                            <m:chr m:val="∑"/>
                            <m:limLoc m:val="subSup"/>
                            <m:ctrlPr>
                              <w:rPr>
                                <w:rFonts w:ascii="Cambria Math" w:hAnsi="Cambria Math"/>
                                <w:i/>
                                <w:kern w:val="0"/>
                                <w:sz w:val="20"/>
                              </w:rPr>
                            </m:ctrlPr>
                          </m:naryPr>
                          <m:sub>
                            <m:r>
                              <m:rPr/>
                              <w:rPr>
                                <w:rFonts w:ascii="Cambria Math" w:hAnsi="Cambria Math"/>
                                <w:kern w:val="0"/>
                                <w:sz w:val="20"/>
                              </w:rPr>
                              <m:t>k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kern w:val="0"/>
                                <w:sz w:val="20"/>
                              </w:rPr>
                            </m:ctrlPr>
                          </m:sub>
                          <m:sup>
                            <m:r>
                              <m:rPr/>
                              <w:rPr>
                                <w:rFonts w:ascii="Cambria Math" w:hAnsi="Cambria Math"/>
                                <w:kern w:val="0"/>
                                <w:sz w:val="20"/>
                              </w:rPr>
                              <m:t>n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kern w:val="0"/>
                                <w:sz w:val="20"/>
                              </w:rPr>
                            </m:ctrlPr>
                          </m:sup>
                          <m:e>
                            <m:r>
                              <m:rPr/>
                              <w:rPr>
                                <w:rFonts w:ascii="Cambria Math" w:hAnsi="Cambria Math"/>
                                <w:kern w:val="0"/>
                                <w:sz w:val="20"/>
                              </w:rPr>
                              <m:t>[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kern w:val="0"/>
                                    <w:sz w:val="20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kern w:val="0"/>
                                        <w:sz w:val="20"/>
                                      </w:rPr>
                                    </m:ctrlPr>
                                  </m:sSubPr>
                                  <m:e>
                                    <m:r>
                                      <m:rPr/>
                                      <w:rPr>
                                        <w:rFonts w:ascii="Cambria Math" w:hAnsi="Cambria Math"/>
                                        <w:kern w:val="0"/>
                                        <w:sz w:val="20"/>
                                      </w:rPr>
                                      <m:t>g</m:t>
                                    </m: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kern w:val="0"/>
                                        <w:sz w:val="20"/>
                                      </w:rPr>
                                    </m:ctrlPr>
                                  </m:e>
                                  <m:sub>
                                    <m:r>
                                      <m:rPr/>
                                      <w:rPr>
                                        <w:rFonts w:ascii="Cambria Math" w:hAnsi="Cambria Math"/>
                                        <w:kern w:val="0"/>
                                        <w:sz w:val="20"/>
                                      </w:rPr>
                                      <m:t>jk</m:t>
                                    </m: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kern w:val="0"/>
                                        <w:sz w:val="20"/>
                                      </w:rPr>
                                    </m:ctrlPr>
                                  </m:sub>
                                </m:sSub>
                                <m:r>
                                  <m:rPr/>
                                  <w:rPr>
                                    <w:rFonts w:ascii="Cambria Math" w:hAnsi="Cambria Math"/>
                                    <w:kern w:val="0"/>
                                    <w:sz w:val="20"/>
                                  </w:rPr>
                                  <m:t>(i)</m:t>
                                </m:r>
                                <m:ctrlPr>
                                  <w:rPr>
                                    <w:rFonts w:ascii="Cambria Math" w:hAnsi="Cambria Math"/>
                                    <w:i/>
                                    <w:kern w:val="0"/>
                                    <w:sz w:val="20"/>
                                  </w:rPr>
                                </m:ctrlPr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kern w:val="0"/>
                                        <w:sz w:val="20"/>
                                      </w:rPr>
                                    </m:ctrlPr>
                                  </m:sSubPr>
                                  <m:e>
                                    <m:r>
                                      <m:rPr/>
                                      <w:rPr>
                                        <w:rFonts w:ascii="Cambria Math" w:hAnsi="Cambria Math"/>
                                        <w:kern w:val="0"/>
                                        <w:sz w:val="20"/>
                                      </w:rPr>
                                      <m:t>g</m:t>
                                    </m: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kern w:val="0"/>
                                        <w:sz w:val="20"/>
                                      </w:rPr>
                                    </m:ctrlPr>
                                  </m:e>
                                  <m:sub>
                                    <m:r>
                                      <m:rPr/>
                                      <w:rPr>
                                        <w:rFonts w:ascii="Cambria Math" w:hAnsi="Cambria Math"/>
                                        <w:kern w:val="0"/>
                                        <w:sz w:val="20"/>
                                      </w:rPr>
                                      <m:t>jk</m:t>
                                    </m: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kern w:val="0"/>
                                        <w:sz w:val="20"/>
                                      </w:rPr>
                                    </m:ctrlPr>
                                  </m:sub>
                                </m:sSub>
                                <m:ctrlPr>
                                  <w:rPr>
                                    <w:rFonts w:ascii="Cambria Math" w:hAnsi="Cambria Math"/>
                                    <w:i/>
                                    <w:kern w:val="0"/>
                                    <w:sz w:val="20"/>
                                  </w:rPr>
                                </m:ctrlPr>
                              </m:den>
                            </m:f>
                            <m:r>
                              <m:rPr/>
                              <w:rPr>
                                <w:rFonts w:ascii="Cambria Math" w:hAnsi="Cambria Math"/>
                                <w:kern w:val="0"/>
                                <w:sz w:val="20"/>
                              </w:rPr>
                              <m:t>]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kern w:val="0"/>
                                <w:sz w:val="20"/>
                              </w:rPr>
                            </m:ctrlPr>
                          </m:e>
                        </m:nary>
                        <m:ctrlPr>
                          <w:rPr>
                            <w:rFonts w:ascii="Cambria Math" w:hAnsi="Cambria Math"/>
                            <w:i/>
                            <w:kern w:val="0"/>
                            <w:sz w:val="20"/>
                          </w:rPr>
                        </m:ctrlPr>
                      </m:e>
                    </m:nary>
                    <m:ctrlPr>
                      <w:rPr>
                        <w:rFonts w:ascii="Cambria Math" w:hAnsi="Cambria Math"/>
                        <w:i/>
                        <w:kern w:val="0"/>
                        <w:sz w:val="20"/>
                      </w:rPr>
                    </m:ctrlP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kern w:val="0"/>
                            <w:sz w:val="20"/>
                          </w:rPr>
                        </m:ctrlPr>
                      </m:sSupPr>
                      <m:e>
                        <m:r>
                          <m:rPr/>
                          <w:rPr>
                            <w:rFonts w:ascii="Cambria Math" w:hAnsi="Cambria Math"/>
                            <w:kern w:val="0"/>
                            <w:sz w:val="20"/>
                          </w:rPr>
                          <m:t>n</m:t>
                        </m:r>
                        <m:ctrlPr>
                          <w:rPr>
                            <w:rFonts w:ascii="Cambria Math" w:hAnsi="Cambria Math"/>
                            <w:i/>
                            <w:kern w:val="0"/>
                            <w:sz w:val="20"/>
                          </w:rPr>
                        </m:ctrlPr>
                      </m:e>
                      <m:sup>
                        <m:r>
                          <m:rPr/>
                          <w:rPr>
                            <w:rFonts w:ascii="Cambria Math" w:hAnsi="Cambria Math"/>
                            <w:kern w:val="0"/>
                            <w:sz w:val="20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i/>
                            <w:kern w:val="0"/>
                            <w:sz w:val="20"/>
                          </w:rPr>
                        </m:ctrlPr>
                      </m:sup>
                    </m:sSup>
                    <m:r>
                      <m:rPr/>
                      <w:rPr>
                        <w:rFonts w:ascii="Cambria Math" w:hAnsi="Cambria Math"/>
                        <w:kern w:val="0"/>
                        <w:sz w:val="20"/>
                      </w:rPr>
                      <m:t>−3n+2</m:t>
                    </m:r>
                    <m:ctrlPr>
                      <w:rPr>
                        <w:rFonts w:ascii="Cambria Math" w:hAnsi="Cambria Math"/>
                        <w:i/>
                        <w:kern w:val="0"/>
                        <w:sz w:val="20"/>
                      </w:rPr>
                    </m:ctrlPr>
                  </m:den>
                </m:f>
              </m:oMath>
            </m:oMathPara>
          </w:p>
        </w:tc>
        <w:tc>
          <w:tcPr>
            <w:tcW w:w="2268" w:type="dxa"/>
            <w:tcBorders>
              <w:top w:val="nil"/>
            </w:tcBorders>
          </w:tcPr>
          <w:p w14:paraId="62EFAB0D">
            <w:pPr>
              <w:jc w:val="center"/>
              <w:rPr>
                <w:kern w:val="0"/>
                <w:sz w:val="20"/>
              </w:rPr>
            </w:pPr>
            <m:oMath>
              <m:r>
                <m:rPr/>
                <w:rPr>
                  <w:rFonts w:ascii="Cambria Math" w:hAnsi="Cambria Math"/>
                  <w:kern w:val="0"/>
                  <w:sz w:val="20"/>
                </w:rPr>
                <m:t>n</m:t>
              </m:r>
            </m:oMath>
            <w:r>
              <w:rPr>
                <w:kern w:val="0"/>
                <w:sz w:val="20"/>
              </w:rPr>
              <w:t>= total number of nodes;</w:t>
            </w:r>
            <w:r>
              <w:rPr>
                <w:i/>
                <w:kern w:val="0"/>
                <w:sz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kern w:val="0"/>
                      <w:sz w:val="20"/>
                    </w:rPr>
                  </m:ctrlPr>
                </m:sSubPr>
                <m:e>
                  <m:r>
                    <m:rPr/>
                    <w:rPr>
                      <w:rFonts w:ascii="Cambria Math" w:hAnsi="Cambria Math"/>
                      <w:kern w:val="0"/>
                      <w:sz w:val="20"/>
                    </w:rPr>
                    <m:t>g</m:t>
                  </m:r>
                  <m:ctrlPr>
                    <w:rPr>
                      <w:rFonts w:ascii="Cambria Math" w:hAnsi="Cambria Math"/>
                      <w:i/>
                      <w:kern w:val="0"/>
                      <w:sz w:val="20"/>
                    </w:rPr>
                  </m:ctrlPr>
                </m:e>
                <m:sub>
                  <m:r>
                    <m:rPr/>
                    <w:rPr>
                      <w:rFonts w:ascii="Cambria Math" w:hAnsi="Cambria Math"/>
                      <w:kern w:val="0"/>
                      <w:sz w:val="20"/>
                    </w:rPr>
                    <m:t>jk</m:t>
                  </m:r>
                  <m:ctrlPr>
                    <w:rPr>
                      <w:rFonts w:ascii="Cambria Math" w:hAnsi="Cambria Math"/>
                      <w:i/>
                      <w:kern w:val="0"/>
                      <w:sz w:val="20"/>
                    </w:rPr>
                  </m:ctrlPr>
                </m:sub>
              </m:sSub>
            </m:oMath>
            <w:r>
              <w:rPr>
                <w:kern w:val="0"/>
                <w:sz w:val="20"/>
              </w:rPr>
              <w:t>= number of shortest paths between nodes</w:t>
            </w:r>
            <w:r>
              <w:rPr>
                <w:i/>
                <w:kern w:val="0"/>
                <w:sz w:val="20"/>
              </w:rPr>
              <w:t xml:space="preserve"> </w:t>
            </w:r>
            <m:oMath>
              <m:r>
                <m:rPr/>
                <w:rPr>
                  <w:rFonts w:ascii="Cambria Math" w:hAnsi="Cambria Math"/>
                  <w:kern w:val="0"/>
                  <w:sz w:val="20"/>
                </w:rPr>
                <m:t>j and k</m:t>
              </m:r>
            </m:oMath>
            <w:r>
              <w:t xml:space="preserve"> </w:t>
            </w:r>
            <w:r>
              <w:rPr>
                <w:iCs/>
                <w:kern w:val="0"/>
                <w:sz w:val="20"/>
              </w:rPr>
              <w:t>that pass through node</w:t>
            </w:r>
          </w:p>
        </w:tc>
        <w:tc>
          <w:tcPr>
            <w:tcW w:w="1633" w:type="dxa"/>
            <w:tcBorders>
              <w:top w:val="nil"/>
            </w:tcBorders>
          </w:tcPr>
          <w:p w14:paraId="1F81F57E">
            <w:pPr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Reflects the brokerage power of a node</w:t>
            </w:r>
          </w:p>
        </w:tc>
      </w:tr>
      <w:tr w14:paraId="00C25C53">
        <w:tc>
          <w:tcPr>
            <w:tcW w:w="1701" w:type="dxa"/>
          </w:tcPr>
          <w:p w14:paraId="21A02F84">
            <w:pPr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Relative closeness centrality</w:t>
            </w:r>
          </w:p>
        </w:tc>
        <w:tc>
          <w:tcPr>
            <w:tcW w:w="2694" w:type="dxa"/>
          </w:tcPr>
          <w:p w14:paraId="194BA356">
            <w:pPr>
              <w:jc w:val="center"/>
              <w:rPr>
                <w:kern w:val="0"/>
                <w:sz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kern w:val="0"/>
                        <w:sz w:val="20"/>
                      </w:rPr>
                    </m:ctrlPr>
                  </m:sSubSupPr>
                  <m:e>
                    <m:r>
                      <m:rPr/>
                      <w:rPr>
                        <w:rFonts w:ascii="Cambria Math" w:hAnsi="Cambria Math"/>
                        <w:kern w:val="0"/>
                        <w:sz w:val="20"/>
                      </w:rPr>
                      <m:t>C</m:t>
                    </m:r>
                    <m:ctrlPr>
                      <w:rPr>
                        <w:rFonts w:ascii="Cambria Math" w:hAnsi="Cambria Math"/>
                        <w:i/>
                        <w:kern w:val="0"/>
                        <w:sz w:val="20"/>
                      </w:rPr>
                    </m:ctrlP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kern w:val="0"/>
                            <w:sz w:val="20"/>
                          </w:rPr>
                        </m:ctrlPr>
                      </m:sSubPr>
                      <m:e>
                        <m:r>
                          <m:rPr/>
                          <w:rPr>
                            <w:rFonts w:ascii="Cambria Math" w:hAnsi="Cambria Math"/>
                            <w:kern w:val="0"/>
                            <w:sz w:val="20"/>
                          </w:rPr>
                          <m:t>RP</m:t>
                        </m:r>
                        <m:ctrlPr>
                          <w:rPr>
                            <w:rFonts w:ascii="Cambria Math" w:hAnsi="Cambria Math"/>
                            <w:i/>
                            <w:kern w:val="0"/>
                            <w:sz w:val="20"/>
                          </w:rPr>
                        </m:ctrlPr>
                      </m:e>
                      <m:sub>
                        <m:r>
                          <m:rPr/>
                          <w:rPr>
                            <w:rFonts w:ascii="Cambria Math" w:hAnsi="Cambria Math"/>
                            <w:kern w:val="0"/>
                            <w:sz w:val="20"/>
                          </w:rPr>
                          <m:t>i</m:t>
                        </m:r>
                        <m:ctrlPr>
                          <w:rPr>
                            <w:rFonts w:ascii="Cambria Math" w:hAnsi="Cambria Math"/>
                            <w:i/>
                            <w:kern w:val="0"/>
                            <w:sz w:val="20"/>
                          </w:rPr>
                        </m:ctrlPr>
                      </m:sub>
                    </m:sSub>
                    <m:ctrlPr>
                      <w:rPr>
                        <w:rFonts w:ascii="Cambria Math" w:hAnsi="Cambria Math"/>
                        <w:i/>
                        <w:kern w:val="0"/>
                        <w:sz w:val="20"/>
                      </w:rPr>
                    </m:ctrlPr>
                  </m:sub>
                  <m:sup>
                    <m:r>
                      <m:rPr/>
                      <w:rPr>
                        <w:rFonts w:ascii="Cambria Math" w:hAnsi="Cambria Math"/>
                        <w:kern w:val="0"/>
                        <w:sz w:val="20"/>
                      </w:rPr>
                      <m:t>−1</m:t>
                    </m:r>
                    <m:ctrlPr>
                      <w:rPr>
                        <w:rFonts w:ascii="Cambria Math" w:hAnsi="Cambria Math"/>
                        <w:i/>
                        <w:kern w:val="0"/>
                        <w:sz w:val="20"/>
                      </w:rPr>
                    </m:ctrlPr>
                  </m:sup>
                </m:sSubSup>
                <m:r>
                  <m:rPr/>
                  <w:rPr>
                    <w:rFonts w:ascii="Cambria Math" w:hAnsi="Cambria Math"/>
                    <w:kern w:val="0"/>
                    <w:sz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kern w:val="0"/>
                        <w:sz w:val="20"/>
                      </w:rPr>
                    </m:ctrlPr>
                  </m:fPr>
                  <m:num>
                    <m:nary>
                      <m:naryPr>
                        <m:chr m:val="∑"/>
                        <m:limLoc m:val="subSup"/>
                        <m:ctrlPr>
                          <w:rPr>
                            <w:rFonts w:ascii="Cambria Math" w:hAnsi="Cambria Math"/>
                            <w:i/>
                            <w:kern w:val="0"/>
                            <w:sz w:val="20"/>
                          </w:rPr>
                        </m:ctrlPr>
                      </m:naryPr>
                      <m:sub>
                        <m:r>
                          <m:rPr/>
                          <w:rPr>
                            <w:rFonts w:ascii="Cambria Math" w:hAnsi="Cambria Math"/>
                            <w:kern w:val="0"/>
                            <w:sz w:val="20"/>
                          </w:rPr>
                          <m:t>j=1</m:t>
                        </m:r>
                        <m:ctrlPr>
                          <w:rPr>
                            <w:rFonts w:ascii="Cambria Math" w:hAnsi="Cambria Math"/>
                            <w:i/>
                            <w:kern w:val="0"/>
                            <w:sz w:val="20"/>
                          </w:rPr>
                        </m:ctrlPr>
                      </m:sub>
                      <m:sup>
                        <m:r>
                          <m:rPr/>
                          <w:rPr>
                            <w:rFonts w:ascii="Cambria Math" w:hAnsi="Cambria Math"/>
                            <w:kern w:val="0"/>
                            <w:sz w:val="20"/>
                          </w:rPr>
                          <m:t>n</m:t>
                        </m:r>
                        <m:ctrlPr>
                          <w:rPr>
                            <w:rFonts w:ascii="Cambria Math" w:hAnsi="Cambria Math"/>
                            <w:i/>
                            <w:kern w:val="0"/>
                            <w:sz w:val="20"/>
                          </w:rPr>
                        </m:ctrlP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kern w:val="0"/>
                                <w:sz w:val="20"/>
                              </w:rPr>
                            </m:ctrlPr>
                          </m:sSubPr>
                          <m:e>
                            <m:r>
                              <m:rPr/>
                              <w:rPr>
                                <w:rFonts w:ascii="Cambria Math" w:hAnsi="Cambria Math"/>
                                <w:kern w:val="0"/>
                                <w:sz w:val="20"/>
                              </w:rPr>
                              <m:t>d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kern w:val="0"/>
                                <w:sz w:val="20"/>
                              </w:rPr>
                            </m:ctrlPr>
                          </m:e>
                          <m:sub>
                            <m:r>
                              <m:rPr/>
                              <w:rPr>
                                <w:rFonts w:ascii="Cambria Math" w:hAnsi="Cambria Math"/>
                                <w:kern w:val="0"/>
                                <w:sz w:val="20"/>
                              </w:rPr>
                              <m:t>ij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kern w:val="0"/>
                                <w:sz w:val="20"/>
                              </w:rPr>
                            </m:ctrlPr>
                          </m:sub>
                        </m:sSub>
                        <m:ctrlPr>
                          <w:rPr>
                            <w:rFonts w:ascii="Cambria Math" w:hAnsi="Cambria Math"/>
                            <w:i/>
                            <w:kern w:val="0"/>
                            <w:sz w:val="20"/>
                          </w:rPr>
                        </m:ctrlPr>
                      </m:e>
                    </m:nary>
                    <m:ctrlPr>
                      <w:rPr>
                        <w:rFonts w:ascii="Cambria Math" w:hAnsi="Cambria Math"/>
                        <w:i/>
                        <w:kern w:val="0"/>
                        <w:sz w:val="20"/>
                      </w:rPr>
                    </m:ctrlPr>
                  </m:num>
                  <m:den>
                    <m:r>
                      <m:rPr/>
                      <w:rPr>
                        <w:rFonts w:ascii="Cambria Math" w:hAnsi="Cambria Math"/>
                        <w:kern w:val="0"/>
                        <w:sz w:val="20"/>
                      </w:rPr>
                      <m:t>n−1</m:t>
                    </m:r>
                    <m:ctrlPr>
                      <w:rPr>
                        <w:rFonts w:ascii="Cambria Math" w:hAnsi="Cambria Math"/>
                        <w:i/>
                        <w:kern w:val="0"/>
                        <w:sz w:val="20"/>
                      </w:rPr>
                    </m:ctrlPr>
                  </m:den>
                </m:f>
              </m:oMath>
            </m:oMathPara>
          </w:p>
        </w:tc>
        <w:tc>
          <w:tcPr>
            <w:tcW w:w="2268" w:type="dxa"/>
          </w:tcPr>
          <w:p w14:paraId="05C5DF8E">
            <w:pPr>
              <w:jc w:val="center"/>
              <w:rPr>
                <w:kern w:val="0"/>
                <w:sz w:val="20"/>
              </w:rPr>
            </w:pPr>
            <m:oMath>
              <m:r>
                <m:rPr/>
                <w:rPr>
                  <w:rFonts w:ascii="Cambria Math" w:hAnsi="Cambria Math"/>
                  <w:kern w:val="0"/>
                  <w:sz w:val="20"/>
                </w:rPr>
                <m:t>n</m:t>
              </m:r>
            </m:oMath>
            <w:r>
              <w:rPr>
                <w:kern w:val="0"/>
                <w:sz w:val="20"/>
              </w:rPr>
              <w:t>= total number of nodes;</w:t>
            </w:r>
            <w:r>
              <w:rPr>
                <w:i/>
                <w:kern w:val="0"/>
                <w:sz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kern w:val="0"/>
                      <w:sz w:val="20"/>
                    </w:rPr>
                  </m:ctrlPr>
                </m:sSubPr>
                <m:e>
                  <m:r>
                    <m:rPr/>
                    <w:rPr>
                      <w:rFonts w:ascii="Cambria Math" w:hAnsi="Cambria Math"/>
                      <w:kern w:val="0"/>
                      <w:sz w:val="20"/>
                    </w:rPr>
                    <m:t>d</m:t>
                  </m:r>
                  <m:ctrlPr>
                    <w:rPr>
                      <w:rFonts w:ascii="Cambria Math" w:hAnsi="Cambria Math"/>
                      <w:i/>
                      <w:kern w:val="0"/>
                      <w:sz w:val="20"/>
                    </w:rPr>
                  </m:ctrlPr>
                </m:e>
                <m:sub>
                  <m:r>
                    <m:rPr/>
                    <w:rPr>
                      <w:rFonts w:ascii="Cambria Math" w:hAnsi="Cambria Math"/>
                      <w:kern w:val="0"/>
                      <w:sz w:val="20"/>
                    </w:rPr>
                    <m:t>ij</m:t>
                  </m:r>
                  <m:ctrlPr>
                    <w:rPr>
                      <w:rFonts w:ascii="Cambria Math" w:hAnsi="Cambria Math"/>
                      <w:i/>
                      <w:kern w:val="0"/>
                      <w:sz w:val="20"/>
                    </w:rPr>
                  </m:ctrlPr>
                </m:sub>
              </m:sSub>
            </m:oMath>
            <w:r>
              <w:rPr>
                <w:kern w:val="0"/>
                <w:sz w:val="20"/>
              </w:rPr>
              <w:t>= shortest path distance between nodes</w:t>
            </w:r>
            <w:r>
              <w:rPr>
                <w:i/>
                <w:kern w:val="0"/>
                <w:sz w:val="20"/>
              </w:rPr>
              <w:t xml:space="preserve"> </w:t>
            </w:r>
            <m:oMath>
              <m:r>
                <m:rPr/>
                <w:rPr>
                  <w:rFonts w:ascii="Cambria Math" w:hAnsi="Cambria Math"/>
                  <w:kern w:val="0"/>
                  <w:sz w:val="20"/>
                </w:rPr>
                <m:t>i</m:t>
              </m:r>
            </m:oMath>
            <w:r>
              <w:rPr>
                <w:i/>
                <w:kern w:val="0"/>
                <w:sz w:val="20"/>
              </w:rPr>
              <w:t xml:space="preserve"> </w:t>
            </w:r>
            <w:r>
              <w:rPr>
                <w:kern w:val="0"/>
                <w:sz w:val="20"/>
              </w:rPr>
              <w:t xml:space="preserve">and </w:t>
            </w:r>
            <m:oMath>
              <m:r>
                <m:rPr/>
                <w:rPr>
                  <w:rFonts w:ascii="Cambria Math" w:hAnsi="Cambria Math"/>
                  <w:kern w:val="0"/>
                  <w:sz w:val="20"/>
                </w:rPr>
                <m:t>j</m:t>
              </m:r>
            </m:oMath>
          </w:p>
        </w:tc>
        <w:tc>
          <w:tcPr>
            <w:tcW w:w="1633" w:type="dxa"/>
          </w:tcPr>
          <w:p w14:paraId="131DFEBD">
            <w:pPr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Reflects the independence of a node from control by others</w:t>
            </w:r>
          </w:p>
        </w:tc>
      </w:tr>
      <w:tr w14:paraId="624DE278">
        <w:tc>
          <w:tcPr>
            <w:tcW w:w="1701" w:type="dxa"/>
          </w:tcPr>
          <w:p w14:paraId="3B5C9074">
            <w:pPr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Network density</w:t>
            </w:r>
          </w:p>
        </w:tc>
        <w:tc>
          <w:tcPr>
            <w:tcW w:w="2694" w:type="dxa"/>
          </w:tcPr>
          <w:p w14:paraId="691E83BD">
            <w:pPr>
              <w:jc w:val="center"/>
              <w:rPr>
                <w:kern w:val="0"/>
                <w:sz w:val="20"/>
              </w:rPr>
            </w:pPr>
            <m:oMathPara>
              <m:oMath>
                <m:r>
                  <m:rPr/>
                  <w:rPr>
                    <w:rStyle w:val="10"/>
                    <w:rFonts w:ascii="Cambria Math" w:hAnsi="Cambria Math"/>
                    <w:color w:val="auto"/>
                    <w:kern w:val="0"/>
                    <w:sz w:val="20"/>
                  </w:rPr>
                  <m:t>D=</m:t>
                </m:r>
                <m:f>
                  <m:fPr>
                    <m:ctrlPr>
                      <w:rPr>
                        <w:rStyle w:val="10"/>
                        <w:rFonts w:ascii="Cambria Math" w:hAnsi="Cambria Math"/>
                        <w:i/>
                        <w:color w:val="auto"/>
                        <w:kern w:val="0"/>
                        <w:sz w:val="20"/>
                      </w:rPr>
                    </m:ctrlPr>
                  </m:fPr>
                  <m:num>
                    <m:r>
                      <m:rPr/>
                      <w:rPr>
                        <w:rStyle w:val="10"/>
                        <w:rFonts w:ascii="Cambria Math" w:hAnsi="Cambria Math"/>
                        <w:color w:val="auto"/>
                        <w:kern w:val="0"/>
                        <w:sz w:val="20"/>
                      </w:rPr>
                      <m:t>2l</m:t>
                    </m:r>
                    <m:ctrlPr>
                      <w:rPr>
                        <w:rStyle w:val="10"/>
                        <w:rFonts w:ascii="Cambria Math" w:hAnsi="Cambria Math"/>
                        <w:i/>
                        <w:color w:val="auto"/>
                        <w:kern w:val="0"/>
                        <w:sz w:val="20"/>
                      </w:rPr>
                    </m:ctrlPr>
                  </m:num>
                  <m:den>
                    <m:r>
                      <m:rPr/>
                      <w:rPr>
                        <w:rStyle w:val="10"/>
                        <w:rFonts w:ascii="Cambria Math" w:hAnsi="Cambria Math"/>
                        <w:color w:val="auto"/>
                        <w:kern w:val="0"/>
                        <w:sz w:val="20"/>
                      </w:rPr>
                      <m:t>n(n−1)</m:t>
                    </m:r>
                    <m:ctrlPr>
                      <w:rPr>
                        <w:rStyle w:val="10"/>
                        <w:rFonts w:ascii="Cambria Math" w:hAnsi="Cambria Math"/>
                        <w:i/>
                        <w:color w:val="auto"/>
                        <w:kern w:val="0"/>
                        <w:sz w:val="20"/>
                      </w:rPr>
                    </m:ctrlPr>
                  </m:den>
                </m:f>
                <m:nary>
                  <m:naryPr>
                    <m:chr m:val="∑"/>
                    <m:limLoc m:val="undOvr"/>
                    <m:supHide m:val="1"/>
                    <m:ctrlPr>
                      <w:rPr>
                        <w:rStyle w:val="10"/>
                        <w:rFonts w:ascii="Cambria Math" w:hAnsi="Cambria Math"/>
                        <w:i/>
                        <w:color w:val="auto"/>
                        <w:kern w:val="0"/>
                        <w:sz w:val="20"/>
                      </w:rPr>
                    </m:ctrlPr>
                  </m:naryPr>
                  <m:sub>
                    <m:r>
                      <m:rPr/>
                      <w:rPr>
                        <w:rStyle w:val="10"/>
                        <w:rFonts w:ascii="Cambria Math" w:hAnsi="Cambria Math"/>
                        <w:color w:val="auto"/>
                        <w:kern w:val="0"/>
                        <w:sz w:val="20"/>
                      </w:rPr>
                      <m:t>i≥j</m:t>
                    </m:r>
                    <m:ctrlPr>
                      <w:rPr>
                        <w:rStyle w:val="10"/>
                        <w:rFonts w:ascii="Cambria Math" w:hAnsi="Cambria Math"/>
                        <w:i/>
                        <w:color w:val="auto"/>
                        <w:kern w:val="0"/>
                        <w:sz w:val="20"/>
                      </w:rPr>
                    </m:ctrlPr>
                  </m:sub>
                  <m:sup>
                    <m:ctrlPr>
                      <w:rPr>
                        <w:rStyle w:val="10"/>
                        <w:rFonts w:ascii="Cambria Math" w:hAnsi="Cambria Math"/>
                        <w:i/>
                        <w:color w:val="auto"/>
                        <w:kern w:val="0"/>
                        <w:sz w:val="20"/>
                      </w:rPr>
                    </m:ctrlPr>
                  </m:sup>
                  <m:e>
                    <m:sSub>
                      <m:sSubPr>
                        <m:ctrlPr>
                          <w:rPr>
                            <w:rStyle w:val="10"/>
                            <w:rFonts w:ascii="Cambria Math" w:hAnsi="Cambria Math"/>
                            <w:i/>
                            <w:color w:val="auto"/>
                            <w:kern w:val="0"/>
                            <w:sz w:val="20"/>
                          </w:rPr>
                        </m:ctrlPr>
                      </m:sSubPr>
                      <m:e>
                        <m:r>
                          <m:rPr/>
                          <w:rPr>
                            <w:rStyle w:val="10"/>
                            <w:rFonts w:ascii="Cambria Math" w:hAnsi="Cambria Math"/>
                            <w:color w:val="auto"/>
                            <w:kern w:val="0"/>
                            <w:sz w:val="20"/>
                          </w:rPr>
                          <m:t>d</m:t>
                        </m:r>
                        <m:ctrlPr>
                          <w:rPr>
                            <w:rStyle w:val="10"/>
                            <w:rFonts w:ascii="Cambria Math" w:hAnsi="Cambria Math"/>
                            <w:i/>
                            <w:color w:val="auto"/>
                            <w:kern w:val="0"/>
                            <w:sz w:val="20"/>
                          </w:rPr>
                        </m:ctrlPr>
                      </m:e>
                      <m:sub>
                        <m:r>
                          <m:rPr/>
                          <w:rPr>
                            <w:rStyle w:val="10"/>
                            <w:rFonts w:ascii="Cambria Math" w:hAnsi="Cambria Math"/>
                            <w:color w:val="auto"/>
                            <w:kern w:val="0"/>
                            <w:sz w:val="20"/>
                          </w:rPr>
                          <m:t>ij</m:t>
                        </m:r>
                        <m:ctrlPr>
                          <w:rPr>
                            <w:rStyle w:val="10"/>
                            <w:rFonts w:ascii="Cambria Math" w:hAnsi="Cambria Math"/>
                            <w:i/>
                            <w:color w:val="auto"/>
                            <w:kern w:val="0"/>
                            <w:sz w:val="20"/>
                          </w:rPr>
                        </m:ctrlPr>
                      </m:sub>
                    </m:sSub>
                    <m:ctrlPr>
                      <w:rPr>
                        <w:rStyle w:val="10"/>
                        <w:rFonts w:ascii="Cambria Math" w:hAnsi="Cambria Math"/>
                        <w:i/>
                        <w:color w:val="auto"/>
                        <w:kern w:val="0"/>
                        <w:sz w:val="20"/>
                      </w:rPr>
                    </m:ctrlPr>
                  </m:e>
                </m:nary>
              </m:oMath>
            </m:oMathPara>
          </w:p>
        </w:tc>
        <w:tc>
          <w:tcPr>
            <w:tcW w:w="2268" w:type="dxa"/>
          </w:tcPr>
          <w:p w14:paraId="52B0C78B">
            <w:pPr>
              <w:jc w:val="center"/>
              <w:rPr>
                <w:kern w:val="0"/>
                <w:sz w:val="20"/>
              </w:rPr>
            </w:pPr>
            <m:oMath>
              <m:r>
                <m:rPr/>
                <w:rPr>
                  <w:rStyle w:val="10"/>
                  <w:rFonts w:ascii="Cambria Math" w:hAnsi="Cambria Math"/>
                  <w:color w:val="auto"/>
                  <w:kern w:val="0"/>
                  <w:sz w:val="20"/>
                </w:rPr>
                <m:t>l</m:t>
              </m:r>
            </m:oMath>
            <w:r>
              <w:rPr>
                <w:kern w:val="0"/>
                <w:sz w:val="20"/>
              </w:rPr>
              <w:t xml:space="preserve">= number of cooperation edges; </w:t>
            </w:r>
            <m:oMath>
              <m:r>
                <m:rPr/>
                <w:rPr>
                  <w:rStyle w:val="10"/>
                  <w:rFonts w:ascii="Cambria Math" w:hAnsi="Cambria Math"/>
                  <w:color w:val="auto"/>
                  <w:kern w:val="0"/>
                  <w:sz w:val="20"/>
                </w:rPr>
                <m:t>n</m:t>
              </m:r>
            </m:oMath>
            <w:r>
              <w:rPr>
                <w:kern w:val="0"/>
                <w:sz w:val="20"/>
              </w:rPr>
              <w:t>= number of nodes</w:t>
            </w:r>
          </w:p>
        </w:tc>
        <w:tc>
          <w:tcPr>
            <w:tcW w:w="1633" w:type="dxa"/>
          </w:tcPr>
          <w:p w14:paraId="62E41030">
            <w:pPr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Reflects the tightness of connections among nodes</w:t>
            </w:r>
          </w:p>
        </w:tc>
      </w:tr>
      <w:tr w14:paraId="441330C1">
        <w:tc>
          <w:tcPr>
            <w:tcW w:w="1701" w:type="dxa"/>
          </w:tcPr>
          <w:p w14:paraId="60F5F80C">
            <w:pPr>
              <w:jc w:val="center"/>
              <w:rPr>
                <w:kern w:val="0"/>
                <w:sz w:val="20"/>
              </w:rPr>
            </w:pPr>
            <w:r>
              <w:rPr>
                <w:i/>
                <w:iCs/>
                <w:kern w:val="0"/>
                <w:sz w:val="20"/>
              </w:rPr>
              <w:t>N-</w:t>
            </w:r>
            <w:r>
              <w:rPr>
                <w:kern w:val="0"/>
                <w:sz w:val="20"/>
              </w:rPr>
              <w:t>clique</w:t>
            </w:r>
          </w:p>
        </w:tc>
        <w:tc>
          <w:tcPr>
            <w:tcW w:w="2694" w:type="dxa"/>
          </w:tcPr>
          <w:p w14:paraId="5739D81F">
            <w:pPr>
              <w:jc w:val="center"/>
              <w:rPr>
                <w:rStyle w:val="10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m:oMathPara>
              <m:oMath>
                <m:r>
                  <m:rPr/>
                  <w:rPr>
                    <w:rStyle w:val="10"/>
                    <w:rFonts w:ascii="Cambria Math" w:hAnsi="Cambria Math"/>
                    <w:color w:val="000000" w:themeColor="text1"/>
                    <w:kern w:val="0"/>
                    <w:sz w:val="20"/>
                    <w14:textFill>
                      <w14:solidFill>
                        <w14:schemeClr w14:val="tx1"/>
                      </w14:solidFill>
                    </w14:textFill>
                  </w:rPr>
                  <m:t xml:space="preserve">∀i,j∈S,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kern w:val="0"/>
                        <w:sz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/>
                        <w:kern w:val="0"/>
                        <w:sz w:val="20"/>
                      </w:rPr>
                      <m:t>d</m:t>
                    </m:r>
                    <m:ctrlPr>
                      <w:rPr>
                        <w:rFonts w:ascii="Cambria Math" w:hAnsi="Cambria Math"/>
                        <w:i/>
                        <w:kern w:val="0"/>
                        <w:sz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/>
                        <w:kern w:val="0"/>
                        <w:sz w:val="20"/>
                      </w:rPr>
                      <m:t>ij</m:t>
                    </m:r>
                    <m:ctrlPr>
                      <w:rPr>
                        <w:rFonts w:ascii="Cambria Math" w:hAnsi="Cambria Math"/>
                        <w:i/>
                        <w:kern w:val="0"/>
                        <w:sz w:val="20"/>
                      </w:rPr>
                    </m:ctrlPr>
                  </m:sub>
                </m:sSub>
                <m:r>
                  <m:rPr/>
                  <w:rPr>
                    <w:rStyle w:val="10"/>
                    <w:rFonts w:ascii="Cambria Math" w:hAnsi="Cambria Math"/>
                    <w:color w:val="000000" w:themeColor="text1"/>
                    <w:kern w:val="0"/>
                    <w:sz w:val="20"/>
                    <w14:textFill>
                      <w14:solidFill>
                        <w14:schemeClr w14:val="tx1"/>
                      </w14:solidFill>
                    </w14:textFill>
                  </w:rPr>
                  <m:t>≤N</m:t>
                </m:r>
              </m:oMath>
            </m:oMathPara>
          </w:p>
        </w:tc>
        <w:tc>
          <w:tcPr>
            <w:tcW w:w="2268" w:type="dxa"/>
          </w:tcPr>
          <w:p w14:paraId="61250F73">
            <w:pPr>
              <w:jc w:val="center"/>
              <w:rPr>
                <w:rStyle w:val="10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m:oMath>
              <m:r>
                <m:rPr/>
                <w:rPr>
                  <w:rStyle w:val="10"/>
                  <w:rFonts w:ascii="Cambria Math" w:hAnsi="Cambria Math"/>
                  <w:color w:val="000000" w:themeColor="text1"/>
                  <w:kern w:val="0"/>
                  <w:sz w:val="20"/>
                  <w14:textFill>
                    <w14:solidFill>
                      <w14:schemeClr w14:val="tx1"/>
                    </w14:solidFill>
                  </w14:textFill>
                </w:rPr>
                <m:t>S</m:t>
              </m:r>
            </m:oMath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= node set of a maximal induced subgraph;</w:t>
            </w:r>
            <w:r>
              <w:rPr>
                <w:i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kern w:val="0"/>
                      <w:sz w:val="20"/>
                    </w:rPr>
                  </m:ctrlPr>
                </m:sSubPr>
                <m:e>
                  <m:r>
                    <m:rPr/>
                    <w:rPr>
                      <w:rFonts w:ascii="Cambria Math" w:hAnsi="Cambria Math"/>
                      <w:kern w:val="0"/>
                      <w:sz w:val="20"/>
                    </w:rPr>
                    <m:t>d</m:t>
                  </m:r>
                  <m:ctrlPr>
                    <w:rPr>
                      <w:rFonts w:ascii="Cambria Math" w:hAnsi="Cambria Math"/>
                      <w:i/>
                      <w:kern w:val="0"/>
                      <w:sz w:val="20"/>
                    </w:rPr>
                  </m:ctrlPr>
                </m:e>
                <m:sub>
                  <m:r>
                    <m:rPr/>
                    <w:rPr>
                      <w:rFonts w:ascii="Cambria Math" w:hAnsi="Cambria Math"/>
                      <w:kern w:val="0"/>
                      <w:sz w:val="20"/>
                    </w:rPr>
                    <m:t>ij</m:t>
                  </m:r>
                  <m:ctrlPr>
                    <w:rPr>
                      <w:rFonts w:ascii="Cambria Math" w:hAnsi="Cambria Math"/>
                      <w:i/>
                      <w:kern w:val="0"/>
                      <w:sz w:val="20"/>
                    </w:rPr>
                  </m:ctrlPr>
                </m:sub>
              </m:sSub>
            </m:oMath>
            <w:r>
              <w:rPr>
                <w:kern w:val="0"/>
                <w:sz w:val="20"/>
              </w:rPr>
              <w:t>= shortest path distance between nodes</w:t>
            </w:r>
            <w:r>
              <w:rPr>
                <w:i/>
                <w:kern w:val="0"/>
                <w:sz w:val="20"/>
              </w:rPr>
              <w:t xml:space="preserve"> </w:t>
            </w:r>
            <m:oMath>
              <m:r>
                <m:rPr/>
                <w:rPr>
                  <w:rFonts w:ascii="Cambria Math" w:hAnsi="Cambria Math"/>
                  <w:kern w:val="0"/>
                  <w:sz w:val="20"/>
                </w:rPr>
                <m:t>i</m:t>
              </m:r>
            </m:oMath>
            <w:r>
              <w:rPr>
                <w:i/>
                <w:kern w:val="0"/>
                <w:sz w:val="20"/>
              </w:rPr>
              <w:t xml:space="preserve"> </w:t>
            </w:r>
            <w:r>
              <w:rPr>
                <w:kern w:val="0"/>
                <w:sz w:val="20"/>
              </w:rPr>
              <w:t xml:space="preserve">and </w:t>
            </w:r>
            <m:oMath>
              <m:r>
                <m:rPr/>
                <w:rPr>
                  <w:rFonts w:ascii="Cambria Math" w:hAnsi="Cambria Math"/>
                  <w:kern w:val="0"/>
                  <w:sz w:val="20"/>
                </w:rPr>
                <m:t>j</m:t>
              </m:r>
            </m:oMath>
            <w:r>
              <w:rPr>
                <w:kern w:val="0"/>
                <w:sz w:val="20"/>
              </w:rPr>
              <w:t xml:space="preserve">; </w:t>
            </w:r>
            <m:oMath>
              <m:r>
                <m:rPr/>
                <w:rPr>
                  <w:rStyle w:val="10"/>
                  <w:rFonts w:ascii="Cambria Math" w:hAnsi="Cambria Math"/>
                  <w:color w:val="000000" w:themeColor="text1"/>
                  <w:kern w:val="0"/>
                  <w:sz w:val="20"/>
                  <w14:textFill>
                    <w14:solidFill>
                      <w14:schemeClr w14:val="tx1"/>
                    </w14:solidFill>
                  </w14:textFill>
                </w:rPr>
                <m:t>N</m:t>
              </m:r>
            </m:oMath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= maximum path distance</w:t>
            </w:r>
          </w:p>
        </w:tc>
        <w:tc>
          <w:tcPr>
            <w:tcW w:w="1633" w:type="dxa"/>
          </w:tcPr>
          <w:p w14:paraId="65CEA816">
            <w:pPr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Identifies cohesive subgroups based on reachability</w:t>
            </w:r>
          </w:p>
        </w:tc>
      </w:tr>
      <w:tr w14:paraId="3C20008C">
        <w:tc>
          <w:tcPr>
            <w:tcW w:w="1701" w:type="dxa"/>
          </w:tcPr>
          <w:p w14:paraId="2F423102">
            <w:pPr>
              <w:jc w:val="center"/>
              <w:rPr>
                <w:kern w:val="0"/>
                <w:sz w:val="20"/>
              </w:rPr>
            </w:pPr>
            <w:r>
              <w:rPr>
                <w:i/>
                <w:iCs/>
                <w:kern w:val="0"/>
                <w:sz w:val="20"/>
              </w:rPr>
              <w:t>K</w:t>
            </w:r>
            <w:r>
              <w:rPr>
                <w:kern w:val="0"/>
                <w:sz w:val="20"/>
              </w:rPr>
              <w:t>-plex</w:t>
            </w:r>
          </w:p>
        </w:tc>
        <w:tc>
          <w:tcPr>
            <w:tcW w:w="2694" w:type="dxa"/>
          </w:tcPr>
          <w:p w14:paraId="195EEBDA">
            <w:pPr>
              <w:jc w:val="center"/>
              <w:rPr>
                <w:rStyle w:val="10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m:oMathPara>
              <m:oMath>
                <m:r>
                  <m:rPr/>
                  <w:rPr>
                    <w:rStyle w:val="10"/>
                    <w:rFonts w:ascii="Cambria Math" w:hAnsi="Cambria Math"/>
                    <w:color w:val="000000" w:themeColor="text1"/>
                    <w:kern w:val="0"/>
                    <w:sz w:val="20"/>
                    <w14:textFill>
                      <w14:solidFill>
                        <w14:schemeClr w14:val="tx1"/>
                      </w14:solidFill>
                    </w14:textFill>
                  </w:rPr>
                  <m:t xml:space="preserve">∀i∈S, </m:t>
                </m:r>
                <m:sSub>
                  <m:sSubPr>
                    <m:ctrlPr>
                      <w:rPr>
                        <w:rStyle w:val="10"/>
                        <w:rFonts w:ascii="Cambria Math" w:hAnsi="Cambria Math"/>
                        <w:i/>
                        <w:color w:val="000000" w:themeColor="text1"/>
                        <w:kern w:val="0"/>
                        <w:sz w:val="2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SubPr>
                  <m:e>
                    <m:r>
                      <m:rPr/>
                      <w:rPr>
                        <w:rStyle w:val="10"/>
                        <w:rFonts w:ascii="Cambria Math" w:hAnsi="Cambria Math"/>
                        <w:color w:val="000000" w:themeColor="text1"/>
                        <w:kern w:val="0"/>
                        <w:sz w:val="2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 xml:space="preserve"> deg</m:t>
                    </m:r>
                    <m:ctrlPr>
                      <w:rPr>
                        <w:rStyle w:val="10"/>
                        <w:rFonts w:ascii="Cambria Math" w:hAnsi="Cambria Math"/>
                        <w:i/>
                        <w:color w:val="000000" w:themeColor="text1"/>
                        <w:kern w:val="0"/>
                        <w:sz w:val="2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e>
                  <m:sub>
                    <m:r>
                      <m:rPr/>
                      <w:rPr>
                        <w:rStyle w:val="10"/>
                        <w:rFonts w:ascii="Cambria Math" w:hAnsi="Cambria Math"/>
                        <w:color w:val="000000" w:themeColor="text1"/>
                        <w:kern w:val="0"/>
                        <w:sz w:val="2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s</m:t>
                    </m:r>
                    <m:ctrlPr>
                      <w:rPr>
                        <w:rStyle w:val="10"/>
                        <w:rFonts w:ascii="Cambria Math" w:hAnsi="Cambria Math"/>
                        <w:i/>
                        <w:color w:val="000000" w:themeColor="text1"/>
                        <w:kern w:val="0"/>
                        <w:sz w:val="2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ub>
                </m:sSub>
                <m:d>
                  <m:dPr>
                    <m:ctrlPr>
                      <w:rPr>
                        <w:rStyle w:val="10"/>
                        <w:rFonts w:ascii="Cambria Math" w:hAnsi="Cambria Math"/>
                        <w:i/>
                        <w:color w:val="000000" w:themeColor="text1"/>
                        <w:kern w:val="0"/>
                        <w:sz w:val="2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dPr>
                  <m:e>
                    <m:r>
                      <m:rPr/>
                      <w:rPr>
                        <w:rStyle w:val="10"/>
                        <w:rFonts w:ascii="Cambria Math" w:hAnsi="Cambria Math"/>
                        <w:color w:val="000000" w:themeColor="text1"/>
                        <w:kern w:val="0"/>
                        <w:sz w:val="2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i</m:t>
                    </m:r>
                    <m:ctrlPr>
                      <w:rPr>
                        <w:rStyle w:val="10"/>
                        <w:rFonts w:ascii="Cambria Math" w:hAnsi="Cambria Math"/>
                        <w:i/>
                        <w:color w:val="000000" w:themeColor="text1"/>
                        <w:kern w:val="0"/>
                        <w:sz w:val="2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e>
                </m:d>
                <m:r>
                  <m:rPr/>
                  <w:rPr>
                    <w:rStyle w:val="10"/>
                    <w:rFonts w:ascii="Cambria Math" w:hAnsi="Cambria Math"/>
                    <w:color w:val="000000" w:themeColor="text1"/>
                    <w:kern w:val="0"/>
                    <w:sz w:val="20"/>
                    <w14:textFill>
                      <w14:solidFill>
                        <w14:schemeClr w14:val="tx1"/>
                      </w14:solidFill>
                    </w14:textFill>
                  </w:rPr>
                  <m:t>≥</m:t>
                </m:r>
                <m:d>
                  <m:dPr>
                    <m:begChr m:val="|"/>
                    <m:endChr m:val="|"/>
                    <m:ctrlPr>
                      <w:rPr>
                        <w:rStyle w:val="10"/>
                        <w:rFonts w:ascii="Cambria Math" w:hAnsi="Cambria Math"/>
                        <w:i/>
                        <w:color w:val="000000" w:themeColor="text1"/>
                        <w:kern w:val="0"/>
                        <w:sz w:val="2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dPr>
                  <m:e>
                    <m:r>
                      <m:rPr/>
                      <w:rPr>
                        <w:rStyle w:val="10"/>
                        <w:rFonts w:ascii="Cambria Math" w:hAnsi="Cambria Math"/>
                        <w:color w:val="000000" w:themeColor="text1"/>
                        <w:kern w:val="0"/>
                        <w:sz w:val="2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S</m:t>
                    </m:r>
                    <m:ctrlPr>
                      <w:rPr>
                        <w:rStyle w:val="10"/>
                        <w:rFonts w:ascii="Cambria Math" w:hAnsi="Cambria Math"/>
                        <w:i/>
                        <w:color w:val="000000" w:themeColor="text1"/>
                        <w:kern w:val="0"/>
                        <w:sz w:val="2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e>
                </m:d>
                <m:r>
                  <m:rPr/>
                  <w:rPr>
                    <w:rStyle w:val="10"/>
                    <w:rFonts w:ascii="Cambria Math" w:hAnsi="Cambria Math"/>
                    <w:color w:val="000000" w:themeColor="text1"/>
                    <w:kern w:val="0"/>
                    <w:sz w:val="20"/>
                    <w14:textFill>
                      <w14:solidFill>
                        <w14:schemeClr w14:val="tx1"/>
                      </w14:solidFill>
                    </w14:textFill>
                  </w:rPr>
                  <m:t>−k</m:t>
                </m:r>
              </m:oMath>
            </m:oMathPara>
          </w:p>
        </w:tc>
        <w:tc>
          <w:tcPr>
            <w:tcW w:w="2268" w:type="dxa"/>
          </w:tcPr>
          <w:p w14:paraId="698AC0AA">
            <w:pPr>
              <w:jc w:val="center"/>
              <w:rPr>
                <w:rStyle w:val="10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m:oMath>
              <m:r>
                <m:rPr/>
                <w:rPr>
                  <w:rStyle w:val="10"/>
                  <w:rFonts w:ascii="Cambria Math" w:hAnsi="Cambria Math"/>
                  <w:color w:val="000000" w:themeColor="text1"/>
                  <w:kern w:val="0"/>
                  <w:sz w:val="20"/>
                  <w14:textFill>
                    <w14:solidFill>
                      <w14:schemeClr w14:val="tx1"/>
                    </w14:solidFill>
                  </w14:textFill>
                </w:rPr>
                <m:t>S</m:t>
              </m:r>
            </m:oMath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= node set of a maximal induced subgraph;</w:t>
            </w:r>
            <w:r>
              <w:rPr>
                <w:i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m:oMath>
              <m:d>
                <m:dPr>
                  <m:begChr m:val="|"/>
                  <m:endChr m:val="|"/>
                  <m:ctrlPr>
                    <w:rPr>
                      <w:rStyle w:val="10"/>
                      <w:rFonts w:ascii="Cambria Math" w:hAnsi="Cambria Math"/>
                      <w:i/>
                      <w:color w:val="000000" w:themeColor="text1"/>
                      <w:kern w:val="0"/>
                      <w:sz w:val="20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dPr>
                <m:e>
                  <m:r>
                    <m:rPr/>
                    <w:rPr>
                      <w:rStyle w:val="10"/>
                      <w:rFonts w:ascii="Cambria Math" w:hAnsi="Cambria Math"/>
                      <w:color w:val="000000" w:themeColor="text1"/>
                      <w:kern w:val="0"/>
                      <w:sz w:val="20"/>
                      <w14:textFill>
                        <w14:solidFill>
                          <w14:schemeClr w14:val="tx1"/>
                        </w14:solidFill>
                      </w14:textFill>
                    </w:rPr>
                    <m:t>S</m:t>
                  </m:r>
                  <m:ctrlPr>
                    <w:rPr>
                      <w:rStyle w:val="10"/>
                      <w:rFonts w:ascii="Cambria Math" w:hAnsi="Cambria Math"/>
                      <w:i/>
                      <w:color w:val="000000" w:themeColor="text1"/>
                      <w:kern w:val="0"/>
                      <w:sz w:val="20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e>
              </m:d>
            </m:oMath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= number of nodes in the subgraph;</w:t>
            </w:r>
            <w:r>
              <w:rPr>
                <w:i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m:oMath>
              <m:sSub>
                <m:sSubPr>
                  <m:ctrlPr>
                    <w:rPr>
                      <w:rStyle w:val="10"/>
                      <w:rFonts w:ascii="Cambria Math" w:hAnsi="Cambria Math"/>
                      <w:i/>
                      <w:color w:val="000000" w:themeColor="text1"/>
                      <w:kern w:val="0"/>
                      <w:sz w:val="20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sSubPr>
                <m:e>
                  <m:r>
                    <m:rPr/>
                    <w:rPr>
                      <w:rStyle w:val="10"/>
                      <w:rFonts w:ascii="Cambria Math" w:hAnsi="Cambria Math"/>
                      <w:color w:val="000000" w:themeColor="text1"/>
                      <w:kern w:val="0"/>
                      <w:sz w:val="20"/>
                      <w14:textFill>
                        <w14:solidFill>
                          <w14:schemeClr w14:val="tx1"/>
                        </w14:solidFill>
                      </w14:textFill>
                    </w:rPr>
                    <m:t xml:space="preserve"> deg</m:t>
                  </m:r>
                  <m:ctrlPr>
                    <w:rPr>
                      <w:rStyle w:val="10"/>
                      <w:rFonts w:ascii="Cambria Math" w:hAnsi="Cambria Math"/>
                      <w:i/>
                      <w:color w:val="000000" w:themeColor="text1"/>
                      <w:kern w:val="0"/>
                      <w:sz w:val="20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e>
                <m:sub>
                  <m:r>
                    <m:rPr/>
                    <w:rPr>
                      <w:rStyle w:val="10"/>
                      <w:rFonts w:ascii="Cambria Math" w:hAnsi="Cambria Math"/>
                      <w:color w:val="000000" w:themeColor="text1"/>
                      <w:kern w:val="0"/>
                      <w:sz w:val="20"/>
                      <w14:textFill>
                        <w14:solidFill>
                          <w14:schemeClr w14:val="tx1"/>
                        </w14:solidFill>
                      </w14:textFill>
                    </w:rPr>
                    <m:t>s</m:t>
                  </m:r>
                  <m:ctrlPr>
                    <w:rPr>
                      <w:rStyle w:val="10"/>
                      <w:rFonts w:ascii="Cambria Math" w:hAnsi="Cambria Math"/>
                      <w:i/>
                      <w:color w:val="000000" w:themeColor="text1"/>
                      <w:kern w:val="0"/>
                      <w:sz w:val="20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sub>
              </m:sSub>
              <m:d>
                <m:dPr>
                  <m:ctrlPr>
                    <w:rPr>
                      <w:rStyle w:val="10"/>
                      <w:rFonts w:ascii="Cambria Math" w:hAnsi="Cambria Math"/>
                      <w:i/>
                      <w:color w:val="000000" w:themeColor="text1"/>
                      <w:kern w:val="0"/>
                      <w:sz w:val="20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dPr>
                <m:e>
                  <m:r>
                    <m:rPr/>
                    <w:rPr>
                      <w:rStyle w:val="10"/>
                      <w:rFonts w:ascii="Cambria Math" w:hAnsi="Cambria Math"/>
                      <w:color w:val="000000" w:themeColor="text1"/>
                      <w:kern w:val="0"/>
                      <w:sz w:val="20"/>
                      <w14:textFill>
                        <w14:solidFill>
                          <w14:schemeClr w14:val="tx1"/>
                        </w14:solidFill>
                      </w14:textFill>
                    </w:rPr>
                    <m:t>i</m:t>
                  </m:r>
                  <m:ctrlPr>
                    <w:rPr>
                      <w:rStyle w:val="10"/>
                      <w:rFonts w:ascii="Cambria Math" w:hAnsi="Cambria Math"/>
                      <w:i/>
                      <w:color w:val="000000" w:themeColor="text1"/>
                      <w:kern w:val="0"/>
                      <w:sz w:val="20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e>
              </m:d>
            </m:oMath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= degree of node</w:t>
            </w:r>
            <w:r>
              <w:rPr>
                <w:i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m:oMath>
              <m:r>
                <m:rPr/>
                <w:rPr>
                  <w:rStyle w:val="10"/>
                  <w:rFonts w:ascii="Cambria Math" w:hAnsi="Cambria Math"/>
                  <w:color w:val="000000" w:themeColor="text1"/>
                  <w:kern w:val="0"/>
                  <w:sz w:val="20"/>
                  <w14:textFill>
                    <w14:solidFill>
                      <w14:schemeClr w14:val="tx1"/>
                    </w14:solidFill>
                  </w14:textFill>
                </w:rPr>
                <m:t>i</m:t>
              </m:r>
            </m:oMath>
            <w:r>
              <w:t xml:space="preserve"> </w:t>
            </w:r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within the subgraph; </w:t>
            </w:r>
            <m:oMath>
              <m:r>
                <m:rPr/>
                <w:rPr>
                  <w:rStyle w:val="10"/>
                  <w:rFonts w:ascii="Cambria Math" w:hAnsi="Cambria Math"/>
                  <w:color w:val="000000" w:themeColor="text1"/>
                  <w:kern w:val="0"/>
                  <w:sz w:val="20"/>
                  <w14:textFill>
                    <w14:solidFill>
                      <w14:schemeClr w14:val="tx1"/>
                    </w14:solidFill>
                  </w14:textFill>
                </w:rPr>
                <m:t>k</m:t>
              </m:r>
            </m:oMath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= maximum number of allowed missing internal edges</w:t>
            </w:r>
          </w:p>
        </w:tc>
        <w:tc>
          <w:tcPr>
            <w:tcW w:w="1633" w:type="dxa"/>
          </w:tcPr>
          <w:p w14:paraId="0B0E3BFD">
            <w:pPr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 xml:space="preserve">Identifies degree-based cohesive subgroups where each node misses at most </w:t>
            </w:r>
            <w:r>
              <w:rPr>
                <w:i/>
                <w:iCs/>
                <w:kern w:val="0"/>
                <w:sz w:val="20"/>
              </w:rPr>
              <w:t>k</w:t>
            </w:r>
            <w:r>
              <w:rPr>
                <w:kern w:val="0"/>
                <w:sz w:val="20"/>
              </w:rPr>
              <w:t xml:space="preserve"> internal edges</w:t>
            </w:r>
          </w:p>
        </w:tc>
      </w:tr>
      <w:tr w14:paraId="6F4CD570">
        <w:tc>
          <w:tcPr>
            <w:tcW w:w="1701" w:type="dxa"/>
            <w:tcBorders>
              <w:bottom w:val="nil"/>
            </w:tcBorders>
          </w:tcPr>
          <w:p w14:paraId="32C1D812">
            <w:pPr>
              <w:jc w:val="center"/>
              <w:rPr>
                <w:kern w:val="0"/>
                <w:sz w:val="20"/>
              </w:rPr>
            </w:pPr>
            <w:r>
              <w:rPr>
                <w:i/>
                <w:iCs/>
                <w:kern w:val="0"/>
                <w:sz w:val="20"/>
              </w:rPr>
              <w:t>K</w:t>
            </w:r>
            <w:r>
              <w:rPr>
                <w:kern w:val="0"/>
                <w:sz w:val="20"/>
              </w:rPr>
              <w:t>-core</w:t>
            </w:r>
          </w:p>
        </w:tc>
        <w:tc>
          <w:tcPr>
            <w:tcW w:w="2694" w:type="dxa"/>
            <w:tcBorders>
              <w:bottom w:val="nil"/>
            </w:tcBorders>
          </w:tcPr>
          <w:p w14:paraId="518B02E1">
            <w:pPr>
              <w:jc w:val="center"/>
              <w:rPr>
                <w:rStyle w:val="10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m:oMath>
              <m:r>
                <m:rPr/>
                <w:rPr>
                  <w:rStyle w:val="10"/>
                  <w:rFonts w:ascii="Cambria Math" w:hAnsi="Cambria Math"/>
                  <w:color w:val="000000" w:themeColor="text1"/>
                  <w:kern w:val="0"/>
                  <w:sz w:val="20"/>
                  <w14:textFill>
                    <w14:solidFill>
                      <w14:schemeClr w14:val="tx1"/>
                    </w14:solidFill>
                  </w14:textFill>
                </w:rPr>
                <m:t>∀i∈S</m:t>
              </m:r>
            </m:oMath>
            <w:r>
              <w:rPr>
                <w:rStyle w:val="10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m:oMath>
              <m:sSub>
                <m:sSubPr>
                  <m:ctrlPr>
                    <w:rPr>
                      <w:rStyle w:val="10"/>
                      <w:rFonts w:ascii="Cambria Math" w:hAnsi="Cambria Math"/>
                      <w:i/>
                      <w:color w:val="000000" w:themeColor="text1"/>
                      <w:kern w:val="0"/>
                      <w:sz w:val="20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sSubPr>
                <m:e>
                  <m:r>
                    <m:rPr/>
                    <w:rPr>
                      <w:rStyle w:val="10"/>
                      <w:rFonts w:ascii="Cambria Math" w:hAnsi="Cambria Math"/>
                      <w:color w:val="000000" w:themeColor="text1"/>
                      <w:kern w:val="0"/>
                      <w:sz w:val="20"/>
                      <w14:textFill>
                        <w14:solidFill>
                          <w14:schemeClr w14:val="tx1"/>
                        </w14:solidFill>
                      </w14:textFill>
                    </w:rPr>
                    <m:t>deg</m:t>
                  </m:r>
                  <m:ctrlPr>
                    <w:rPr>
                      <w:rStyle w:val="10"/>
                      <w:rFonts w:ascii="Cambria Math" w:hAnsi="Cambria Math"/>
                      <w:i/>
                      <w:color w:val="000000" w:themeColor="text1"/>
                      <w:kern w:val="0"/>
                      <w:sz w:val="20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e>
                <m:sub>
                  <m:r>
                    <m:rPr/>
                    <w:rPr>
                      <w:rStyle w:val="10"/>
                      <w:rFonts w:ascii="Cambria Math" w:hAnsi="Cambria Math"/>
                      <w:color w:val="000000" w:themeColor="text1"/>
                      <w:kern w:val="0"/>
                      <w:sz w:val="20"/>
                      <w14:textFill>
                        <w14:solidFill>
                          <w14:schemeClr w14:val="tx1"/>
                        </w14:solidFill>
                      </w14:textFill>
                    </w:rPr>
                    <m:t>s</m:t>
                  </m:r>
                  <m:ctrlPr>
                    <w:rPr>
                      <w:rStyle w:val="10"/>
                      <w:rFonts w:ascii="Cambria Math" w:hAnsi="Cambria Math"/>
                      <w:i/>
                      <w:color w:val="000000" w:themeColor="text1"/>
                      <w:kern w:val="0"/>
                      <w:sz w:val="20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sub>
              </m:sSub>
              <m:d>
                <m:dPr>
                  <m:ctrlPr>
                    <w:rPr>
                      <w:rStyle w:val="10"/>
                      <w:rFonts w:ascii="Cambria Math" w:hAnsi="Cambria Math"/>
                      <w:i/>
                      <w:color w:val="000000" w:themeColor="text1"/>
                      <w:kern w:val="0"/>
                      <w:sz w:val="20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dPr>
                <m:e>
                  <m:r>
                    <m:rPr/>
                    <w:rPr>
                      <w:rStyle w:val="10"/>
                      <w:rFonts w:ascii="Cambria Math" w:hAnsi="Cambria Math"/>
                      <w:color w:val="000000" w:themeColor="text1"/>
                      <w:kern w:val="0"/>
                      <w:sz w:val="20"/>
                      <w14:textFill>
                        <w14:solidFill>
                          <w14:schemeClr w14:val="tx1"/>
                        </w14:solidFill>
                      </w14:textFill>
                    </w:rPr>
                    <m:t>i</m:t>
                  </m:r>
                  <m:ctrlPr>
                    <w:rPr>
                      <w:rStyle w:val="10"/>
                      <w:rFonts w:ascii="Cambria Math" w:hAnsi="Cambria Math"/>
                      <w:i/>
                      <w:color w:val="000000" w:themeColor="text1"/>
                      <w:kern w:val="0"/>
                      <w:sz w:val="20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e>
              </m:d>
              <m:r>
                <m:rPr/>
                <w:rPr>
                  <w:rStyle w:val="10"/>
                  <w:rFonts w:ascii="Cambria Math" w:hAnsi="Cambria Math"/>
                  <w:color w:val="000000" w:themeColor="text1"/>
                  <w:kern w:val="0"/>
                  <w:sz w:val="20"/>
                  <w14:textFill>
                    <w14:solidFill>
                      <w14:schemeClr w14:val="tx1"/>
                    </w14:solidFill>
                  </w14:textFill>
                </w:rPr>
                <m:t>≥k</m:t>
              </m:r>
            </m:oMath>
          </w:p>
        </w:tc>
        <w:tc>
          <w:tcPr>
            <w:tcW w:w="2268" w:type="dxa"/>
            <w:tcBorders>
              <w:bottom w:val="nil"/>
            </w:tcBorders>
          </w:tcPr>
          <w:p w14:paraId="5CFA517F">
            <w:pPr>
              <w:jc w:val="center"/>
              <w:rPr>
                <w:rStyle w:val="10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m:oMath>
              <m:r>
                <m:rPr/>
                <w:rPr>
                  <w:rStyle w:val="10"/>
                  <w:rFonts w:ascii="Cambria Math" w:hAnsi="Cambria Math"/>
                  <w:color w:val="000000" w:themeColor="text1"/>
                  <w:kern w:val="0"/>
                  <w:sz w:val="20"/>
                  <w14:textFill>
                    <w14:solidFill>
                      <w14:schemeClr w14:val="tx1"/>
                    </w14:solidFill>
                  </w14:textFill>
                </w:rPr>
                <m:t>S</m:t>
              </m:r>
            </m:oMath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= node set of a maximal induced subgraph;</w:t>
            </w:r>
            <w:r>
              <w:rPr>
                <w:i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m:oMath>
              <m:sSub>
                <m:sSubPr>
                  <m:ctrlPr>
                    <w:rPr>
                      <w:rStyle w:val="10"/>
                      <w:rFonts w:ascii="Cambria Math" w:hAnsi="Cambria Math"/>
                      <w:i/>
                      <w:color w:val="000000" w:themeColor="text1"/>
                      <w:kern w:val="0"/>
                      <w:sz w:val="20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sSubPr>
                <m:e>
                  <m:r>
                    <m:rPr/>
                    <w:rPr>
                      <w:rStyle w:val="10"/>
                      <w:rFonts w:ascii="Cambria Math" w:hAnsi="Cambria Math"/>
                      <w:color w:val="000000" w:themeColor="text1"/>
                      <w:kern w:val="0"/>
                      <w:sz w:val="20"/>
                      <w14:textFill>
                        <w14:solidFill>
                          <w14:schemeClr w14:val="tx1"/>
                        </w14:solidFill>
                      </w14:textFill>
                    </w:rPr>
                    <m:t xml:space="preserve"> deg</m:t>
                  </m:r>
                  <m:ctrlPr>
                    <w:rPr>
                      <w:rStyle w:val="10"/>
                      <w:rFonts w:ascii="Cambria Math" w:hAnsi="Cambria Math"/>
                      <w:i/>
                      <w:color w:val="000000" w:themeColor="text1"/>
                      <w:kern w:val="0"/>
                      <w:sz w:val="20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e>
                <m:sub>
                  <m:r>
                    <m:rPr/>
                    <w:rPr>
                      <w:rStyle w:val="10"/>
                      <w:rFonts w:ascii="Cambria Math" w:hAnsi="Cambria Math"/>
                      <w:color w:val="000000" w:themeColor="text1"/>
                      <w:kern w:val="0"/>
                      <w:sz w:val="20"/>
                      <w14:textFill>
                        <w14:solidFill>
                          <w14:schemeClr w14:val="tx1"/>
                        </w14:solidFill>
                      </w14:textFill>
                    </w:rPr>
                    <m:t>s</m:t>
                  </m:r>
                  <m:ctrlPr>
                    <w:rPr>
                      <w:rStyle w:val="10"/>
                      <w:rFonts w:ascii="Cambria Math" w:hAnsi="Cambria Math"/>
                      <w:i/>
                      <w:color w:val="000000" w:themeColor="text1"/>
                      <w:kern w:val="0"/>
                      <w:sz w:val="20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sub>
              </m:sSub>
              <m:d>
                <m:dPr>
                  <m:ctrlPr>
                    <w:rPr>
                      <w:rStyle w:val="10"/>
                      <w:rFonts w:ascii="Cambria Math" w:hAnsi="Cambria Math"/>
                      <w:i/>
                      <w:color w:val="000000" w:themeColor="text1"/>
                      <w:kern w:val="0"/>
                      <w:sz w:val="20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dPr>
                <m:e>
                  <m:r>
                    <m:rPr/>
                    <w:rPr>
                      <w:rStyle w:val="10"/>
                      <w:rFonts w:ascii="Cambria Math" w:hAnsi="Cambria Math"/>
                      <w:color w:val="000000" w:themeColor="text1"/>
                      <w:kern w:val="0"/>
                      <w:sz w:val="20"/>
                      <w14:textFill>
                        <w14:solidFill>
                          <w14:schemeClr w14:val="tx1"/>
                        </w14:solidFill>
                      </w14:textFill>
                    </w:rPr>
                    <m:t>i</m:t>
                  </m:r>
                  <m:ctrlPr>
                    <w:rPr>
                      <w:rStyle w:val="10"/>
                      <w:rFonts w:ascii="Cambria Math" w:hAnsi="Cambria Math"/>
                      <w:i/>
                      <w:color w:val="000000" w:themeColor="text1"/>
                      <w:kern w:val="0"/>
                      <w:sz w:val="20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e>
              </m:d>
            </m:oMath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= degree of node i within the subgraph;</w:t>
            </w:r>
            <w:r>
              <w:rPr>
                <w:i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m:oMath>
              <m:r>
                <m:rPr/>
                <w:rPr>
                  <w:rStyle w:val="10"/>
                  <w:rFonts w:ascii="Cambria Math" w:hAnsi="Cambria Math"/>
                  <w:color w:val="000000" w:themeColor="text1"/>
                  <w:kern w:val="0"/>
                  <w:sz w:val="20"/>
                  <w14:textFill>
                    <w14:solidFill>
                      <w14:schemeClr w14:val="tx1"/>
                    </w14:solidFill>
                  </w14:textFill>
                </w:rPr>
                <m:t>k</m:t>
              </m:r>
            </m:oMath>
            <w:bookmarkStart w:id="1" w:name="OLE_LINK3"/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= minimum degree threshold</w:t>
            </w:r>
            <w:bookmarkEnd w:id="1"/>
          </w:p>
        </w:tc>
        <w:tc>
          <w:tcPr>
            <w:tcW w:w="1633" w:type="dxa"/>
            <w:tcBorders>
              <w:bottom w:val="nil"/>
            </w:tcBorders>
          </w:tcPr>
          <w:p w14:paraId="0A155439">
            <w:pPr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Identifies connected core subgroups meeting a minimum degree requirement</w:t>
            </w:r>
          </w:p>
        </w:tc>
      </w:tr>
      <w:tr w14:paraId="58453E1A">
        <w:tc>
          <w:tcPr>
            <w:tcW w:w="1701" w:type="dxa"/>
            <w:tcBorders>
              <w:top w:val="nil"/>
              <w:bottom w:val="nil"/>
            </w:tcBorders>
          </w:tcPr>
          <w:p w14:paraId="71A51582">
            <w:pPr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Component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53704C0">
            <w:pPr>
              <w:jc w:val="center"/>
              <w:rPr>
                <w:rStyle w:val="10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m:oMathPara>
              <m:oMath>
                <m:r>
                  <m:rPr/>
                  <w:rPr>
                    <w:rStyle w:val="10"/>
                    <w:rFonts w:ascii="Cambria Math" w:hAnsi="Cambria Math"/>
                    <w:color w:val="000000" w:themeColor="text1"/>
                    <w:kern w:val="0"/>
                    <w:sz w:val="20"/>
                    <w14:textFill>
                      <w14:solidFill>
                        <w14:schemeClr w14:val="tx1"/>
                      </w14:solidFill>
                    </w14:textFill>
                  </w:rPr>
                  <m:t>∀i,j∈S, ∃ path i↔j;</m:t>
                </m:r>
              </m:oMath>
            </m:oMathPara>
          </w:p>
          <w:p w14:paraId="0ABE2294">
            <w:pPr>
              <w:jc w:val="center"/>
              <w:rPr>
                <w:rStyle w:val="10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m:oMathPara>
              <m:oMath>
                <m:r>
                  <m:rPr/>
                  <w:rPr>
                    <w:rStyle w:val="10"/>
                    <w:rFonts w:ascii="Cambria Math" w:hAnsi="Cambria Math"/>
                    <w:color w:val="000000" w:themeColor="text1"/>
                    <w:kern w:val="0"/>
                    <w:sz w:val="20"/>
                    <w14:textFill>
                      <w14:solidFill>
                        <w14:schemeClr w14:val="tx1"/>
                      </w14:solidFill>
                    </w14:textFill>
                  </w:rPr>
                  <m:t xml:space="preserve">∀i∈S, j∉S,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kern w:val="0"/>
                        <w:sz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/>
                        <w:kern w:val="0"/>
                        <w:sz w:val="20"/>
                      </w:rPr>
                      <m:t>d</m:t>
                    </m:r>
                    <m:ctrlPr>
                      <w:rPr>
                        <w:rFonts w:ascii="Cambria Math" w:hAnsi="Cambria Math"/>
                        <w:i/>
                        <w:kern w:val="0"/>
                        <w:sz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/>
                        <w:kern w:val="0"/>
                        <w:sz w:val="20"/>
                      </w:rPr>
                      <m:t>ij</m:t>
                    </m:r>
                    <m:ctrlPr>
                      <w:rPr>
                        <w:rFonts w:ascii="Cambria Math" w:hAnsi="Cambria Math"/>
                        <w:i/>
                        <w:kern w:val="0"/>
                        <w:sz w:val="20"/>
                      </w:rPr>
                    </m:ctrlPr>
                  </m:sub>
                </m:sSub>
                <m:r>
                  <m:rPr/>
                  <w:rPr>
                    <w:rFonts w:ascii="Cambria Math" w:hAnsi="Cambria Math"/>
                    <w:kern w:val="0"/>
                    <w:sz w:val="20"/>
                  </w:rPr>
                  <m:t>=0</m:t>
                </m:r>
              </m:oMath>
            </m:oMathPara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B413FAA">
            <w:pPr>
              <w:jc w:val="center"/>
              <w:rPr>
                <w:rStyle w:val="10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m:oMath>
              <m:r>
                <m:rPr/>
                <w:rPr>
                  <w:rStyle w:val="10"/>
                  <w:rFonts w:ascii="Cambria Math" w:hAnsi="Cambria Math"/>
                  <w:color w:val="000000" w:themeColor="text1"/>
                  <w:kern w:val="0"/>
                  <w:sz w:val="20"/>
                  <w14:textFill>
                    <w14:solidFill>
                      <w14:schemeClr w14:val="tx1"/>
                    </w14:solidFill>
                  </w14:textFill>
                </w:rPr>
                <m:t>S</m:t>
              </m:r>
            </m:oMath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= node set of a maximal induced subgraph;</w:t>
            </w:r>
            <w:r>
              <w:rPr>
                <w:i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kern w:val="0"/>
                      <w:sz w:val="20"/>
                    </w:rPr>
                  </m:ctrlPr>
                </m:sSubPr>
                <m:e>
                  <m:r>
                    <m:rPr/>
                    <w:rPr>
                      <w:rFonts w:ascii="Cambria Math" w:hAnsi="Cambria Math"/>
                      <w:kern w:val="0"/>
                      <w:sz w:val="20"/>
                    </w:rPr>
                    <m:t>d</m:t>
                  </m:r>
                  <m:ctrlPr>
                    <w:rPr>
                      <w:rFonts w:ascii="Cambria Math" w:hAnsi="Cambria Math"/>
                      <w:i/>
                      <w:kern w:val="0"/>
                      <w:sz w:val="20"/>
                    </w:rPr>
                  </m:ctrlPr>
                </m:e>
                <m:sub>
                  <m:r>
                    <m:rPr/>
                    <w:rPr>
                      <w:rFonts w:ascii="Cambria Math" w:hAnsi="Cambria Math"/>
                      <w:kern w:val="0"/>
                      <w:sz w:val="20"/>
                    </w:rPr>
                    <m:t>ij</m:t>
                  </m:r>
                  <m:ctrlPr>
                    <w:rPr>
                      <w:rFonts w:ascii="Cambria Math" w:hAnsi="Cambria Math"/>
                      <w:i/>
                      <w:kern w:val="0"/>
                      <w:sz w:val="20"/>
                    </w:rPr>
                  </m:ctrlPr>
                </m:sub>
              </m:sSub>
            </m:oMath>
            <w:r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= connection status (1 = tie exists, 0 = no tie)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51342390">
            <w:pPr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Reflects internal connections within each subgraph</w:t>
            </w:r>
          </w:p>
        </w:tc>
      </w:tr>
      <w:tr w14:paraId="0DBBD9BD">
        <w:tc>
          <w:tcPr>
            <w:tcW w:w="1701" w:type="dxa"/>
            <w:tcBorders>
              <w:top w:val="nil"/>
              <w:bottom w:val="single" w:color="auto" w:sz="8" w:space="0"/>
            </w:tcBorders>
          </w:tcPr>
          <w:p w14:paraId="736C4FC5">
            <w:pPr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Core-periphery structure</w:t>
            </w:r>
          </w:p>
        </w:tc>
        <w:tc>
          <w:tcPr>
            <w:tcW w:w="2694" w:type="dxa"/>
            <w:tcBorders>
              <w:top w:val="nil"/>
              <w:bottom w:val="single" w:color="auto" w:sz="8" w:space="0"/>
            </w:tcBorders>
          </w:tcPr>
          <w:p w14:paraId="1D3D4117">
            <w:pPr>
              <w:jc w:val="center"/>
              <w:rPr>
                <w:rStyle w:val="10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2268" w:type="dxa"/>
            <w:tcBorders>
              <w:top w:val="nil"/>
              <w:bottom w:val="single" w:color="auto" w:sz="8" w:space="0"/>
            </w:tcBorders>
          </w:tcPr>
          <w:p w14:paraId="51F6C108">
            <w:pPr>
              <w:jc w:val="center"/>
              <w:rPr>
                <w:rStyle w:val="10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633" w:type="dxa"/>
            <w:tcBorders>
              <w:top w:val="nil"/>
              <w:bottom w:val="single" w:color="auto" w:sz="8" w:space="0"/>
            </w:tcBorders>
          </w:tcPr>
          <w:p w14:paraId="02583A29">
            <w:pPr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Describes the hierarchical structure of a social network</w:t>
            </w:r>
          </w:p>
        </w:tc>
      </w:tr>
    </w:tbl>
    <w:p w14:paraId="7A9CECE5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center" w:pos="4153"/>
          <w:tab w:val="left" w:pos="4200"/>
          <w:tab w:val="left" w:pos="6754"/>
        </w:tabs>
        <w:spacing w:line="360" w:lineRule="auto"/>
        <w:jc w:val="left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Note: The indicators selected in this study are derived from the research of Li et al. </w:t>
      </w:r>
      <w:r>
        <w:rPr>
          <w:bCs/>
          <w:sz w:val="18"/>
          <w:szCs w:val="18"/>
          <w:vertAlign w:val="superscript"/>
        </w:rPr>
        <w:fldChar w:fldCharType="begin"/>
      </w:r>
      <w:r>
        <w:rPr>
          <w:bCs/>
          <w:sz w:val="18"/>
          <w:szCs w:val="18"/>
          <w:vertAlign w:val="superscript"/>
        </w:rPr>
        <w:instrText xml:space="preserve"> REF _Ref224233987 \r \h  \* MERGEFORMAT </w:instrText>
      </w:r>
      <w:r>
        <w:rPr>
          <w:bCs/>
          <w:sz w:val="18"/>
          <w:szCs w:val="18"/>
          <w:vertAlign w:val="superscript"/>
        </w:rPr>
        <w:fldChar w:fldCharType="separate"/>
      </w:r>
      <w:r>
        <w:rPr>
          <w:bCs/>
          <w:sz w:val="18"/>
          <w:szCs w:val="18"/>
          <w:vertAlign w:val="superscript"/>
        </w:rPr>
        <w:t>[33]</w:t>
      </w:r>
      <w:r>
        <w:rPr>
          <w:bCs/>
          <w:sz w:val="18"/>
          <w:szCs w:val="18"/>
          <w:vertAlign w:val="superscript"/>
        </w:rPr>
        <w:fldChar w:fldCharType="end"/>
      </w:r>
      <w:r>
        <w:t xml:space="preserve"> </w:t>
      </w:r>
      <w:r>
        <w:rPr>
          <w:bCs/>
          <w:sz w:val="18"/>
          <w:szCs w:val="18"/>
        </w:rPr>
        <w:t xml:space="preserve">and Chen et al. </w:t>
      </w:r>
      <w:r>
        <w:rPr>
          <w:bCs/>
          <w:sz w:val="18"/>
          <w:szCs w:val="18"/>
          <w:vertAlign w:val="superscript"/>
        </w:rPr>
        <w:fldChar w:fldCharType="begin"/>
      </w:r>
      <w:r>
        <w:rPr>
          <w:bCs/>
          <w:sz w:val="18"/>
          <w:szCs w:val="18"/>
          <w:vertAlign w:val="superscript"/>
        </w:rPr>
        <w:instrText xml:space="preserve"> REF _Ref224230832 \r \h  \* MERGEFORMAT </w:instrText>
      </w:r>
      <w:r>
        <w:rPr>
          <w:bCs/>
          <w:sz w:val="18"/>
          <w:szCs w:val="18"/>
          <w:vertAlign w:val="superscript"/>
        </w:rPr>
        <w:fldChar w:fldCharType="separate"/>
      </w:r>
      <w:r>
        <w:rPr>
          <w:bCs/>
          <w:sz w:val="18"/>
          <w:szCs w:val="18"/>
          <w:vertAlign w:val="superscript"/>
        </w:rPr>
        <w:t>[9]</w:t>
      </w:r>
      <w:r>
        <w:rPr>
          <w:bCs/>
          <w:sz w:val="18"/>
          <w:szCs w:val="18"/>
          <w:vertAlign w:val="superscript"/>
        </w:rPr>
        <w:fldChar w:fldCharType="end"/>
      </w:r>
    </w:p>
    <w:p w14:paraId="3E1264A3"/>
    <w:p w14:paraId="6AEB02C7">
      <w:pPr>
        <w:pStyle w:val="3"/>
        <w:keepNext/>
        <w:jc w:val="center"/>
        <w:rPr>
          <w:rFonts w:ascii="Times New Roman" w:hAnsi="Times New Roman" w:cs="Times New Roman"/>
          <w:sz w:val="21"/>
          <w:szCs w:val="21"/>
        </w:rPr>
      </w:pPr>
      <w:bookmarkStart w:id="2" w:name="_Ref233127646"/>
      <w:r>
        <w:rPr>
          <w:rFonts w:ascii="Times New Roman" w:hAnsi="Times New Roman" w:cs="Times New Roman"/>
          <w:sz w:val="21"/>
          <w:szCs w:val="21"/>
        </w:rPr>
        <w:t>Table A</w:t>
      </w:r>
      <w:r>
        <w:rPr>
          <w:rFonts w:ascii="Times New Roman" w:hAnsi="Times New Roman" w:cs="Times New Roman"/>
          <w:sz w:val="21"/>
          <w:szCs w:val="21"/>
        </w:rPr>
        <w:fldChar w:fldCharType="begin"/>
      </w:r>
      <w:r>
        <w:rPr>
          <w:rFonts w:ascii="Times New Roman" w:hAnsi="Times New Roman" w:cs="Times New Roman"/>
          <w:sz w:val="21"/>
          <w:szCs w:val="21"/>
        </w:rPr>
        <w:instrText xml:space="preserve"> SEQ Table_A \* ARABIC </w:instrText>
      </w:r>
      <w:r>
        <w:rPr>
          <w:rFonts w:ascii="Times New Roman" w:hAnsi="Times New Roman" w:cs="Times New Roman"/>
          <w:sz w:val="21"/>
          <w:szCs w:val="21"/>
        </w:rPr>
        <w:fldChar w:fldCharType="separate"/>
      </w:r>
      <w:r>
        <w:rPr>
          <w:rFonts w:ascii="Times New Roman" w:hAnsi="Times New Roman" w:cs="Times New Roman"/>
          <w:sz w:val="21"/>
          <w:szCs w:val="21"/>
        </w:rPr>
        <w:t>2</w:t>
      </w:r>
      <w:r>
        <w:rPr>
          <w:rFonts w:ascii="Times New Roman" w:hAnsi="Times New Roman" w:cs="Times New Roman"/>
          <w:sz w:val="21"/>
          <w:szCs w:val="21"/>
        </w:rPr>
        <w:fldChar w:fldCharType="end"/>
      </w:r>
      <w:bookmarkEnd w:id="2"/>
      <w:r>
        <w:rPr>
          <w:rFonts w:hint="eastAsia"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Description of Modularity Indicator</w:t>
      </w: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6"/>
        <w:gridCol w:w="3099"/>
        <w:gridCol w:w="2046"/>
        <w:gridCol w:w="2045"/>
      </w:tblGrid>
      <w:tr w14:paraId="63B5264D">
        <w:tc>
          <w:tcPr>
            <w:tcW w:w="1116" w:type="dxa"/>
            <w:tcBorders>
              <w:top w:val="single" w:color="auto" w:sz="8" w:space="0"/>
              <w:bottom w:val="single" w:color="auto" w:sz="4" w:space="0"/>
            </w:tcBorders>
          </w:tcPr>
          <w:p w14:paraId="3326105A">
            <w:pPr>
              <w:keepNext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center" w:pos="4153"/>
                <w:tab w:val="left" w:pos="4200"/>
                <w:tab w:val="left" w:pos="6754"/>
              </w:tabs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b/>
                <w:bCs/>
                <w:kern w:val="0"/>
                <w:sz w:val="20"/>
              </w:rPr>
              <w:t>Indicator</w:t>
            </w:r>
          </w:p>
        </w:tc>
        <w:tc>
          <w:tcPr>
            <w:tcW w:w="3099" w:type="dxa"/>
            <w:tcBorders>
              <w:top w:val="single" w:color="auto" w:sz="8" w:space="0"/>
              <w:bottom w:val="single" w:color="auto" w:sz="4" w:space="0"/>
            </w:tcBorders>
          </w:tcPr>
          <w:p w14:paraId="564E2748">
            <w:pPr>
              <w:keepNext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center" w:pos="4153"/>
                <w:tab w:val="left" w:pos="4200"/>
                <w:tab w:val="left" w:pos="6754"/>
              </w:tabs>
              <w:jc w:val="center"/>
              <w:rPr>
                <w:b/>
                <w:bCs/>
                <w:kern w:val="0"/>
                <w:sz w:val="20"/>
                <w:szCs w:val="21"/>
              </w:rPr>
            </w:pPr>
            <w:r>
              <w:rPr>
                <w:b/>
                <w:bCs/>
                <w:kern w:val="0"/>
                <w:sz w:val="20"/>
              </w:rPr>
              <w:t>Formula</w:t>
            </w:r>
          </w:p>
        </w:tc>
        <w:tc>
          <w:tcPr>
            <w:tcW w:w="2046" w:type="dxa"/>
            <w:tcBorders>
              <w:top w:val="single" w:color="auto" w:sz="8" w:space="0"/>
              <w:bottom w:val="single" w:color="auto" w:sz="4" w:space="0"/>
            </w:tcBorders>
          </w:tcPr>
          <w:p w14:paraId="0F45E627">
            <w:pPr>
              <w:keepNext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center" w:pos="4153"/>
                <w:tab w:val="left" w:pos="4200"/>
                <w:tab w:val="left" w:pos="6754"/>
              </w:tabs>
              <w:jc w:val="center"/>
              <w:rPr>
                <w:b/>
                <w:bCs/>
                <w:kern w:val="0"/>
                <w:sz w:val="20"/>
                <w:szCs w:val="21"/>
              </w:rPr>
            </w:pPr>
            <w:r>
              <w:rPr>
                <w:b/>
                <w:bCs/>
                <w:kern w:val="0"/>
                <w:sz w:val="20"/>
              </w:rPr>
              <w:t>Parameter Description</w:t>
            </w:r>
          </w:p>
        </w:tc>
        <w:tc>
          <w:tcPr>
            <w:tcW w:w="2045" w:type="dxa"/>
            <w:tcBorders>
              <w:top w:val="single" w:color="auto" w:sz="8" w:space="0"/>
              <w:bottom w:val="single" w:color="auto" w:sz="4" w:space="0"/>
            </w:tcBorders>
          </w:tcPr>
          <w:p w14:paraId="079B165A">
            <w:pPr>
              <w:keepNext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center" w:pos="4153"/>
                <w:tab w:val="left" w:pos="4200"/>
                <w:tab w:val="left" w:pos="6754"/>
              </w:tabs>
              <w:jc w:val="center"/>
              <w:rPr>
                <w:b/>
                <w:bCs/>
                <w:kern w:val="0"/>
                <w:sz w:val="20"/>
                <w:szCs w:val="21"/>
              </w:rPr>
            </w:pPr>
            <w:r>
              <w:rPr>
                <w:b/>
                <w:bCs/>
                <w:kern w:val="0"/>
                <w:sz w:val="20"/>
              </w:rPr>
              <w:t>Interpretation</w:t>
            </w:r>
          </w:p>
        </w:tc>
      </w:tr>
      <w:tr w14:paraId="15F97270">
        <w:tc>
          <w:tcPr>
            <w:tcW w:w="1116" w:type="dxa"/>
            <w:tcBorders>
              <w:top w:val="single" w:color="auto" w:sz="4" w:space="0"/>
              <w:bottom w:val="single" w:color="auto" w:sz="8" w:space="0"/>
            </w:tcBorders>
          </w:tcPr>
          <w:p w14:paraId="378B4D3C">
            <w:pPr>
              <w:keepNext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center" w:pos="4153"/>
                <w:tab w:val="left" w:pos="4200"/>
                <w:tab w:val="left" w:pos="6754"/>
              </w:tabs>
              <w:jc w:val="center"/>
              <w:rPr>
                <w:kern w:val="0"/>
                <w:sz w:val="24"/>
              </w:rPr>
            </w:pPr>
            <w:r>
              <w:rPr>
                <w:bCs/>
                <w:kern w:val="0"/>
                <w:sz w:val="20"/>
                <w:szCs w:val="21"/>
              </w:rPr>
              <w:t>Modularity</w:t>
            </w:r>
          </w:p>
        </w:tc>
        <w:tc>
          <w:tcPr>
            <w:tcW w:w="3099" w:type="dxa"/>
            <w:tcBorders>
              <w:top w:val="single" w:color="auto" w:sz="4" w:space="0"/>
              <w:bottom w:val="single" w:color="auto" w:sz="8" w:space="0"/>
            </w:tcBorders>
          </w:tcPr>
          <w:p w14:paraId="761EDAE6">
            <w:pPr>
              <w:keepNext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center" w:pos="4153"/>
                <w:tab w:val="left" w:pos="4200"/>
                <w:tab w:val="left" w:pos="6754"/>
              </w:tabs>
              <w:jc w:val="center"/>
              <w:rPr>
                <w:kern w:val="0"/>
                <w:sz w:val="24"/>
              </w:rPr>
            </w:pPr>
            <m:oMathPara>
              <m:oMath>
                <m:r>
                  <m:rPr/>
                  <w:rPr>
                    <w:rStyle w:val="10"/>
                    <w:rFonts w:ascii="Cambria Math" w:hAnsi="Cambria Math"/>
                    <w:color w:val="000000" w:themeColor="text1"/>
                    <w:kern w:val="0"/>
                    <w:sz w:val="20"/>
                    <w14:textFill>
                      <w14:solidFill>
                        <w14:schemeClr w14:val="tx1"/>
                      </w14:solidFill>
                    </w14:textFill>
                  </w:rPr>
                  <m:t>Q=</m:t>
                </m:r>
                <m:f>
                  <m:fPr>
                    <m:ctrlPr>
                      <w:rPr>
                        <w:rStyle w:val="10"/>
                        <w:rFonts w:ascii="Cambria Math" w:hAnsi="Cambria Math"/>
                        <w:i/>
                        <w:color w:val="000000" w:themeColor="text1"/>
                        <w:kern w:val="0"/>
                        <w:sz w:val="2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fPr>
                  <m:num>
                    <m:r>
                      <m:rPr/>
                      <w:rPr>
                        <w:rStyle w:val="10"/>
                        <w:rFonts w:ascii="Cambria Math" w:hAnsi="Cambria Math"/>
                        <w:color w:val="000000" w:themeColor="text1"/>
                        <w:kern w:val="0"/>
                        <w:sz w:val="2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1</m:t>
                    </m:r>
                    <m:ctrlPr>
                      <w:rPr>
                        <w:rStyle w:val="10"/>
                        <w:rFonts w:ascii="Cambria Math" w:hAnsi="Cambria Math"/>
                        <w:i/>
                        <w:color w:val="000000" w:themeColor="text1"/>
                        <w:kern w:val="0"/>
                        <w:sz w:val="2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num>
                  <m:den>
                    <m:r>
                      <m:rPr/>
                      <w:rPr>
                        <w:rStyle w:val="10"/>
                        <w:rFonts w:ascii="Cambria Math" w:hAnsi="Cambria Math"/>
                        <w:color w:val="000000" w:themeColor="text1"/>
                        <w:kern w:val="0"/>
                        <w:sz w:val="2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2m</m:t>
                    </m:r>
                    <m:ctrlPr>
                      <w:rPr>
                        <w:rStyle w:val="10"/>
                        <w:rFonts w:ascii="Cambria Math" w:hAnsi="Cambria Math"/>
                        <w:i/>
                        <w:color w:val="000000" w:themeColor="text1"/>
                        <w:kern w:val="0"/>
                        <w:sz w:val="2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den>
                </m:f>
                <m:nary>
                  <m:naryPr>
                    <m:chr m:val="∑"/>
                    <m:limLoc m:val="subSup"/>
                    <m:supHide m:val="1"/>
                    <m:ctrlPr>
                      <w:rPr>
                        <w:rStyle w:val="10"/>
                        <w:rFonts w:ascii="Cambria Math" w:hAnsi="Cambria Math"/>
                        <w:i/>
                        <w:color w:val="000000" w:themeColor="text1"/>
                        <w:kern w:val="0"/>
                        <w:sz w:val="2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naryPr>
                  <m:sub>
                    <m:r>
                      <m:rPr/>
                      <w:rPr>
                        <w:rStyle w:val="10"/>
                        <w:rFonts w:ascii="Cambria Math" w:hAnsi="Cambria Math"/>
                        <w:color w:val="000000" w:themeColor="text1"/>
                        <w:kern w:val="0"/>
                        <w:sz w:val="2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i,j</m:t>
                    </m:r>
                    <m:ctrlPr>
                      <w:rPr>
                        <w:rStyle w:val="10"/>
                        <w:rFonts w:ascii="Cambria Math" w:hAnsi="Cambria Math"/>
                        <w:i/>
                        <w:color w:val="000000" w:themeColor="text1"/>
                        <w:kern w:val="0"/>
                        <w:sz w:val="2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ub>
                  <m:sup>
                    <m:ctrlPr>
                      <w:rPr>
                        <w:rStyle w:val="10"/>
                        <w:rFonts w:ascii="Cambria Math" w:hAnsi="Cambria Math"/>
                        <w:i/>
                        <w:color w:val="000000" w:themeColor="text1"/>
                        <w:kern w:val="0"/>
                        <w:sz w:val="2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up>
                  <m:e>
                    <m:r>
                      <m:rPr/>
                      <w:rPr>
                        <w:rStyle w:val="10"/>
                        <w:rFonts w:ascii="Cambria Math" w:hAnsi="Cambria Math"/>
                        <w:color w:val="000000" w:themeColor="text1"/>
                        <w:kern w:val="0"/>
                        <w:sz w:val="2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[</m:t>
                    </m:r>
                    <m:sSub>
                      <w:bookmarkStart w:id="3" w:name="OLE_LINK30"/>
                      <m:sSubPr>
                        <m:ctrlPr>
                          <w:rPr>
                            <w:rStyle w:val="10"/>
                            <w:rFonts w:ascii="Cambria Math" w:hAnsi="Cambria Math"/>
                            <w:i/>
                            <w:color w:val="000000" w:themeColor="text1"/>
                            <w:kern w:val="0"/>
                            <w:sz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m:ctrlPr>
                      </m:sSubPr>
                      <m:e>
                        <m:r>
                          <m:rPr/>
                          <w:rPr>
                            <w:rStyle w:val="10"/>
                            <w:rFonts w:ascii="Cambria Math" w:hAnsi="Cambria Math"/>
                            <w:color w:val="000000" w:themeColor="text1"/>
                            <w:kern w:val="0"/>
                            <w:sz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m:t>A</m:t>
                        </m:r>
                        <m:ctrlPr>
                          <w:rPr>
                            <w:rStyle w:val="10"/>
                            <w:rFonts w:ascii="Cambria Math" w:hAnsi="Cambria Math"/>
                            <w:i/>
                            <w:color w:val="000000" w:themeColor="text1"/>
                            <w:kern w:val="0"/>
                            <w:sz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m:ctrlPr>
                      </m:e>
                      <m:sub>
                        <m:r>
                          <m:rPr/>
                          <w:rPr>
                            <w:rStyle w:val="10"/>
                            <w:rFonts w:ascii="Cambria Math" w:hAnsi="Cambria Math"/>
                            <w:color w:val="000000" w:themeColor="text1"/>
                            <w:kern w:val="0"/>
                            <w:sz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m:t>i,j</m:t>
                        </m:r>
                        <w:bookmarkEnd w:id="3"/>
                        <m:ctrlPr>
                          <w:rPr>
                            <w:rStyle w:val="10"/>
                            <w:rFonts w:ascii="Cambria Math" w:hAnsi="Cambria Math"/>
                            <w:i/>
                            <w:color w:val="000000" w:themeColor="text1"/>
                            <w:kern w:val="0"/>
                            <w:sz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m:ctrlPr>
                      </m:sub>
                    </m:sSub>
                    <m:r>
                      <m:rPr/>
                      <w:rPr>
                        <w:rStyle w:val="10"/>
                        <w:rFonts w:ascii="Cambria Math" w:hAnsi="Cambria Math"/>
                        <w:color w:val="000000" w:themeColor="text1"/>
                        <w:kern w:val="0"/>
                        <w:sz w:val="2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−</m:t>
                    </m:r>
                    <m:f>
                      <m:fPr>
                        <m:ctrlPr>
                          <w:rPr>
                            <w:rStyle w:val="10"/>
                            <w:rFonts w:ascii="Cambria Math" w:hAnsi="Cambria Math"/>
                            <w:i/>
                            <w:color w:val="000000" w:themeColor="text1"/>
                            <w:kern w:val="0"/>
                            <w:sz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Style w:val="10"/>
                                <w:rFonts w:ascii="Cambria Math" w:hAnsi="Cambria Math"/>
                                <w:i/>
                                <w:color w:val="000000" w:themeColor="text1"/>
                                <w:kern w:val="0"/>
                                <w:sz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m:ctrlPr>
                          </m:sSubPr>
                          <m:e>
                            <m:r>
                              <m:rPr/>
                              <w:rPr>
                                <w:rStyle w:val="10"/>
                                <w:rFonts w:ascii="Cambria Math" w:hAnsi="Cambria Math"/>
                                <w:color w:val="000000" w:themeColor="text1"/>
                                <w:kern w:val="0"/>
                                <w:sz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m:t>k</m:t>
                            </m:r>
                            <m:ctrlPr>
                              <w:rPr>
                                <w:rStyle w:val="10"/>
                                <w:rFonts w:ascii="Cambria Math" w:hAnsi="Cambria Math"/>
                                <w:i/>
                                <w:color w:val="000000" w:themeColor="text1"/>
                                <w:kern w:val="0"/>
                                <w:sz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m:ctrlPr>
                          </m:e>
                          <m:sub>
                            <m:r>
                              <m:rPr/>
                              <w:rPr>
                                <w:rStyle w:val="10"/>
                                <w:rFonts w:ascii="Cambria Math" w:hAnsi="Cambria Math"/>
                                <w:color w:val="000000" w:themeColor="text1"/>
                                <w:kern w:val="0"/>
                                <w:sz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m:t>i</m:t>
                            </m:r>
                            <m:ctrlPr>
                              <w:rPr>
                                <w:rStyle w:val="10"/>
                                <w:rFonts w:ascii="Cambria Math" w:hAnsi="Cambria Math"/>
                                <w:i/>
                                <w:color w:val="000000" w:themeColor="text1"/>
                                <w:kern w:val="0"/>
                                <w:sz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m:ctrlPr>
                          </m:sub>
                        </m:sSub>
                        <m:sSub>
                          <m:sSubPr>
                            <m:ctrlPr>
                              <w:rPr>
                                <w:rStyle w:val="10"/>
                                <w:rFonts w:ascii="Cambria Math" w:hAnsi="Cambria Math"/>
                                <w:i/>
                                <w:color w:val="000000" w:themeColor="text1"/>
                                <w:kern w:val="0"/>
                                <w:sz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m:ctrlPr>
                          </m:sSubPr>
                          <m:e>
                            <m:r>
                              <m:rPr/>
                              <w:rPr>
                                <w:rStyle w:val="10"/>
                                <w:rFonts w:ascii="Cambria Math" w:hAnsi="Cambria Math"/>
                                <w:color w:val="000000" w:themeColor="text1"/>
                                <w:kern w:val="0"/>
                                <w:sz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m:t>k</m:t>
                            </m:r>
                            <m:ctrlPr>
                              <w:rPr>
                                <w:rStyle w:val="10"/>
                                <w:rFonts w:ascii="Cambria Math" w:hAnsi="Cambria Math"/>
                                <w:i/>
                                <w:color w:val="000000" w:themeColor="text1"/>
                                <w:kern w:val="0"/>
                                <w:sz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m:ctrlPr>
                          </m:e>
                          <m:sub>
                            <m:r>
                              <m:rPr/>
                              <w:rPr>
                                <w:rStyle w:val="10"/>
                                <w:rFonts w:ascii="Cambria Math" w:hAnsi="Cambria Math"/>
                                <w:color w:val="000000" w:themeColor="text1"/>
                                <w:kern w:val="0"/>
                                <w:sz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m:t>j</m:t>
                            </m:r>
                            <m:ctrlPr>
                              <w:rPr>
                                <w:rStyle w:val="10"/>
                                <w:rFonts w:ascii="Cambria Math" w:hAnsi="Cambria Math"/>
                                <w:i/>
                                <w:color w:val="000000" w:themeColor="text1"/>
                                <w:kern w:val="0"/>
                                <w:sz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m:ctrlPr>
                          </m:sub>
                        </m:sSub>
                        <m:ctrlPr>
                          <w:rPr>
                            <w:rStyle w:val="10"/>
                            <w:rFonts w:ascii="Cambria Math" w:hAnsi="Cambria Math"/>
                            <w:i/>
                            <w:color w:val="000000" w:themeColor="text1"/>
                            <w:kern w:val="0"/>
                            <w:sz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m:ctrlPr>
                      </m:num>
                      <m:den>
                        <m:r>
                          <m:rPr/>
                          <w:rPr>
                            <w:rStyle w:val="10"/>
                            <w:rFonts w:ascii="Cambria Math" w:hAnsi="Cambria Math"/>
                            <w:color w:val="000000" w:themeColor="text1"/>
                            <w:kern w:val="0"/>
                            <w:sz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m:t>2m</m:t>
                        </m:r>
                        <m:ctrlPr>
                          <w:rPr>
                            <w:rStyle w:val="10"/>
                            <w:rFonts w:ascii="Cambria Math" w:hAnsi="Cambria Math"/>
                            <w:i/>
                            <w:color w:val="000000" w:themeColor="text1"/>
                            <w:kern w:val="0"/>
                            <w:sz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m:ctrlPr>
                      </m:den>
                    </m:f>
                    <m:r>
                      <m:rPr/>
                      <w:rPr>
                        <w:rStyle w:val="10"/>
                        <w:rFonts w:ascii="Cambria Math" w:hAnsi="Cambria Math"/>
                        <w:color w:val="000000" w:themeColor="text1"/>
                        <w:kern w:val="0"/>
                        <w:sz w:val="2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]δ(</m:t>
                    </m:r>
                    <m:sSub>
                      <m:sSubPr>
                        <m:ctrlPr>
                          <w:rPr>
                            <w:rStyle w:val="10"/>
                            <w:rFonts w:ascii="Cambria Math" w:hAnsi="Cambria Math"/>
                            <w:i/>
                            <w:color w:val="000000" w:themeColor="text1"/>
                            <w:kern w:val="0"/>
                            <w:sz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m:ctrlPr>
                      </m:sSubPr>
                      <m:e>
                        <m:r>
                          <m:rPr/>
                          <w:rPr>
                            <w:rStyle w:val="10"/>
                            <w:rFonts w:ascii="Cambria Math" w:hAnsi="Cambria Math"/>
                            <w:color w:val="000000" w:themeColor="text1"/>
                            <w:kern w:val="0"/>
                            <w:sz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m:t>c</m:t>
                        </m:r>
                        <m:ctrlPr>
                          <w:rPr>
                            <w:rStyle w:val="10"/>
                            <w:rFonts w:ascii="Cambria Math" w:hAnsi="Cambria Math"/>
                            <w:i/>
                            <w:color w:val="000000" w:themeColor="text1"/>
                            <w:kern w:val="0"/>
                            <w:sz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m:ctrlPr>
                      </m:e>
                      <m:sub>
                        <m:r>
                          <m:rPr/>
                          <w:rPr>
                            <w:rStyle w:val="10"/>
                            <w:rFonts w:ascii="Cambria Math" w:hAnsi="Cambria Math"/>
                            <w:color w:val="000000" w:themeColor="text1"/>
                            <w:kern w:val="0"/>
                            <w:sz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m:t>i</m:t>
                        </m:r>
                        <m:ctrlPr>
                          <w:rPr>
                            <w:rStyle w:val="10"/>
                            <w:rFonts w:ascii="Cambria Math" w:hAnsi="Cambria Math"/>
                            <w:i/>
                            <w:color w:val="000000" w:themeColor="text1"/>
                            <w:kern w:val="0"/>
                            <w:sz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m:ctrlPr>
                      </m:sub>
                    </m:sSub>
                    <m:r>
                      <m:rPr/>
                      <w:rPr>
                        <w:rStyle w:val="10"/>
                        <w:rFonts w:ascii="Cambria Math" w:hAnsi="Cambria Math"/>
                        <w:color w:val="000000" w:themeColor="text1"/>
                        <w:kern w:val="0"/>
                        <w:sz w:val="2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,</m:t>
                    </m:r>
                    <m:sSub>
                      <m:sSubPr>
                        <m:ctrlPr>
                          <w:rPr>
                            <w:rStyle w:val="10"/>
                            <w:rFonts w:ascii="Cambria Math" w:hAnsi="Cambria Math"/>
                            <w:i/>
                            <w:color w:val="000000" w:themeColor="text1"/>
                            <w:kern w:val="0"/>
                            <w:sz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m:ctrlPr>
                      </m:sSubPr>
                      <m:e>
                        <m:r>
                          <m:rPr/>
                          <w:rPr>
                            <w:rStyle w:val="10"/>
                            <w:rFonts w:ascii="Cambria Math" w:hAnsi="Cambria Math"/>
                            <w:color w:val="000000" w:themeColor="text1"/>
                            <w:kern w:val="0"/>
                            <w:sz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m:t>c</m:t>
                        </m:r>
                        <m:ctrlPr>
                          <w:rPr>
                            <w:rStyle w:val="10"/>
                            <w:rFonts w:ascii="Cambria Math" w:hAnsi="Cambria Math"/>
                            <w:i/>
                            <w:color w:val="000000" w:themeColor="text1"/>
                            <w:kern w:val="0"/>
                            <w:sz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m:ctrlPr>
                      </m:e>
                      <m:sub>
                        <m:r>
                          <m:rPr/>
                          <w:rPr>
                            <w:rStyle w:val="10"/>
                            <w:rFonts w:ascii="Cambria Math" w:hAnsi="Cambria Math"/>
                            <w:color w:val="000000" w:themeColor="text1"/>
                            <w:kern w:val="0"/>
                            <w:sz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m:t>j)</m:t>
                        </m:r>
                        <m:ctrlPr>
                          <w:rPr>
                            <w:rStyle w:val="10"/>
                            <w:rFonts w:ascii="Cambria Math" w:hAnsi="Cambria Math"/>
                            <w:i/>
                            <w:color w:val="000000" w:themeColor="text1"/>
                            <w:kern w:val="0"/>
                            <w:sz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m:ctrlPr>
                      </m:sub>
                    </m:sSub>
                    <m:ctrlPr>
                      <w:rPr>
                        <w:rStyle w:val="10"/>
                        <w:rFonts w:ascii="Cambria Math" w:hAnsi="Cambria Math"/>
                        <w:i/>
                        <w:color w:val="000000" w:themeColor="text1"/>
                        <w:kern w:val="0"/>
                        <w:sz w:val="2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e>
                </m:nary>
              </m:oMath>
            </m:oMathPara>
          </w:p>
        </w:tc>
        <w:tc>
          <w:tcPr>
            <w:tcW w:w="2046" w:type="dxa"/>
            <w:tcBorders>
              <w:top w:val="single" w:color="auto" w:sz="4" w:space="0"/>
              <w:bottom w:val="single" w:color="auto" w:sz="8" w:space="0"/>
            </w:tcBorders>
          </w:tcPr>
          <w:p w14:paraId="18C09D2C">
            <w:pPr>
              <w:keepNext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center" w:pos="4153"/>
                <w:tab w:val="left" w:pos="4200"/>
                <w:tab w:val="left" w:pos="6754"/>
              </w:tabs>
              <w:jc w:val="center"/>
              <w:rPr>
                <w:i/>
                <w:iCs/>
                <w:kern w:val="0"/>
                <w:sz w:val="20"/>
                <w:szCs w:val="21"/>
              </w:rPr>
            </w:pPr>
            <m:oMath>
              <m:sSub>
                <m:sSubPr>
                  <m:ctrlPr>
                    <w:rPr>
                      <w:rStyle w:val="10"/>
                      <w:rFonts w:ascii="Cambria Math" w:hAnsi="Cambria Math"/>
                      <w:i/>
                      <w:color w:val="000000" w:themeColor="text1"/>
                      <w:kern w:val="0"/>
                      <w:sz w:val="20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sSubPr>
                <m:e>
                  <m:r>
                    <m:rPr/>
                    <w:rPr>
                      <w:rStyle w:val="10"/>
                      <w:rFonts w:ascii="Cambria Math" w:hAnsi="Cambria Math"/>
                      <w:color w:val="000000" w:themeColor="text1"/>
                      <w:kern w:val="0"/>
                      <w:sz w:val="20"/>
                      <w14:textFill>
                        <w14:solidFill>
                          <w14:schemeClr w14:val="tx1"/>
                        </w14:solidFill>
                      </w14:textFill>
                    </w:rPr>
                    <m:t>A</m:t>
                  </m:r>
                  <m:ctrlPr>
                    <w:rPr>
                      <w:rStyle w:val="10"/>
                      <w:rFonts w:ascii="Cambria Math" w:hAnsi="Cambria Math"/>
                      <w:i/>
                      <w:color w:val="000000" w:themeColor="text1"/>
                      <w:kern w:val="0"/>
                      <w:sz w:val="20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e>
                <m:sub>
                  <m:r>
                    <m:rPr/>
                    <w:rPr>
                      <w:rStyle w:val="10"/>
                      <w:rFonts w:ascii="Cambria Math" w:hAnsi="Cambria Math"/>
                      <w:color w:val="000000" w:themeColor="text1"/>
                      <w:kern w:val="0"/>
                      <w:sz w:val="20"/>
                      <w14:textFill>
                        <w14:solidFill>
                          <w14:schemeClr w14:val="tx1"/>
                        </w14:solidFill>
                      </w14:textFill>
                    </w:rPr>
                    <m:t>i,j</m:t>
                  </m:r>
                  <m:ctrlPr>
                    <w:rPr>
                      <w:rStyle w:val="10"/>
                      <w:rFonts w:ascii="Cambria Math" w:hAnsi="Cambria Math"/>
                      <w:i/>
                      <w:color w:val="000000" w:themeColor="text1"/>
                      <w:kern w:val="0"/>
                      <w:sz w:val="20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sub>
              </m:sSub>
            </m:oMath>
            <w:r>
              <w:rPr>
                <w:kern w:val="0"/>
                <w:sz w:val="20"/>
                <w:szCs w:val="21"/>
              </w:rPr>
              <w:t xml:space="preserve">= edge weight between nodes </w:t>
            </w:r>
            <m:oMath>
              <m:r>
                <m:rPr/>
                <w:rPr>
                  <w:rStyle w:val="10"/>
                  <w:rFonts w:ascii="Cambria Math" w:hAnsi="Cambria Math"/>
                  <w:color w:val="000000" w:themeColor="text1"/>
                  <w:kern w:val="0"/>
                  <w:sz w:val="20"/>
                  <w14:textFill>
                    <w14:solidFill>
                      <w14:schemeClr w14:val="tx1"/>
                    </w14:solidFill>
                  </w14:textFill>
                </w:rPr>
                <m:t>i</m:t>
              </m:r>
            </m:oMath>
            <w:r>
              <w:rPr>
                <w:rStyle w:val="10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kern w:val="0"/>
                <w:sz w:val="20"/>
                <w:szCs w:val="21"/>
              </w:rPr>
              <w:t xml:space="preserve">and </w:t>
            </w:r>
            <m:oMath>
              <m:r>
                <m:rPr/>
                <w:rPr>
                  <w:rStyle w:val="10"/>
                  <w:rFonts w:ascii="Cambria Math" w:hAnsi="Cambria Math"/>
                  <w:color w:val="000000" w:themeColor="text1"/>
                  <w:kern w:val="0"/>
                  <w:sz w:val="20"/>
                  <w14:textFill>
                    <w14:solidFill>
                      <w14:schemeClr w14:val="tx1"/>
                    </w14:solidFill>
                  </w14:textFill>
                </w:rPr>
                <m:t xml:space="preserve">j; </m:t>
              </m:r>
              <m:sSub>
                <m:sSubPr>
                  <m:ctrlPr>
                    <w:rPr>
                      <w:rStyle w:val="10"/>
                      <w:rFonts w:ascii="Cambria Math" w:hAnsi="Cambria Math"/>
                      <w:i/>
                      <w:color w:val="000000" w:themeColor="text1"/>
                      <w:kern w:val="0"/>
                      <w:sz w:val="20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sSubPr>
                <m:e>
                  <m:r>
                    <m:rPr/>
                    <w:rPr>
                      <w:rStyle w:val="10"/>
                      <w:rFonts w:ascii="Cambria Math" w:hAnsi="Cambria Math"/>
                      <w:color w:val="000000" w:themeColor="text1"/>
                      <w:kern w:val="0"/>
                      <w:sz w:val="20"/>
                      <w14:textFill>
                        <w14:solidFill>
                          <w14:schemeClr w14:val="tx1"/>
                        </w14:solidFill>
                      </w14:textFill>
                    </w:rPr>
                    <m:t>k</m:t>
                  </m:r>
                  <m:ctrlPr>
                    <w:rPr>
                      <w:rStyle w:val="10"/>
                      <w:rFonts w:ascii="Cambria Math" w:hAnsi="Cambria Math"/>
                      <w:i/>
                      <w:color w:val="000000" w:themeColor="text1"/>
                      <w:kern w:val="0"/>
                      <w:sz w:val="20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e>
                <m:sub>
                  <m:r>
                    <m:rPr/>
                    <w:rPr>
                      <w:rStyle w:val="10"/>
                      <w:rFonts w:ascii="Cambria Math" w:hAnsi="Cambria Math"/>
                      <w:color w:val="000000" w:themeColor="text1"/>
                      <w:kern w:val="0"/>
                      <w:sz w:val="20"/>
                      <w14:textFill>
                        <w14:solidFill>
                          <w14:schemeClr w14:val="tx1"/>
                        </w14:solidFill>
                      </w14:textFill>
                    </w:rPr>
                    <m:t>i</m:t>
                  </m:r>
                  <m:ctrlPr>
                    <w:rPr>
                      <w:rStyle w:val="10"/>
                      <w:rFonts w:ascii="Cambria Math" w:hAnsi="Cambria Math"/>
                      <w:i/>
                      <w:color w:val="000000" w:themeColor="text1"/>
                      <w:kern w:val="0"/>
                      <w:sz w:val="20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sub>
              </m:sSub>
            </m:oMath>
            <w:r>
              <w:rPr>
                <w:kern w:val="0"/>
                <w:sz w:val="20"/>
                <w:szCs w:val="21"/>
              </w:rPr>
              <w:t>=</w:t>
            </w:r>
            <m:oMath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kern w:val="0"/>
                      <w:sz w:val="20"/>
                      <w:szCs w:val="21"/>
                    </w:rPr>
                  </m:ctrlPr>
                </m:naryPr>
                <m:sub>
                  <m:r>
                    <m:rPr/>
                    <w:rPr>
                      <w:rFonts w:ascii="Cambria Math" w:hAnsi="Cambria Math"/>
                      <w:kern w:val="0"/>
                      <w:sz w:val="20"/>
                      <w:szCs w:val="21"/>
                    </w:rPr>
                    <m:t>j</m:t>
                  </m:r>
                  <m:ctrlPr>
                    <w:rPr>
                      <w:rFonts w:ascii="Cambria Math" w:hAnsi="Cambria Math"/>
                      <w:i/>
                      <w:kern w:val="0"/>
                      <w:sz w:val="20"/>
                      <w:szCs w:val="21"/>
                    </w:rPr>
                  </m:ctrlPr>
                </m:sub>
                <m:sup>
                  <m:ctrlPr>
                    <w:rPr>
                      <w:rFonts w:ascii="Cambria Math" w:hAnsi="Cambria Math"/>
                      <w:i/>
                      <w:kern w:val="0"/>
                      <w:sz w:val="20"/>
                      <w:szCs w:val="21"/>
                    </w:rPr>
                  </m:ctrlP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kern w:val="0"/>
                          <w:sz w:val="20"/>
                          <w:szCs w:val="21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/>
                          <w:kern w:val="0"/>
                          <w:sz w:val="20"/>
                          <w:szCs w:val="21"/>
                        </w:rPr>
                        <m:t>A</m:t>
                      </m:r>
                      <m:ctrlPr>
                        <w:rPr>
                          <w:rFonts w:ascii="Cambria Math" w:hAnsi="Cambria Math"/>
                          <w:i/>
                          <w:kern w:val="0"/>
                          <w:sz w:val="20"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/>
                          <w:kern w:val="0"/>
                          <w:sz w:val="20"/>
                          <w:szCs w:val="21"/>
                        </w:rPr>
                        <m:t>ij</m:t>
                      </m:r>
                      <m:ctrlPr>
                        <w:rPr>
                          <w:rFonts w:ascii="Cambria Math" w:hAnsi="Cambria Math"/>
                          <w:i/>
                          <w:kern w:val="0"/>
                          <w:sz w:val="20"/>
                          <w:szCs w:val="21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  <w:i/>
                      <w:kern w:val="0"/>
                      <w:sz w:val="20"/>
                      <w:szCs w:val="21"/>
                    </w:rPr>
                  </m:ctrlPr>
                </m:e>
              </m:nary>
            </m:oMath>
            <w:r>
              <w:rPr>
                <w:kern w:val="0"/>
                <w:sz w:val="20"/>
                <w:szCs w:val="21"/>
              </w:rPr>
              <w:t>= degree of node</w:t>
            </w:r>
            <m:oMath>
              <m:r>
                <m:rPr/>
                <w:rPr>
                  <w:rStyle w:val="10"/>
                  <w:rFonts w:ascii="Cambria Math" w:hAnsi="Cambria Math"/>
                  <w:color w:val="000000" w:themeColor="text1"/>
                  <w:kern w:val="0"/>
                  <w:sz w:val="20"/>
                  <w14:textFill>
                    <w14:solidFill>
                      <w14:schemeClr w14:val="tx1"/>
                    </w14:solidFill>
                  </w14:textFill>
                </w:rPr>
                <m:t>i;</m:t>
              </m:r>
            </m:oMath>
            <w:r>
              <w:rPr>
                <w:rStyle w:val="11"/>
                <w:rFonts w:ascii="Times New Roman" w:hAnsi="Times New Roman" w:eastAsia="宋体" w:cs="Times New Roman"/>
                <w:i/>
                <w:color w:val="000000" w:themeColor="text1"/>
                <w:kern w:val="0"/>
                <w:sz w:val="21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m:oMath>
              <m:sSub>
                <m:sSubPr>
                  <m:ctrlPr>
                    <w:rPr>
                      <w:rStyle w:val="10"/>
                      <w:rFonts w:ascii="Cambria Math" w:hAnsi="Cambria Math"/>
                      <w:i/>
                      <w:color w:val="000000" w:themeColor="text1"/>
                      <w:kern w:val="0"/>
                      <w:sz w:val="20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sSubPr>
                <m:e>
                  <m:r>
                    <m:rPr/>
                    <w:rPr>
                      <w:rStyle w:val="10"/>
                      <w:rFonts w:ascii="Cambria Math" w:hAnsi="Cambria Math"/>
                      <w:color w:val="000000" w:themeColor="text1"/>
                      <w:kern w:val="0"/>
                      <w:sz w:val="20"/>
                      <w14:textFill>
                        <w14:solidFill>
                          <w14:schemeClr w14:val="tx1"/>
                        </w14:solidFill>
                      </w14:textFill>
                    </w:rPr>
                    <m:t>c</m:t>
                  </m:r>
                  <m:ctrlPr>
                    <w:rPr>
                      <w:rStyle w:val="10"/>
                      <w:rFonts w:ascii="Cambria Math" w:hAnsi="Cambria Math"/>
                      <w:i/>
                      <w:color w:val="000000" w:themeColor="text1"/>
                      <w:kern w:val="0"/>
                      <w:sz w:val="20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e>
                <m:sub>
                  <m:r>
                    <m:rPr/>
                    <w:rPr>
                      <w:rStyle w:val="10"/>
                      <w:rFonts w:ascii="Cambria Math" w:hAnsi="Cambria Math"/>
                      <w:color w:val="000000" w:themeColor="text1"/>
                      <w:kern w:val="0"/>
                      <w:sz w:val="20"/>
                      <w14:textFill>
                        <w14:solidFill>
                          <w14:schemeClr w14:val="tx1"/>
                        </w14:solidFill>
                      </w14:textFill>
                    </w:rPr>
                    <m:t>i</m:t>
                  </m:r>
                  <m:ctrlPr>
                    <w:rPr>
                      <w:rStyle w:val="10"/>
                      <w:rFonts w:ascii="Cambria Math" w:hAnsi="Cambria Math"/>
                      <w:i/>
                      <w:color w:val="000000" w:themeColor="text1"/>
                      <w:kern w:val="0"/>
                      <w:sz w:val="20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sub>
              </m:sSub>
            </m:oMath>
            <w:r>
              <w:rPr>
                <w:iCs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>= community to which node</w:t>
            </w:r>
            <w:r>
              <w:rPr>
                <w:kern w:val="0"/>
                <w:sz w:val="20"/>
                <w:szCs w:val="21"/>
              </w:rPr>
              <w:t xml:space="preserve"> </w:t>
            </w:r>
            <m:oMath>
              <m:r>
                <m:rPr/>
                <w:rPr>
                  <w:rStyle w:val="10"/>
                  <w:rFonts w:ascii="Cambria Math" w:hAnsi="Cambria Math"/>
                  <w:color w:val="000000" w:themeColor="text1"/>
                  <w:kern w:val="0"/>
                  <w:sz w:val="20"/>
                  <w14:textFill>
                    <w14:solidFill>
                      <w14:schemeClr w14:val="tx1"/>
                    </w14:solidFill>
                  </w14:textFill>
                </w:rPr>
                <m:t>i</m:t>
              </m:r>
            </m:oMath>
            <w:r>
              <w:rPr>
                <w:rStyle w:val="10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iCs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belongs; </w:t>
            </w:r>
            <m:oMath>
              <m:r>
                <m:rPr/>
                <w:rPr>
                  <w:rStyle w:val="10"/>
                  <w:rFonts w:ascii="Cambria Math" w:hAnsi="Cambria Math"/>
                  <w:color w:val="000000" w:themeColor="text1"/>
                  <w:kern w:val="0"/>
                  <w:sz w:val="20"/>
                  <w14:textFill>
                    <w14:solidFill>
                      <w14:schemeClr w14:val="tx1"/>
                    </w14:solidFill>
                  </w14:textFill>
                </w:rPr>
                <m:t>δ</m:t>
              </m:r>
              <m:d>
                <m:dPr>
                  <m:ctrlPr>
                    <w:rPr>
                      <w:rStyle w:val="10"/>
                      <w:rFonts w:ascii="Cambria Math" w:hAnsi="Cambria Math"/>
                      <w:iCs/>
                      <w:color w:val="000000" w:themeColor="text1"/>
                      <w:kern w:val="0"/>
                      <w:sz w:val="20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dPr>
                <m:e>
                  <m:r>
                    <m:rPr/>
                    <w:rPr>
                      <w:rStyle w:val="10"/>
                      <w:rFonts w:ascii="Cambria Math" w:hAnsi="Cambria Math"/>
                      <w:color w:val="000000" w:themeColor="text1"/>
                      <w:kern w:val="0"/>
                      <w:sz w:val="20"/>
                      <w14:textFill>
                        <w14:solidFill>
                          <w14:schemeClr w14:val="tx1"/>
                        </w14:solidFill>
                      </w14:textFill>
                    </w:rPr>
                    <m:t>u,v</m:t>
                  </m:r>
                  <m:ctrlPr>
                    <w:rPr>
                      <w:rStyle w:val="10"/>
                      <w:rFonts w:ascii="Cambria Math" w:hAnsi="Cambria Math"/>
                      <w:i/>
                      <w:color w:val="000000" w:themeColor="text1"/>
                      <w:kern w:val="0"/>
                      <w:sz w:val="20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e>
              </m:d>
              <m:r>
                <m:rPr/>
                <w:rPr>
                  <w:rStyle w:val="10"/>
                  <w:rFonts w:ascii="Cambria Math" w:hAnsi="Cambria Math"/>
                  <w:color w:val="000000" w:themeColor="text1"/>
                  <w:kern w:val="0"/>
                  <w:sz w:val="20"/>
                  <w14:textFill>
                    <w14:solidFill>
                      <w14:schemeClr w14:val="tx1"/>
                    </w14:solidFill>
                  </w14:textFill>
                </w:rPr>
                <m:t>=1</m:t>
              </m:r>
              <m:r>
                <m:rPr>
                  <m:sty m:val="p"/>
                </m:rPr>
                <w:rPr>
                  <w:rFonts w:ascii="Cambria Math" w:hAnsi="Cambria Math"/>
                  <w:kern w:val="0"/>
                  <w:sz w:val="20"/>
                </w:rPr>
                <m:t xml:space="preserve"> </m:t>
              </m:r>
              <m:r>
                <m:rPr/>
                <w:rPr>
                  <w:rFonts w:ascii="Cambria Math" w:hAnsi="Cambria Math"/>
                  <w:kern w:val="0"/>
                  <w:sz w:val="20"/>
                </w:rPr>
                <m:t>if</m:t>
              </m:r>
              <m:r>
                <m:rPr>
                  <m:sty m:val="p"/>
                </m:rPr>
                <w:rPr>
                  <w:rFonts w:ascii="Cambria Math" w:hAnsi="Cambria Math"/>
                  <w:kern w:val="0"/>
                  <w:sz w:val="20"/>
                </w:rPr>
                <m:t xml:space="preserve"> </m:t>
              </m:r>
              <m:r>
                <m:rPr/>
                <w:rPr>
                  <w:rFonts w:ascii="Cambria Math" w:hAnsi="Cambria Math"/>
                  <w:color w:val="000000" w:themeColor="text1"/>
                  <w:kern w:val="0"/>
                  <w:sz w:val="20"/>
                  <w14:textFill>
                    <w14:solidFill>
                      <w14:schemeClr w14:val="tx1"/>
                    </w14:solidFill>
                  </w14:textFill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kern w:val="0"/>
                  <w:sz w:val="20"/>
                  <w14:textFill>
                    <w14:solidFill>
                      <w14:schemeClr w14:val="tx1"/>
                    </w14:solidFill>
                  </w14:textFill>
                </w:rPr>
                <m:t>=</m:t>
              </m:r>
              <m:r>
                <m:rPr/>
                <w:rPr>
                  <w:rFonts w:ascii="Cambria Math" w:hAnsi="Cambria Math"/>
                  <w:color w:val="000000" w:themeColor="text1"/>
                  <w:kern w:val="0"/>
                  <w:sz w:val="20"/>
                  <w14:textFill>
                    <w14:solidFill>
                      <w14:schemeClr w14:val="tx1"/>
                    </w14:solidFill>
                  </w14:textFill>
                </w:rPr>
                <m:t>v</m:t>
              </m:r>
            </m:oMath>
            <w:r>
              <w:rPr>
                <w:iCs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, 0 otherwise; </w:t>
            </w:r>
            <m:oMath>
              <m:r>
                <m:rPr/>
                <w:rPr>
                  <w:rStyle w:val="10"/>
                  <w:rFonts w:ascii="Cambria Math" w:hAnsi="Cambria Math"/>
                  <w:color w:val="000000" w:themeColor="text1"/>
                  <w:kern w:val="0"/>
                  <w:sz w:val="20"/>
                  <w14:textFill>
                    <w14:solidFill>
                      <w14:schemeClr w14:val="tx1"/>
                    </w14:solidFill>
                  </w14:textFill>
                </w:rPr>
                <m:t>m=</m:t>
              </m:r>
              <m:f>
                <m:fPr>
                  <m:ctrlPr>
                    <w:rPr>
                      <w:rStyle w:val="10"/>
                      <w:rFonts w:ascii="Cambria Math" w:hAnsi="Cambria Math"/>
                      <w:i/>
                      <w:color w:val="000000" w:themeColor="text1"/>
                      <w:kern w:val="0"/>
                      <w:sz w:val="20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fPr>
                <m:num>
                  <m:r>
                    <m:rPr/>
                    <w:rPr>
                      <w:rStyle w:val="10"/>
                      <w:rFonts w:ascii="Cambria Math" w:hAnsi="Cambria Math"/>
                      <w:color w:val="000000" w:themeColor="text1"/>
                      <w:kern w:val="0"/>
                      <w:sz w:val="20"/>
                      <w14:textFill>
                        <w14:solidFill>
                          <w14:schemeClr w14:val="tx1"/>
                        </w14:solidFill>
                      </w14:textFill>
                    </w:rPr>
                    <m:t>1</m:t>
                  </m:r>
                  <m:ctrlPr>
                    <w:rPr>
                      <w:rStyle w:val="10"/>
                      <w:rFonts w:ascii="Cambria Math" w:hAnsi="Cambria Math"/>
                      <w:i/>
                      <w:color w:val="000000" w:themeColor="text1"/>
                      <w:kern w:val="0"/>
                      <w:sz w:val="20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num>
                <m:den>
                  <m:r>
                    <m:rPr/>
                    <w:rPr>
                      <w:rStyle w:val="10"/>
                      <w:rFonts w:ascii="Cambria Math" w:hAnsi="Cambria Math"/>
                      <w:color w:val="000000" w:themeColor="text1"/>
                      <w:kern w:val="0"/>
                      <w:sz w:val="20"/>
                      <w14:textFill>
                        <w14:solidFill>
                          <w14:schemeClr w14:val="tx1"/>
                        </w14:solidFill>
                      </w14:textFill>
                    </w:rPr>
                    <m:t>2</m:t>
                  </m:r>
                  <m:ctrlPr>
                    <w:rPr>
                      <w:rStyle w:val="10"/>
                      <w:rFonts w:ascii="Cambria Math" w:hAnsi="Cambria Math"/>
                      <w:i/>
                      <w:color w:val="000000" w:themeColor="text1"/>
                      <w:kern w:val="0"/>
                      <w:sz w:val="20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den>
              </m:f>
              <m:nary>
                <m:naryPr>
                  <m:chr m:val="∑"/>
                  <m:limLoc m:val="undOvr"/>
                  <m:supHide m:val="1"/>
                  <m:ctrlPr>
                    <w:rPr>
                      <w:rStyle w:val="10"/>
                      <w:rFonts w:ascii="Cambria Math" w:hAnsi="Cambria Math"/>
                      <w:i/>
                      <w:color w:val="000000" w:themeColor="text1"/>
                      <w:kern w:val="0"/>
                      <w:sz w:val="20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naryPr>
                <m:sub>
                  <m:r>
                    <m:rPr/>
                    <w:rPr>
                      <w:rStyle w:val="10"/>
                      <w:rFonts w:ascii="Cambria Math" w:hAnsi="Cambria Math"/>
                      <w:color w:val="000000" w:themeColor="text1"/>
                      <w:kern w:val="0"/>
                      <w:sz w:val="20"/>
                      <w14:textFill>
                        <w14:solidFill>
                          <w14:schemeClr w14:val="tx1"/>
                        </w14:solidFill>
                      </w14:textFill>
                    </w:rPr>
                    <m:t>ij</m:t>
                  </m:r>
                  <m:ctrlPr>
                    <w:rPr>
                      <w:rStyle w:val="10"/>
                      <w:rFonts w:ascii="Cambria Math" w:hAnsi="Cambria Math"/>
                      <w:i/>
                      <w:color w:val="000000" w:themeColor="text1"/>
                      <w:kern w:val="0"/>
                      <w:sz w:val="20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sub>
                <m:sup>
                  <m:ctrlPr>
                    <w:rPr>
                      <w:rStyle w:val="10"/>
                      <w:rFonts w:ascii="Cambria Math" w:hAnsi="Cambria Math"/>
                      <w:i/>
                      <w:color w:val="000000" w:themeColor="text1"/>
                      <w:kern w:val="0"/>
                      <w:sz w:val="20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sup>
                <m:e>
                  <m:sSub>
                    <m:sSubPr>
                      <m:ctrlPr>
                        <w:rPr>
                          <w:rStyle w:val="10"/>
                          <w:rFonts w:ascii="Cambria Math" w:hAnsi="Cambria Math"/>
                          <w:i/>
                          <w:color w:val="000000" w:themeColor="text1"/>
                          <w:kern w:val="0"/>
                          <w:sz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m:ctrlPr>
                    </m:sSubPr>
                    <m:e>
                      <m:r>
                        <m:rPr/>
                        <w:rPr>
                          <w:rStyle w:val="10"/>
                          <w:rFonts w:ascii="Cambria Math" w:hAnsi="Cambria Math"/>
                          <w:color w:val="000000" w:themeColor="text1"/>
                          <w:kern w:val="0"/>
                          <w:sz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m:t>A</m:t>
                      </m:r>
                      <m:ctrlPr>
                        <w:rPr>
                          <w:rStyle w:val="10"/>
                          <w:rFonts w:ascii="Cambria Math" w:hAnsi="Cambria Math"/>
                          <w:i/>
                          <w:color w:val="000000" w:themeColor="text1"/>
                          <w:kern w:val="0"/>
                          <w:sz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m:ctrlPr>
                    </m:e>
                    <m:sub>
                      <m:r>
                        <m:rPr/>
                        <w:rPr>
                          <w:rStyle w:val="10"/>
                          <w:rFonts w:ascii="Cambria Math" w:hAnsi="Cambria Math"/>
                          <w:color w:val="000000" w:themeColor="text1"/>
                          <w:kern w:val="0"/>
                          <w:sz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m:t>ij</m:t>
                      </m:r>
                      <m:ctrlPr>
                        <w:rPr>
                          <w:rStyle w:val="10"/>
                          <w:rFonts w:ascii="Cambria Math" w:hAnsi="Cambria Math"/>
                          <w:i/>
                          <w:color w:val="000000" w:themeColor="text1"/>
                          <w:kern w:val="0"/>
                          <w:sz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m:ctrlPr>
                    </m:sub>
                  </m:sSub>
                  <m:ctrlPr>
                    <w:rPr>
                      <w:rStyle w:val="10"/>
                      <w:rFonts w:ascii="Cambria Math" w:hAnsi="Cambria Math"/>
                      <w:i/>
                      <w:color w:val="000000" w:themeColor="text1"/>
                      <w:kern w:val="0"/>
                      <w:sz w:val="20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e>
              </m:nary>
            </m:oMath>
            <w:r>
              <w:rPr>
                <w:rStyle w:val="10"/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 = total number of edges</w:t>
            </w:r>
          </w:p>
        </w:tc>
        <w:tc>
          <w:tcPr>
            <w:tcW w:w="2045" w:type="dxa"/>
            <w:tcBorders>
              <w:top w:val="single" w:color="auto" w:sz="4" w:space="0"/>
              <w:bottom w:val="single" w:color="auto" w:sz="8" w:space="0"/>
            </w:tcBorders>
          </w:tcPr>
          <w:p w14:paraId="305A5EF4">
            <w:pPr>
              <w:keepNext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center" w:pos="4153"/>
                <w:tab w:val="left" w:pos="4200"/>
                <w:tab w:val="left" w:pos="6754"/>
              </w:tabs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Measures the ratio of intra-community link density to inter-community link density</w:t>
            </w:r>
            <w:r>
              <w:rPr>
                <w:kern w:val="0"/>
                <w:sz w:val="20"/>
                <w:szCs w:val="21"/>
                <w:vertAlign w:val="superscript"/>
              </w:rPr>
              <w:t xml:space="preserve"> </w:t>
            </w:r>
            <w:r>
              <w:rPr>
                <w:kern w:val="0"/>
                <w:sz w:val="20"/>
                <w:szCs w:val="21"/>
                <w:vertAlign w:val="superscript"/>
              </w:rPr>
              <w:fldChar w:fldCharType="begin"/>
            </w:r>
            <w:r>
              <w:rPr>
                <w:kern w:val="0"/>
                <w:sz w:val="20"/>
                <w:szCs w:val="21"/>
                <w:vertAlign w:val="superscript"/>
              </w:rPr>
              <w:instrText xml:space="preserve"> REF _Ref229395145 \r \h  \* MERGEFORMAT </w:instrText>
            </w:r>
            <w:r>
              <w:rPr>
                <w:kern w:val="0"/>
                <w:sz w:val="20"/>
                <w:szCs w:val="21"/>
                <w:vertAlign w:val="superscript"/>
              </w:rPr>
              <w:fldChar w:fldCharType="separate"/>
            </w:r>
            <w:r>
              <w:rPr>
                <w:kern w:val="0"/>
                <w:sz w:val="20"/>
                <w:szCs w:val="21"/>
                <w:vertAlign w:val="superscript"/>
              </w:rPr>
              <w:t>[43]</w:t>
            </w:r>
            <w:r>
              <w:rPr>
                <w:kern w:val="0"/>
                <w:sz w:val="20"/>
                <w:szCs w:val="21"/>
                <w:vertAlign w:val="superscript"/>
              </w:rPr>
              <w:fldChar w:fldCharType="end"/>
            </w:r>
            <w:r>
              <w:rPr>
                <w:kern w:val="0"/>
                <w:sz w:val="20"/>
                <w:szCs w:val="21"/>
                <w:vertAlign w:val="superscript"/>
              </w:rPr>
              <w:fldChar w:fldCharType="begin"/>
            </w:r>
            <w:r>
              <w:rPr>
                <w:kern w:val="0"/>
                <w:sz w:val="20"/>
                <w:szCs w:val="21"/>
                <w:vertAlign w:val="superscript"/>
              </w:rPr>
              <w:instrText xml:space="preserve"> REF _Ref225435539 \r \h  \* MERGEFORMAT </w:instrText>
            </w:r>
            <w:r>
              <w:rPr>
                <w:kern w:val="0"/>
                <w:sz w:val="20"/>
                <w:szCs w:val="21"/>
                <w:vertAlign w:val="superscript"/>
              </w:rPr>
              <w:fldChar w:fldCharType="separate"/>
            </w:r>
            <w:r>
              <w:rPr>
                <w:kern w:val="0"/>
                <w:sz w:val="20"/>
                <w:szCs w:val="21"/>
                <w:vertAlign w:val="superscript"/>
              </w:rPr>
              <w:t>[44]</w:t>
            </w:r>
            <w:r>
              <w:rPr>
                <w:kern w:val="0"/>
                <w:sz w:val="20"/>
                <w:szCs w:val="21"/>
                <w:vertAlign w:val="superscript"/>
              </w:rPr>
              <w:fldChar w:fldCharType="end"/>
            </w:r>
          </w:p>
        </w:tc>
      </w:tr>
    </w:tbl>
    <w:p w14:paraId="1DA7E438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center" w:pos="4153"/>
          <w:tab w:val="left" w:pos="4200"/>
          <w:tab w:val="left" w:pos="6754"/>
        </w:tabs>
        <w:spacing w:line="360" w:lineRule="auto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Note: The formula is derived from the study of Blondel et al. </w:t>
      </w:r>
      <w:r>
        <w:rPr>
          <w:sz w:val="18"/>
          <w:szCs w:val="18"/>
          <w:vertAlign w:val="superscript"/>
        </w:rPr>
        <w:fldChar w:fldCharType="begin"/>
      </w:r>
      <w:r>
        <w:rPr>
          <w:sz w:val="18"/>
          <w:szCs w:val="18"/>
          <w:vertAlign w:val="superscript"/>
        </w:rPr>
        <w:instrText xml:space="preserve"> REF _Ref225435550 \r \h  \* MERGEFORMAT </w:instrText>
      </w:r>
      <w:r>
        <w:rPr>
          <w:sz w:val="18"/>
          <w:szCs w:val="18"/>
          <w:vertAlign w:val="superscript"/>
        </w:rPr>
        <w:fldChar w:fldCharType="separate"/>
      </w:r>
      <w:r>
        <w:rPr>
          <w:sz w:val="18"/>
          <w:szCs w:val="18"/>
          <w:vertAlign w:val="superscript"/>
        </w:rPr>
        <w:t>[45]</w:t>
      </w:r>
      <w:r>
        <w:rPr>
          <w:sz w:val="18"/>
          <w:szCs w:val="18"/>
          <w:vertAlign w:val="superscript"/>
        </w:rPr>
        <w:fldChar w:fldCharType="end"/>
      </w:r>
    </w:p>
    <w:p w14:paraId="02C4F027"/>
    <w:p w14:paraId="1F8BCD9B">
      <w:pPr>
        <w:pStyle w:val="3"/>
        <w:keepNext/>
        <w:jc w:val="center"/>
        <w:rPr>
          <w:rFonts w:hint="eastAsia"/>
        </w:rPr>
      </w:pPr>
      <w:bookmarkStart w:id="4" w:name="_Ref233127665"/>
      <w:r>
        <w:rPr>
          <w:rFonts w:ascii="Times New Roman" w:hAnsi="Times New Roman" w:eastAsia="宋体" w:cs="Times New Roman"/>
          <w:sz w:val="21"/>
          <w:szCs w:val="21"/>
        </w:rPr>
        <w:t>Table A</w:t>
      </w:r>
      <w:r>
        <w:rPr>
          <w:rFonts w:ascii="Times New Roman" w:hAnsi="Times New Roman" w:eastAsia="宋体" w:cs="Times New Roman"/>
          <w:sz w:val="21"/>
          <w:szCs w:val="21"/>
        </w:rPr>
        <w:fldChar w:fldCharType="begin"/>
      </w:r>
      <w:r>
        <w:rPr>
          <w:rFonts w:ascii="Times New Roman" w:hAnsi="Times New Roman" w:eastAsia="宋体" w:cs="Times New Roman"/>
          <w:sz w:val="21"/>
          <w:szCs w:val="21"/>
        </w:rPr>
        <w:instrText xml:space="preserve"> SEQ Table_A \* ARABIC </w:instrText>
      </w:r>
      <w:r>
        <w:rPr>
          <w:rFonts w:ascii="Times New Roman" w:hAnsi="Times New Roman" w:eastAsia="宋体" w:cs="Times New Roman"/>
          <w:sz w:val="21"/>
          <w:szCs w:val="21"/>
        </w:rPr>
        <w:fldChar w:fldCharType="separate"/>
      </w:r>
      <w:r>
        <w:rPr>
          <w:rFonts w:ascii="Times New Roman" w:hAnsi="Times New Roman" w:eastAsia="宋体" w:cs="Times New Roman"/>
          <w:sz w:val="21"/>
          <w:szCs w:val="21"/>
        </w:rPr>
        <w:t>3</w:t>
      </w:r>
      <w:r>
        <w:rPr>
          <w:rFonts w:ascii="Times New Roman" w:hAnsi="Times New Roman" w:eastAsia="宋体" w:cs="Times New Roman"/>
          <w:sz w:val="21"/>
          <w:szCs w:val="21"/>
        </w:rPr>
        <w:fldChar w:fldCharType="end"/>
      </w:r>
      <w:bookmarkEnd w:id="4"/>
      <w:r>
        <w:rPr>
          <w:rFonts w:hint="eastAsia" w:ascii="Times New Roman" w:hAnsi="Times New Roman" w:eastAsia="宋体" w:cs="Times New Roman"/>
          <w:sz w:val="21"/>
          <w:szCs w:val="21"/>
        </w:rPr>
        <w:t xml:space="preserve"> </w:t>
      </w:r>
      <w:r>
        <w:rPr>
          <w:rFonts w:ascii="Times New Roman" w:hAnsi="Times New Roman" w:eastAsia="宋体" w:cs="Times New Roman"/>
          <w:sz w:val="21"/>
          <w:szCs w:val="21"/>
        </w:rPr>
        <w:t>Network Density of Patent Applicants</w:t>
      </w:r>
    </w:p>
    <w:tbl>
      <w:tblPr>
        <w:tblStyle w:val="7"/>
        <w:tblW w:w="0" w:type="auto"/>
        <w:tblInd w:w="0" w:type="dxa"/>
        <w:tblBorders>
          <w:top w:val="single" w:color="auto" w:sz="8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6"/>
        <w:gridCol w:w="2765"/>
        <w:gridCol w:w="2765"/>
      </w:tblGrid>
      <w:tr w14:paraId="1FC19355">
        <w:tc>
          <w:tcPr>
            <w:tcW w:w="2766" w:type="dxa"/>
            <w:tcBorders>
              <w:top w:val="single" w:color="auto" w:sz="8" w:space="0"/>
              <w:bottom w:val="single" w:color="auto" w:sz="4" w:space="0"/>
            </w:tcBorders>
          </w:tcPr>
          <w:p w14:paraId="71F5C168">
            <w:pPr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2765" w:type="dxa"/>
            <w:tcBorders>
              <w:top w:val="single" w:color="auto" w:sz="8" w:space="0"/>
              <w:bottom w:val="single" w:color="auto" w:sz="4" w:space="0"/>
            </w:tcBorders>
          </w:tcPr>
          <w:p w14:paraId="7C09A8F1">
            <w:pPr>
              <w:jc w:val="center"/>
              <w:rPr>
                <w:b/>
                <w:bCs/>
                <w:kern w:val="0"/>
                <w:sz w:val="20"/>
                <w:szCs w:val="21"/>
              </w:rPr>
            </w:pPr>
            <w:r>
              <w:rPr>
                <w:b/>
                <w:bCs/>
                <w:kern w:val="0"/>
                <w:sz w:val="20"/>
                <w:szCs w:val="21"/>
              </w:rPr>
              <w:t>Network Density</w:t>
            </w:r>
          </w:p>
        </w:tc>
        <w:tc>
          <w:tcPr>
            <w:tcW w:w="2765" w:type="dxa"/>
            <w:tcBorders>
              <w:top w:val="single" w:color="auto" w:sz="8" w:space="0"/>
              <w:bottom w:val="single" w:color="auto" w:sz="4" w:space="0"/>
            </w:tcBorders>
          </w:tcPr>
          <w:p w14:paraId="19A310A0">
            <w:pPr>
              <w:jc w:val="center"/>
              <w:rPr>
                <w:b/>
                <w:bCs/>
                <w:kern w:val="0"/>
                <w:sz w:val="20"/>
                <w:szCs w:val="21"/>
              </w:rPr>
            </w:pPr>
            <w:r>
              <w:rPr>
                <w:b/>
                <w:bCs/>
                <w:kern w:val="0"/>
                <w:sz w:val="20"/>
                <w:szCs w:val="21"/>
              </w:rPr>
              <w:t>Number of Edges</w:t>
            </w:r>
          </w:p>
        </w:tc>
      </w:tr>
      <w:tr w14:paraId="5948C86F">
        <w:tc>
          <w:tcPr>
            <w:tcW w:w="2766" w:type="dxa"/>
            <w:tcBorders>
              <w:top w:val="single" w:color="auto" w:sz="4" w:space="0"/>
              <w:bottom w:val="single" w:color="auto" w:sz="8" w:space="0"/>
            </w:tcBorders>
          </w:tcPr>
          <w:p w14:paraId="603DE91C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Patent applicants</w:t>
            </w:r>
          </w:p>
        </w:tc>
        <w:tc>
          <w:tcPr>
            <w:tcW w:w="2765" w:type="dxa"/>
            <w:tcBorders>
              <w:top w:val="single" w:color="auto" w:sz="4" w:space="0"/>
              <w:bottom w:val="single" w:color="auto" w:sz="8" w:space="0"/>
            </w:tcBorders>
          </w:tcPr>
          <w:p w14:paraId="4224D115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0.0001</w:t>
            </w:r>
          </w:p>
        </w:tc>
        <w:tc>
          <w:tcPr>
            <w:tcW w:w="2765" w:type="dxa"/>
            <w:tcBorders>
              <w:top w:val="single" w:color="auto" w:sz="4" w:space="0"/>
              <w:bottom w:val="single" w:color="auto" w:sz="8" w:space="0"/>
            </w:tcBorders>
          </w:tcPr>
          <w:p w14:paraId="1975DA6A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142</w:t>
            </w:r>
          </w:p>
        </w:tc>
      </w:tr>
    </w:tbl>
    <w:p w14:paraId="583E1F71">
      <w:pPr>
        <w:pStyle w:val="3"/>
        <w:keepNext/>
        <w:rPr>
          <w:rFonts w:ascii="Times New Roman" w:hAnsi="Times New Roman" w:cs="Times New Roman"/>
          <w:sz w:val="21"/>
          <w:szCs w:val="21"/>
        </w:rPr>
      </w:pPr>
    </w:p>
    <w:p w14:paraId="1D2526DA">
      <w:pPr>
        <w:pStyle w:val="3"/>
        <w:keepNext/>
        <w:jc w:val="center"/>
        <w:rPr>
          <w:rFonts w:ascii="Times New Roman" w:hAnsi="Times New Roman" w:cs="Times New Roman"/>
          <w:sz w:val="21"/>
          <w:szCs w:val="21"/>
        </w:rPr>
      </w:pPr>
      <w:bookmarkStart w:id="5" w:name="_Ref233127671"/>
      <w:r>
        <w:rPr>
          <w:rFonts w:ascii="Times New Roman" w:hAnsi="Times New Roman" w:cs="Times New Roman"/>
          <w:sz w:val="21"/>
          <w:szCs w:val="21"/>
        </w:rPr>
        <w:t>Table A</w:t>
      </w:r>
      <w:r>
        <w:rPr>
          <w:rFonts w:ascii="Times New Roman" w:hAnsi="Times New Roman" w:cs="Times New Roman"/>
          <w:sz w:val="21"/>
          <w:szCs w:val="21"/>
        </w:rPr>
        <w:fldChar w:fldCharType="begin"/>
      </w:r>
      <w:r>
        <w:rPr>
          <w:rFonts w:ascii="Times New Roman" w:hAnsi="Times New Roman" w:cs="Times New Roman"/>
          <w:sz w:val="21"/>
          <w:szCs w:val="21"/>
        </w:rPr>
        <w:instrText xml:space="preserve"> SEQ Table_A \* ARABIC </w:instrText>
      </w:r>
      <w:r>
        <w:rPr>
          <w:rFonts w:ascii="Times New Roman" w:hAnsi="Times New Roman" w:cs="Times New Roman"/>
          <w:sz w:val="21"/>
          <w:szCs w:val="21"/>
        </w:rPr>
        <w:fldChar w:fldCharType="separate"/>
      </w:r>
      <w:r>
        <w:rPr>
          <w:rFonts w:hint="eastAsia" w:ascii="Times New Roman" w:hAnsi="Times New Roman" w:cs="Times New Roman"/>
          <w:sz w:val="21"/>
          <w:szCs w:val="21"/>
        </w:rPr>
        <w:t>4</w:t>
      </w:r>
      <w:r>
        <w:rPr>
          <w:rFonts w:ascii="Times New Roman" w:hAnsi="Times New Roman" w:cs="Times New Roman"/>
          <w:sz w:val="21"/>
          <w:szCs w:val="21"/>
        </w:rPr>
        <w:fldChar w:fldCharType="end"/>
      </w:r>
      <w:bookmarkEnd w:id="5"/>
      <w:r>
        <w:rPr>
          <w:rFonts w:ascii="Times New Roman" w:hAnsi="Times New Roman" w:cs="Times New Roman"/>
          <w:sz w:val="21"/>
          <w:szCs w:val="21"/>
        </w:rPr>
        <w:t xml:space="preserve"> Centrality of Patent Applicants</w:t>
      </w: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 w14:paraId="3EFD669E">
        <w:tc>
          <w:tcPr>
            <w:tcW w:w="2074" w:type="dxa"/>
            <w:tcBorders>
              <w:top w:val="single" w:color="auto" w:sz="8" w:space="0"/>
              <w:bottom w:val="single" w:color="auto" w:sz="4" w:space="0"/>
            </w:tcBorders>
          </w:tcPr>
          <w:p w14:paraId="2953E4BE">
            <w:pPr>
              <w:jc w:val="center"/>
              <w:rPr>
                <w:b/>
                <w:bCs/>
                <w:kern w:val="0"/>
                <w:sz w:val="20"/>
                <w:szCs w:val="21"/>
              </w:rPr>
            </w:pPr>
            <w:r>
              <w:rPr>
                <w:b/>
                <w:bCs/>
                <w:kern w:val="0"/>
                <w:sz w:val="20"/>
                <w:szCs w:val="21"/>
              </w:rPr>
              <w:t>Statistic</w:t>
            </w:r>
          </w:p>
        </w:tc>
        <w:tc>
          <w:tcPr>
            <w:tcW w:w="2074" w:type="dxa"/>
            <w:tcBorders>
              <w:top w:val="single" w:color="auto" w:sz="8" w:space="0"/>
              <w:bottom w:val="single" w:color="auto" w:sz="4" w:space="0"/>
            </w:tcBorders>
          </w:tcPr>
          <w:p w14:paraId="127B03A6">
            <w:pPr>
              <w:jc w:val="center"/>
              <w:rPr>
                <w:b/>
                <w:bCs/>
                <w:kern w:val="0"/>
                <w:sz w:val="20"/>
                <w:szCs w:val="21"/>
              </w:rPr>
            </w:pPr>
            <w:r>
              <w:rPr>
                <w:b/>
                <w:bCs/>
                <w:kern w:val="0"/>
                <w:sz w:val="20"/>
                <w:szCs w:val="21"/>
              </w:rPr>
              <w:t>Degree Centrality</w:t>
            </w:r>
          </w:p>
        </w:tc>
        <w:tc>
          <w:tcPr>
            <w:tcW w:w="2074" w:type="dxa"/>
            <w:tcBorders>
              <w:top w:val="single" w:color="auto" w:sz="8" w:space="0"/>
              <w:bottom w:val="single" w:color="auto" w:sz="4" w:space="0"/>
            </w:tcBorders>
          </w:tcPr>
          <w:p w14:paraId="1447BABE">
            <w:pPr>
              <w:jc w:val="center"/>
              <w:rPr>
                <w:b/>
                <w:bCs/>
                <w:kern w:val="0"/>
                <w:sz w:val="20"/>
                <w:szCs w:val="21"/>
              </w:rPr>
            </w:pPr>
            <w:r>
              <w:rPr>
                <w:b/>
                <w:bCs/>
                <w:kern w:val="0"/>
                <w:sz w:val="20"/>
                <w:szCs w:val="21"/>
              </w:rPr>
              <w:t>Closeness Centrality</w:t>
            </w:r>
          </w:p>
        </w:tc>
        <w:tc>
          <w:tcPr>
            <w:tcW w:w="2074" w:type="dxa"/>
            <w:tcBorders>
              <w:top w:val="single" w:color="auto" w:sz="8" w:space="0"/>
              <w:bottom w:val="single" w:color="auto" w:sz="4" w:space="0"/>
            </w:tcBorders>
          </w:tcPr>
          <w:p w14:paraId="1ED3D0C9">
            <w:pPr>
              <w:jc w:val="center"/>
              <w:rPr>
                <w:b/>
                <w:bCs/>
                <w:kern w:val="0"/>
                <w:sz w:val="20"/>
                <w:szCs w:val="21"/>
              </w:rPr>
            </w:pPr>
            <w:r>
              <w:rPr>
                <w:b/>
                <w:bCs/>
                <w:kern w:val="0"/>
                <w:sz w:val="20"/>
                <w:szCs w:val="21"/>
              </w:rPr>
              <w:t>Betweenness Centrality</w:t>
            </w:r>
          </w:p>
        </w:tc>
      </w:tr>
      <w:tr w14:paraId="018FC870">
        <w:tc>
          <w:tcPr>
            <w:tcW w:w="2074" w:type="dxa"/>
            <w:tcBorders>
              <w:top w:val="single" w:color="auto" w:sz="4" w:space="0"/>
            </w:tcBorders>
          </w:tcPr>
          <w:p w14:paraId="1A568CB3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Mean</w:t>
            </w:r>
          </w:p>
        </w:tc>
        <w:tc>
          <w:tcPr>
            <w:tcW w:w="2074" w:type="dxa"/>
            <w:tcBorders>
              <w:top w:val="single" w:color="auto" w:sz="4" w:space="0"/>
            </w:tcBorders>
          </w:tcPr>
          <w:p w14:paraId="05606594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0.020</w:t>
            </w:r>
          </w:p>
        </w:tc>
        <w:tc>
          <w:tcPr>
            <w:tcW w:w="2074" w:type="dxa"/>
            <w:tcBorders>
              <w:top w:val="single" w:color="auto" w:sz="4" w:space="0"/>
            </w:tcBorders>
          </w:tcPr>
          <w:p w14:paraId="5E259B3B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0.084</w:t>
            </w:r>
          </w:p>
        </w:tc>
        <w:tc>
          <w:tcPr>
            <w:tcW w:w="2074" w:type="dxa"/>
            <w:tcBorders>
              <w:top w:val="single" w:color="auto" w:sz="4" w:space="0"/>
            </w:tcBorders>
          </w:tcPr>
          <w:p w14:paraId="63C116AD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0.000</w:t>
            </w:r>
          </w:p>
        </w:tc>
      </w:tr>
      <w:tr w14:paraId="7FD45AD2">
        <w:tc>
          <w:tcPr>
            <w:tcW w:w="2074" w:type="dxa"/>
            <w:tcBorders>
              <w:bottom w:val="nil"/>
            </w:tcBorders>
          </w:tcPr>
          <w:p w14:paraId="04091F26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Minimum</w:t>
            </w:r>
          </w:p>
        </w:tc>
        <w:tc>
          <w:tcPr>
            <w:tcW w:w="2074" w:type="dxa"/>
            <w:tcBorders>
              <w:bottom w:val="nil"/>
            </w:tcBorders>
          </w:tcPr>
          <w:p w14:paraId="6CFC9998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0.000</w:t>
            </w:r>
          </w:p>
        </w:tc>
        <w:tc>
          <w:tcPr>
            <w:tcW w:w="2074" w:type="dxa"/>
            <w:tcBorders>
              <w:bottom w:val="nil"/>
            </w:tcBorders>
          </w:tcPr>
          <w:p w14:paraId="319D48AD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0.084</w:t>
            </w:r>
          </w:p>
        </w:tc>
        <w:tc>
          <w:tcPr>
            <w:tcW w:w="2074" w:type="dxa"/>
            <w:tcBorders>
              <w:bottom w:val="nil"/>
            </w:tcBorders>
          </w:tcPr>
          <w:p w14:paraId="79F9D103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0.000</w:t>
            </w:r>
          </w:p>
        </w:tc>
      </w:tr>
      <w:tr w14:paraId="150F1936">
        <w:tc>
          <w:tcPr>
            <w:tcW w:w="2074" w:type="dxa"/>
            <w:tcBorders>
              <w:bottom w:val="single" w:color="auto" w:sz="8" w:space="0"/>
            </w:tcBorders>
          </w:tcPr>
          <w:p w14:paraId="10AD1883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Maximum</w:t>
            </w:r>
          </w:p>
        </w:tc>
        <w:tc>
          <w:tcPr>
            <w:tcW w:w="2074" w:type="dxa"/>
            <w:tcBorders>
              <w:bottom w:val="single" w:color="auto" w:sz="8" w:space="0"/>
            </w:tcBorders>
          </w:tcPr>
          <w:p w14:paraId="5B92148F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1.005</w:t>
            </w:r>
          </w:p>
        </w:tc>
        <w:tc>
          <w:tcPr>
            <w:tcW w:w="2074" w:type="dxa"/>
            <w:tcBorders>
              <w:bottom w:val="single" w:color="auto" w:sz="8" w:space="0"/>
            </w:tcBorders>
          </w:tcPr>
          <w:p w14:paraId="0E2B89EB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0.085</w:t>
            </w:r>
          </w:p>
        </w:tc>
        <w:tc>
          <w:tcPr>
            <w:tcW w:w="2074" w:type="dxa"/>
            <w:tcBorders>
              <w:bottom w:val="single" w:color="auto" w:sz="8" w:space="0"/>
            </w:tcBorders>
          </w:tcPr>
          <w:p w14:paraId="3756B94A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0.009</w:t>
            </w:r>
          </w:p>
        </w:tc>
      </w:tr>
    </w:tbl>
    <w:p w14:paraId="7F46F179">
      <w:pPr>
        <w:spacing w:line="360" w:lineRule="auto"/>
        <w:rPr>
          <w:sz w:val="24"/>
        </w:rPr>
      </w:pPr>
    </w:p>
    <w:p w14:paraId="37873035">
      <w:pPr>
        <w:pStyle w:val="3"/>
        <w:keepNext/>
        <w:jc w:val="center"/>
        <w:rPr>
          <w:rFonts w:ascii="Times New Roman" w:hAnsi="Times New Roman" w:cs="Times New Roman"/>
          <w:sz w:val="21"/>
          <w:szCs w:val="21"/>
        </w:rPr>
      </w:pPr>
      <w:bookmarkStart w:id="6" w:name="_Ref233127764"/>
      <w:r>
        <w:rPr>
          <w:rFonts w:ascii="Times New Roman" w:hAnsi="Times New Roman" w:cs="Times New Roman"/>
          <w:sz w:val="21"/>
          <w:szCs w:val="21"/>
        </w:rPr>
        <w:t>Table A</w:t>
      </w:r>
      <w:r>
        <w:rPr>
          <w:rFonts w:ascii="Times New Roman" w:hAnsi="Times New Roman" w:cs="Times New Roman"/>
          <w:sz w:val="21"/>
          <w:szCs w:val="21"/>
        </w:rPr>
        <w:fldChar w:fldCharType="begin"/>
      </w:r>
      <w:r>
        <w:rPr>
          <w:rFonts w:ascii="Times New Roman" w:hAnsi="Times New Roman" w:cs="Times New Roman"/>
          <w:sz w:val="21"/>
          <w:szCs w:val="21"/>
        </w:rPr>
        <w:instrText xml:space="preserve"> SEQ Table_A \* ARABIC </w:instrText>
      </w:r>
      <w:r>
        <w:rPr>
          <w:rFonts w:ascii="Times New Roman" w:hAnsi="Times New Roman" w:cs="Times New Roman"/>
          <w:sz w:val="21"/>
          <w:szCs w:val="21"/>
        </w:rPr>
        <w:fldChar w:fldCharType="separate"/>
      </w:r>
      <w:r>
        <w:rPr>
          <w:rFonts w:hint="eastAsia" w:ascii="Times New Roman" w:hAnsi="Times New Roman" w:cs="Times New Roman"/>
          <w:sz w:val="21"/>
          <w:szCs w:val="21"/>
        </w:rPr>
        <w:t>5</w:t>
      </w:r>
      <w:r>
        <w:rPr>
          <w:rFonts w:ascii="Times New Roman" w:hAnsi="Times New Roman" w:cs="Times New Roman"/>
          <w:sz w:val="21"/>
          <w:szCs w:val="21"/>
        </w:rPr>
        <w:fldChar w:fldCharType="end"/>
      </w:r>
      <w:bookmarkEnd w:id="6"/>
      <w:r>
        <w:rPr>
          <w:rFonts w:ascii="Times New Roman" w:hAnsi="Times New Roman" w:cs="Times New Roman"/>
          <w:sz w:val="21"/>
          <w:szCs w:val="21"/>
        </w:rPr>
        <w:t xml:space="preserve"> Core Nodes in the Overall Applicant Network</w:t>
      </w: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6600"/>
      </w:tblGrid>
      <w:tr w14:paraId="1AB01F23">
        <w:tc>
          <w:tcPr>
            <w:tcW w:w="1696" w:type="dxa"/>
            <w:tcBorders>
              <w:top w:val="single" w:color="auto" w:sz="8" w:space="0"/>
              <w:bottom w:val="single" w:color="auto" w:sz="4" w:space="0"/>
            </w:tcBorders>
          </w:tcPr>
          <w:p w14:paraId="0A4181B8">
            <w:pPr>
              <w:rPr>
                <w:b/>
                <w:bCs/>
                <w:kern w:val="0"/>
                <w:sz w:val="20"/>
              </w:rPr>
            </w:pPr>
            <w:r>
              <w:rPr>
                <w:b/>
                <w:bCs/>
                <w:kern w:val="0"/>
                <w:sz w:val="20"/>
              </w:rPr>
              <w:t>Centrality Value</w:t>
            </w:r>
          </w:p>
        </w:tc>
        <w:tc>
          <w:tcPr>
            <w:tcW w:w="6600" w:type="dxa"/>
            <w:tcBorders>
              <w:top w:val="single" w:color="auto" w:sz="8" w:space="0"/>
              <w:bottom w:val="single" w:color="auto" w:sz="4" w:space="0"/>
            </w:tcBorders>
          </w:tcPr>
          <w:p w14:paraId="0E1A1BFB">
            <w:pPr>
              <w:rPr>
                <w:b/>
                <w:bCs/>
                <w:kern w:val="0"/>
                <w:sz w:val="20"/>
              </w:rPr>
            </w:pPr>
            <w:r>
              <w:rPr>
                <w:b/>
                <w:bCs/>
                <w:kern w:val="0"/>
                <w:sz w:val="20"/>
              </w:rPr>
              <w:t>Applicant</w:t>
            </w:r>
          </w:p>
        </w:tc>
      </w:tr>
      <w:tr w14:paraId="618EB0A1">
        <w:tc>
          <w:tcPr>
            <w:tcW w:w="1696" w:type="dxa"/>
            <w:tcBorders>
              <w:top w:val="single" w:color="auto" w:sz="4" w:space="0"/>
            </w:tcBorders>
          </w:tcPr>
          <w:p w14:paraId="71A748F8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12</w:t>
            </w:r>
          </w:p>
        </w:tc>
        <w:tc>
          <w:tcPr>
            <w:tcW w:w="6600" w:type="dxa"/>
            <w:tcBorders>
              <w:top w:val="single" w:color="auto" w:sz="4" w:space="0"/>
            </w:tcBorders>
          </w:tcPr>
          <w:p w14:paraId="39A74855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South China Agricultural University</w:t>
            </w:r>
          </w:p>
        </w:tc>
      </w:tr>
      <w:tr w14:paraId="308882F0">
        <w:tc>
          <w:tcPr>
            <w:tcW w:w="1696" w:type="dxa"/>
          </w:tcPr>
          <w:p w14:paraId="3A1B02D4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5</w:t>
            </w:r>
          </w:p>
        </w:tc>
        <w:tc>
          <w:tcPr>
            <w:tcW w:w="6600" w:type="dxa"/>
          </w:tcPr>
          <w:p w14:paraId="39485FE6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 xml:space="preserve">Guangdong Pharmaceutical University </w:t>
            </w:r>
          </w:p>
          <w:p w14:paraId="2893CF13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 xml:space="preserve">South China University of Technology </w:t>
            </w:r>
          </w:p>
          <w:p w14:paraId="497BE18C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Shenzhen Osa Pharmaceutical Co., Ltd.</w:t>
            </w:r>
          </w:p>
        </w:tc>
      </w:tr>
      <w:tr w14:paraId="6B7B3426">
        <w:tc>
          <w:tcPr>
            <w:tcW w:w="1696" w:type="dxa"/>
          </w:tcPr>
          <w:p w14:paraId="00140B2E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4</w:t>
            </w:r>
          </w:p>
        </w:tc>
        <w:tc>
          <w:tcPr>
            <w:tcW w:w="6600" w:type="dxa"/>
          </w:tcPr>
          <w:p w14:paraId="1BFD9CF5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Guangzhou Institute of Respiratory Health</w:t>
            </w:r>
          </w:p>
        </w:tc>
      </w:tr>
      <w:tr w14:paraId="011ABEC0">
        <w:tc>
          <w:tcPr>
            <w:tcW w:w="1696" w:type="dxa"/>
            <w:tcBorders>
              <w:bottom w:val="single" w:color="auto" w:sz="8" w:space="0"/>
            </w:tcBorders>
          </w:tcPr>
          <w:p w14:paraId="708C98C7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3</w:t>
            </w:r>
          </w:p>
        </w:tc>
        <w:tc>
          <w:tcPr>
            <w:tcW w:w="6600" w:type="dxa"/>
            <w:tcBorders>
              <w:bottom w:val="single" w:color="auto" w:sz="8" w:space="0"/>
            </w:tcBorders>
          </w:tcPr>
          <w:p w14:paraId="5CCDF79D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Lebi (Guangzhou) Health Industry Co., Ltd.</w:t>
            </w:r>
          </w:p>
          <w:p w14:paraId="64A11C79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Guangdong University of Technology</w:t>
            </w:r>
          </w:p>
          <w:p w14:paraId="13CE3104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Guangzhou Lianrui Pharmaceutical Co., Ltd.</w:t>
            </w:r>
          </w:p>
          <w:p w14:paraId="683B1EDF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Guangdong Provincial Hospital of Traditional Chinese Medicine</w:t>
            </w:r>
          </w:p>
          <w:p w14:paraId="3F1C4899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Guangzhou University of Chinese Medicine</w:t>
            </w:r>
          </w:p>
          <w:p w14:paraId="3B19EB87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Guangdong Institute of Poultry Science</w:t>
            </w:r>
          </w:p>
          <w:p w14:paraId="6C6D5AA1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Guangdong Yifang Pharmaceutical Co., Ltd.</w:t>
            </w:r>
          </w:p>
          <w:p w14:paraId="3A3AC25B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Wuyi University</w:t>
            </w:r>
          </w:p>
          <w:p w14:paraId="7B3EFE3D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Perfect (Guangdong) Daily Necessities Co., Ltd.</w:t>
            </w:r>
          </w:p>
          <w:p w14:paraId="3AAC5A8E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Guangzhou Caizhilin Pharmaceutical Co., Ltd.</w:t>
            </w:r>
          </w:p>
        </w:tc>
      </w:tr>
    </w:tbl>
    <w:p w14:paraId="7A1471F6">
      <w:pPr>
        <w:spacing w:line="360" w:lineRule="auto"/>
        <w:rPr>
          <w:sz w:val="24"/>
        </w:rPr>
      </w:pPr>
      <w:r>
        <w:rPr>
          <w:sz w:val="18"/>
          <w:szCs w:val="18"/>
        </w:rPr>
        <w:t>Note: Only data with degree centrality ≥ 3 are shown due to space limitations.</w:t>
      </w:r>
    </w:p>
    <w:p w14:paraId="70F055E2"/>
    <w:p w14:paraId="4C04653D">
      <w:pPr>
        <w:pStyle w:val="3"/>
        <w:keepNext/>
        <w:jc w:val="center"/>
        <w:rPr>
          <w:rFonts w:ascii="Times New Roman" w:hAnsi="Times New Roman" w:cs="Times New Roman"/>
          <w:sz w:val="21"/>
          <w:szCs w:val="21"/>
        </w:rPr>
      </w:pPr>
      <w:bookmarkStart w:id="7" w:name="_Ref233127785"/>
      <w:r>
        <w:rPr>
          <w:rFonts w:ascii="Times New Roman" w:hAnsi="Times New Roman" w:cs="Times New Roman"/>
          <w:sz w:val="21"/>
          <w:szCs w:val="21"/>
        </w:rPr>
        <w:t>Table A</w:t>
      </w:r>
      <w:r>
        <w:rPr>
          <w:rFonts w:ascii="Times New Roman" w:hAnsi="Times New Roman" w:cs="Times New Roman"/>
          <w:sz w:val="21"/>
          <w:szCs w:val="21"/>
        </w:rPr>
        <w:fldChar w:fldCharType="begin"/>
      </w:r>
      <w:r>
        <w:rPr>
          <w:rFonts w:ascii="Times New Roman" w:hAnsi="Times New Roman" w:cs="Times New Roman"/>
          <w:sz w:val="21"/>
          <w:szCs w:val="21"/>
        </w:rPr>
        <w:instrText xml:space="preserve"> SEQ Table_A \* ARABIC </w:instrText>
      </w:r>
      <w:r>
        <w:rPr>
          <w:rFonts w:ascii="Times New Roman" w:hAnsi="Times New Roman" w:cs="Times New Roman"/>
          <w:sz w:val="21"/>
          <w:szCs w:val="21"/>
        </w:rPr>
        <w:fldChar w:fldCharType="separate"/>
      </w:r>
      <w:r>
        <w:rPr>
          <w:rFonts w:hint="eastAsia" w:ascii="Times New Roman" w:hAnsi="Times New Roman" w:cs="Times New Roman"/>
          <w:sz w:val="21"/>
          <w:szCs w:val="21"/>
        </w:rPr>
        <w:t>6</w:t>
      </w:r>
      <w:r>
        <w:rPr>
          <w:rFonts w:ascii="Times New Roman" w:hAnsi="Times New Roman" w:cs="Times New Roman"/>
          <w:sz w:val="21"/>
          <w:szCs w:val="21"/>
        </w:rPr>
        <w:fldChar w:fldCharType="end"/>
      </w:r>
      <w:bookmarkEnd w:id="7"/>
      <w:r>
        <w:rPr>
          <w:rFonts w:hint="eastAsia"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Network Density by Applicant City</w:t>
      </w:r>
    </w:p>
    <w:tbl>
      <w:tblPr>
        <w:tblStyle w:val="7"/>
        <w:tblW w:w="0" w:type="auto"/>
        <w:tblInd w:w="0" w:type="dxa"/>
        <w:tblBorders>
          <w:top w:val="single" w:color="auto" w:sz="8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2765"/>
        <w:gridCol w:w="2766"/>
      </w:tblGrid>
      <w:tr w14:paraId="1BBFE76F">
        <w:trPr>
          <w:cantSplit/>
        </w:trPr>
        <w:tc>
          <w:tcPr>
            <w:tcW w:w="2765" w:type="dxa"/>
            <w:tcBorders>
              <w:top w:val="single" w:color="auto" w:sz="8" w:space="0"/>
              <w:bottom w:val="single" w:color="auto" w:sz="4" w:space="0"/>
            </w:tcBorders>
          </w:tcPr>
          <w:p w14:paraId="3B694028">
            <w:pPr>
              <w:keepNext/>
              <w:jc w:val="center"/>
              <w:rPr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2765" w:type="dxa"/>
            <w:tcBorders>
              <w:top w:val="single" w:color="auto" w:sz="8" w:space="0"/>
              <w:bottom w:val="single" w:color="auto" w:sz="4" w:space="0"/>
            </w:tcBorders>
          </w:tcPr>
          <w:p w14:paraId="4FCF123A">
            <w:pPr>
              <w:keepNext/>
              <w:jc w:val="center"/>
              <w:rPr>
                <w:b/>
                <w:bCs/>
                <w:kern w:val="0"/>
                <w:sz w:val="20"/>
                <w:szCs w:val="21"/>
              </w:rPr>
            </w:pPr>
            <w:r>
              <w:rPr>
                <w:b/>
                <w:bCs/>
                <w:kern w:val="0"/>
                <w:sz w:val="20"/>
                <w:szCs w:val="21"/>
              </w:rPr>
              <w:t>Network Density</w:t>
            </w:r>
          </w:p>
        </w:tc>
        <w:tc>
          <w:tcPr>
            <w:tcW w:w="2766" w:type="dxa"/>
            <w:tcBorders>
              <w:top w:val="single" w:color="auto" w:sz="8" w:space="0"/>
              <w:bottom w:val="single" w:color="auto" w:sz="4" w:space="0"/>
            </w:tcBorders>
          </w:tcPr>
          <w:p w14:paraId="55FB10CA">
            <w:pPr>
              <w:keepNext/>
              <w:jc w:val="center"/>
              <w:rPr>
                <w:b/>
                <w:bCs/>
                <w:kern w:val="0"/>
                <w:sz w:val="20"/>
                <w:szCs w:val="21"/>
              </w:rPr>
            </w:pPr>
            <w:r>
              <w:rPr>
                <w:b/>
                <w:bCs/>
                <w:kern w:val="0"/>
                <w:sz w:val="20"/>
                <w:szCs w:val="21"/>
              </w:rPr>
              <w:t>Number of Edges</w:t>
            </w:r>
          </w:p>
        </w:tc>
      </w:tr>
      <w:tr w14:paraId="2B8F0CDC">
        <w:trPr>
          <w:cantSplit/>
        </w:trPr>
        <w:tc>
          <w:tcPr>
            <w:tcW w:w="2765" w:type="dxa"/>
            <w:tcBorders>
              <w:top w:val="single" w:color="auto" w:sz="4" w:space="0"/>
              <w:bottom w:val="single" w:color="auto" w:sz="8" w:space="0"/>
            </w:tcBorders>
          </w:tcPr>
          <w:p w14:paraId="2C1E3CD5">
            <w:pPr>
              <w:keepNext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Applicant cities</w:t>
            </w:r>
          </w:p>
        </w:tc>
        <w:tc>
          <w:tcPr>
            <w:tcW w:w="2765" w:type="dxa"/>
            <w:tcBorders>
              <w:top w:val="single" w:color="auto" w:sz="4" w:space="0"/>
              <w:bottom w:val="single" w:color="auto" w:sz="8" w:space="0"/>
            </w:tcBorders>
          </w:tcPr>
          <w:p w14:paraId="1F107100">
            <w:pPr>
              <w:keepNext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0.0980</w:t>
            </w:r>
          </w:p>
        </w:tc>
        <w:tc>
          <w:tcPr>
            <w:tcW w:w="2766" w:type="dxa"/>
            <w:tcBorders>
              <w:top w:val="single" w:color="auto" w:sz="4" w:space="0"/>
              <w:bottom w:val="single" w:color="auto" w:sz="8" w:space="0"/>
            </w:tcBorders>
          </w:tcPr>
          <w:p w14:paraId="54CBDAA0">
            <w:pPr>
              <w:keepNext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30</w:t>
            </w:r>
          </w:p>
        </w:tc>
      </w:tr>
    </w:tbl>
    <w:p w14:paraId="29ED1A82">
      <w:pPr>
        <w:pStyle w:val="3"/>
        <w:keepNext/>
        <w:jc w:val="center"/>
        <w:rPr>
          <w:rFonts w:ascii="Times New Roman" w:hAnsi="Times New Roman" w:cs="Times New Roman"/>
          <w:sz w:val="21"/>
          <w:szCs w:val="21"/>
        </w:rPr>
      </w:pPr>
      <w:bookmarkStart w:id="8" w:name="_Ref224129426"/>
    </w:p>
    <w:bookmarkEnd w:id="8"/>
    <w:p w14:paraId="4022D220">
      <w:pPr>
        <w:pStyle w:val="3"/>
        <w:keepNext/>
        <w:jc w:val="center"/>
        <w:rPr>
          <w:rFonts w:ascii="Times New Roman" w:hAnsi="Times New Roman" w:cs="Times New Roman"/>
          <w:sz w:val="21"/>
          <w:szCs w:val="21"/>
        </w:rPr>
      </w:pPr>
      <w:bookmarkStart w:id="9" w:name="_Ref233127791"/>
      <w:r>
        <w:rPr>
          <w:rFonts w:ascii="Times New Roman" w:hAnsi="Times New Roman" w:cs="Times New Roman"/>
          <w:sz w:val="21"/>
          <w:szCs w:val="21"/>
        </w:rPr>
        <w:t>Table A</w:t>
      </w:r>
      <w:r>
        <w:rPr>
          <w:rFonts w:ascii="Times New Roman" w:hAnsi="Times New Roman" w:cs="Times New Roman"/>
          <w:sz w:val="21"/>
          <w:szCs w:val="21"/>
        </w:rPr>
        <w:fldChar w:fldCharType="begin"/>
      </w:r>
      <w:r>
        <w:rPr>
          <w:rFonts w:ascii="Times New Roman" w:hAnsi="Times New Roman" w:cs="Times New Roman"/>
          <w:sz w:val="21"/>
          <w:szCs w:val="21"/>
        </w:rPr>
        <w:instrText xml:space="preserve"> SEQ Table_A \* ARABIC </w:instrText>
      </w:r>
      <w:r>
        <w:rPr>
          <w:rFonts w:ascii="Times New Roman" w:hAnsi="Times New Roman" w:cs="Times New Roman"/>
          <w:sz w:val="21"/>
          <w:szCs w:val="21"/>
        </w:rPr>
        <w:fldChar w:fldCharType="separate"/>
      </w:r>
      <w:r>
        <w:rPr>
          <w:rFonts w:hint="eastAsia" w:ascii="Times New Roman" w:hAnsi="Times New Roman" w:cs="Times New Roman"/>
          <w:sz w:val="21"/>
          <w:szCs w:val="21"/>
        </w:rPr>
        <w:t>7</w:t>
      </w:r>
      <w:r>
        <w:rPr>
          <w:rFonts w:ascii="Times New Roman" w:hAnsi="Times New Roman" w:cs="Times New Roman"/>
          <w:sz w:val="21"/>
          <w:szCs w:val="21"/>
        </w:rPr>
        <w:fldChar w:fldCharType="end"/>
      </w:r>
      <w:bookmarkEnd w:id="9"/>
      <w:r>
        <w:rPr>
          <w:rFonts w:hint="eastAsia"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Centrality by Applicant City</w:t>
      </w: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 w14:paraId="13AAC857">
        <w:trPr>
          <w:cantSplit/>
        </w:trPr>
        <w:tc>
          <w:tcPr>
            <w:tcW w:w="2074" w:type="dxa"/>
            <w:tcBorders>
              <w:top w:val="single" w:color="auto" w:sz="8" w:space="0"/>
              <w:bottom w:val="single" w:color="auto" w:sz="4" w:space="0"/>
            </w:tcBorders>
          </w:tcPr>
          <w:p w14:paraId="1AA32415">
            <w:pPr>
              <w:keepNext/>
              <w:jc w:val="center"/>
              <w:rPr>
                <w:b/>
                <w:bCs/>
                <w:kern w:val="0"/>
                <w:sz w:val="20"/>
                <w:szCs w:val="21"/>
              </w:rPr>
            </w:pPr>
            <w:r>
              <w:rPr>
                <w:b/>
                <w:bCs/>
                <w:kern w:val="0"/>
                <w:sz w:val="20"/>
                <w:szCs w:val="21"/>
              </w:rPr>
              <w:t>Applicant City</w:t>
            </w:r>
          </w:p>
        </w:tc>
        <w:tc>
          <w:tcPr>
            <w:tcW w:w="2074" w:type="dxa"/>
            <w:tcBorders>
              <w:top w:val="single" w:color="auto" w:sz="8" w:space="0"/>
              <w:bottom w:val="single" w:color="auto" w:sz="4" w:space="0"/>
            </w:tcBorders>
          </w:tcPr>
          <w:p w14:paraId="7FABF44B">
            <w:pPr>
              <w:keepNext/>
              <w:jc w:val="center"/>
              <w:rPr>
                <w:b/>
                <w:bCs/>
                <w:kern w:val="0"/>
                <w:sz w:val="20"/>
                <w:szCs w:val="21"/>
              </w:rPr>
            </w:pPr>
            <w:r>
              <w:rPr>
                <w:b/>
                <w:bCs/>
                <w:kern w:val="0"/>
                <w:sz w:val="20"/>
                <w:szCs w:val="21"/>
              </w:rPr>
              <w:t>Degree Centrality</w:t>
            </w:r>
          </w:p>
        </w:tc>
        <w:tc>
          <w:tcPr>
            <w:tcW w:w="2074" w:type="dxa"/>
            <w:tcBorders>
              <w:top w:val="single" w:color="auto" w:sz="8" w:space="0"/>
              <w:bottom w:val="single" w:color="auto" w:sz="4" w:space="0"/>
            </w:tcBorders>
          </w:tcPr>
          <w:p w14:paraId="02C7EA12">
            <w:pPr>
              <w:keepNext/>
              <w:jc w:val="center"/>
              <w:rPr>
                <w:b/>
                <w:bCs/>
                <w:kern w:val="0"/>
                <w:sz w:val="20"/>
                <w:szCs w:val="21"/>
              </w:rPr>
            </w:pPr>
            <w:r>
              <w:rPr>
                <w:b/>
                <w:bCs/>
                <w:kern w:val="0"/>
                <w:sz w:val="20"/>
                <w:szCs w:val="21"/>
              </w:rPr>
              <w:t>Closeness Centrality</w:t>
            </w:r>
          </w:p>
        </w:tc>
        <w:tc>
          <w:tcPr>
            <w:tcW w:w="2074" w:type="dxa"/>
            <w:tcBorders>
              <w:top w:val="single" w:color="auto" w:sz="8" w:space="0"/>
              <w:bottom w:val="single" w:color="auto" w:sz="4" w:space="0"/>
            </w:tcBorders>
          </w:tcPr>
          <w:p w14:paraId="4A6B5BBA">
            <w:pPr>
              <w:keepNext/>
              <w:jc w:val="center"/>
              <w:rPr>
                <w:b/>
                <w:bCs/>
                <w:kern w:val="0"/>
                <w:sz w:val="20"/>
                <w:szCs w:val="21"/>
              </w:rPr>
            </w:pPr>
            <w:r>
              <w:rPr>
                <w:b/>
                <w:bCs/>
                <w:kern w:val="0"/>
                <w:sz w:val="20"/>
                <w:szCs w:val="21"/>
              </w:rPr>
              <w:t>Betweenness Centrality</w:t>
            </w:r>
          </w:p>
        </w:tc>
      </w:tr>
      <w:tr w14:paraId="087E9DAA">
        <w:trPr>
          <w:cantSplit/>
        </w:trPr>
        <w:tc>
          <w:tcPr>
            <w:tcW w:w="2074" w:type="dxa"/>
            <w:tcBorders>
              <w:top w:val="single" w:color="auto" w:sz="4" w:space="0"/>
            </w:tcBorders>
          </w:tcPr>
          <w:p w14:paraId="19D46CF4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Guangzhou</w:t>
            </w:r>
          </w:p>
        </w:tc>
        <w:tc>
          <w:tcPr>
            <w:tcW w:w="2074" w:type="dxa"/>
            <w:tcBorders>
              <w:top w:val="single" w:color="auto" w:sz="4" w:space="0"/>
            </w:tcBorders>
          </w:tcPr>
          <w:p w14:paraId="05647ABA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94.118</w:t>
            </w:r>
          </w:p>
        </w:tc>
        <w:tc>
          <w:tcPr>
            <w:tcW w:w="2074" w:type="dxa"/>
            <w:tcBorders>
              <w:top w:val="single" w:color="auto" w:sz="4" w:space="0"/>
            </w:tcBorders>
          </w:tcPr>
          <w:p w14:paraId="7AC4D9E1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94.444</w:t>
            </w:r>
          </w:p>
        </w:tc>
        <w:tc>
          <w:tcPr>
            <w:tcW w:w="2074" w:type="dxa"/>
            <w:tcBorders>
              <w:top w:val="single" w:color="auto" w:sz="4" w:space="0"/>
            </w:tcBorders>
          </w:tcPr>
          <w:p w14:paraId="6CE7824C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89.583</w:t>
            </w:r>
          </w:p>
        </w:tc>
      </w:tr>
      <w:tr w14:paraId="3FAFFFFF">
        <w:trPr>
          <w:cantSplit/>
        </w:trPr>
        <w:tc>
          <w:tcPr>
            <w:tcW w:w="2074" w:type="dxa"/>
          </w:tcPr>
          <w:p w14:paraId="7C734691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Jiangmen</w:t>
            </w:r>
          </w:p>
        </w:tc>
        <w:tc>
          <w:tcPr>
            <w:tcW w:w="2074" w:type="dxa"/>
          </w:tcPr>
          <w:p w14:paraId="6D671146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5.882</w:t>
            </w:r>
          </w:p>
        </w:tc>
        <w:tc>
          <w:tcPr>
            <w:tcW w:w="2074" w:type="dxa"/>
          </w:tcPr>
          <w:p w14:paraId="260E9A26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50.000</w:t>
            </w:r>
          </w:p>
        </w:tc>
        <w:tc>
          <w:tcPr>
            <w:tcW w:w="2074" w:type="dxa"/>
          </w:tcPr>
          <w:p w14:paraId="193C770D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0</w:t>
            </w:r>
          </w:p>
        </w:tc>
      </w:tr>
      <w:tr w14:paraId="3C684FC4">
        <w:trPr>
          <w:cantSplit/>
        </w:trPr>
        <w:tc>
          <w:tcPr>
            <w:tcW w:w="2074" w:type="dxa"/>
          </w:tcPr>
          <w:p w14:paraId="5DFC9E0B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Shenzhen</w:t>
            </w:r>
          </w:p>
        </w:tc>
        <w:tc>
          <w:tcPr>
            <w:tcW w:w="2074" w:type="dxa"/>
          </w:tcPr>
          <w:p w14:paraId="3F4805FB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23.529</w:t>
            </w:r>
          </w:p>
        </w:tc>
        <w:tc>
          <w:tcPr>
            <w:tcW w:w="2074" w:type="dxa"/>
          </w:tcPr>
          <w:p w14:paraId="491A3CEF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54.839</w:t>
            </w:r>
          </w:p>
        </w:tc>
        <w:tc>
          <w:tcPr>
            <w:tcW w:w="2074" w:type="dxa"/>
          </w:tcPr>
          <w:p w14:paraId="0EA072FF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1.103</w:t>
            </w:r>
          </w:p>
        </w:tc>
      </w:tr>
      <w:tr w14:paraId="0941F75B">
        <w:trPr>
          <w:cantSplit/>
        </w:trPr>
        <w:tc>
          <w:tcPr>
            <w:tcW w:w="2074" w:type="dxa"/>
          </w:tcPr>
          <w:p w14:paraId="08C8F5B6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Dongguan</w:t>
            </w:r>
          </w:p>
        </w:tc>
        <w:tc>
          <w:tcPr>
            <w:tcW w:w="2074" w:type="dxa"/>
          </w:tcPr>
          <w:p w14:paraId="208702FD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5.882</w:t>
            </w:r>
          </w:p>
        </w:tc>
        <w:tc>
          <w:tcPr>
            <w:tcW w:w="2074" w:type="dxa"/>
          </w:tcPr>
          <w:p w14:paraId="768A5C67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50.000</w:t>
            </w:r>
          </w:p>
        </w:tc>
        <w:tc>
          <w:tcPr>
            <w:tcW w:w="2074" w:type="dxa"/>
          </w:tcPr>
          <w:p w14:paraId="3507D9F9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0</w:t>
            </w:r>
          </w:p>
        </w:tc>
      </w:tr>
      <w:tr w14:paraId="3E416A48">
        <w:trPr>
          <w:cantSplit/>
        </w:trPr>
        <w:tc>
          <w:tcPr>
            <w:tcW w:w="2074" w:type="dxa"/>
          </w:tcPr>
          <w:p w14:paraId="42BB25FD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Zhongshan</w:t>
            </w:r>
          </w:p>
        </w:tc>
        <w:tc>
          <w:tcPr>
            <w:tcW w:w="2074" w:type="dxa"/>
          </w:tcPr>
          <w:p w14:paraId="20AD4323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17.647</w:t>
            </w:r>
          </w:p>
        </w:tc>
        <w:tc>
          <w:tcPr>
            <w:tcW w:w="2074" w:type="dxa"/>
          </w:tcPr>
          <w:p w14:paraId="31F56298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54.839</w:t>
            </w:r>
          </w:p>
        </w:tc>
        <w:tc>
          <w:tcPr>
            <w:tcW w:w="2074" w:type="dxa"/>
          </w:tcPr>
          <w:p w14:paraId="2DD422A2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5.270</w:t>
            </w:r>
          </w:p>
        </w:tc>
      </w:tr>
      <w:tr w14:paraId="58741E23">
        <w:trPr>
          <w:cantSplit/>
        </w:trPr>
        <w:tc>
          <w:tcPr>
            <w:tcW w:w="2074" w:type="dxa"/>
          </w:tcPr>
          <w:p w14:paraId="6E97264B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Foshan</w:t>
            </w:r>
          </w:p>
        </w:tc>
        <w:tc>
          <w:tcPr>
            <w:tcW w:w="2074" w:type="dxa"/>
          </w:tcPr>
          <w:p w14:paraId="37A4F8CB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23.529</w:t>
            </w:r>
          </w:p>
        </w:tc>
        <w:tc>
          <w:tcPr>
            <w:tcW w:w="2074" w:type="dxa"/>
          </w:tcPr>
          <w:p w14:paraId="4EE94CCD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56.667</w:t>
            </w:r>
          </w:p>
        </w:tc>
        <w:tc>
          <w:tcPr>
            <w:tcW w:w="2074" w:type="dxa"/>
          </w:tcPr>
          <w:p w14:paraId="67343222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1.593</w:t>
            </w:r>
          </w:p>
        </w:tc>
      </w:tr>
      <w:tr w14:paraId="68853FD3">
        <w:trPr>
          <w:cantSplit/>
        </w:trPr>
        <w:tc>
          <w:tcPr>
            <w:tcW w:w="2074" w:type="dxa"/>
          </w:tcPr>
          <w:p w14:paraId="79B5121B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Huizhou</w:t>
            </w:r>
          </w:p>
        </w:tc>
        <w:tc>
          <w:tcPr>
            <w:tcW w:w="2074" w:type="dxa"/>
          </w:tcPr>
          <w:p w14:paraId="32849D81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5.882</w:t>
            </w:r>
          </w:p>
        </w:tc>
        <w:tc>
          <w:tcPr>
            <w:tcW w:w="2074" w:type="dxa"/>
          </w:tcPr>
          <w:p w14:paraId="249B35E8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50.000</w:t>
            </w:r>
          </w:p>
        </w:tc>
        <w:tc>
          <w:tcPr>
            <w:tcW w:w="2074" w:type="dxa"/>
          </w:tcPr>
          <w:p w14:paraId="716FC92A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0</w:t>
            </w:r>
          </w:p>
        </w:tc>
      </w:tr>
      <w:tr w14:paraId="6C04EC89">
        <w:trPr>
          <w:cantSplit/>
        </w:trPr>
        <w:tc>
          <w:tcPr>
            <w:tcW w:w="2074" w:type="dxa"/>
          </w:tcPr>
          <w:p w14:paraId="5AEE6D53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Zhuhai</w:t>
            </w:r>
          </w:p>
        </w:tc>
        <w:tc>
          <w:tcPr>
            <w:tcW w:w="2074" w:type="dxa"/>
          </w:tcPr>
          <w:p w14:paraId="07E4E3AB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5.882</w:t>
            </w:r>
          </w:p>
        </w:tc>
        <w:tc>
          <w:tcPr>
            <w:tcW w:w="2074" w:type="dxa"/>
          </w:tcPr>
          <w:p w14:paraId="72FEDAC7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50.000</w:t>
            </w:r>
          </w:p>
        </w:tc>
        <w:tc>
          <w:tcPr>
            <w:tcW w:w="2074" w:type="dxa"/>
          </w:tcPr>
          <w:p w14:paraId="361C0552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0</w:t>
            </w:r>
          </w:p>
        </w:tc>
      </w:tr>
      <w:tr w14:paraId="2380D04F">
        <w:trPr>
          <w:cantSplit/>
        </w:trPr>
        <w:tc>
          <w:tcPr>
            <w:tcW w:w="2074" w:type="dxa"/>
          </w:tcPr>
          <w:p w14:paraId="13F32421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Hong Kong</w:t>
            </w:r>
          </w:p>
        </w:tc>
        <w:tc>
          <w:tcPr>
            <w:tcW w:w="2074" w:type="dxa"/>
          </w:tcPr>
          <w:p w14:paraId="71BDD03D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17.647</w:t>
            </w:r>
          </w:p>
        </w:tc>
        <w:tc>
          <w:tcPr>
            <w:tcW w:w="2074" w:type="dxa"/>
          </w:tcPr>
          <w:p w14:paraId="19EAB497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54.839</w:t>
            </w:r>
          </w:p>
        </w:tc>
        <w:tc>
          <w:tcPr>
            <w:tcW w:w="2074" w:type="dxa"/>
          </w:tcPr>
          <w:p w14:paraId="5C1EC538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5.760</w:t>
            </w:r>
          </w:p>
        </w:tc>
      </w:tr>
      <w:tr w14:paraId="52B2331D">
        <w:trPr>
          <w:cantSplit/>
        </w:trPr>
        <w:tc>
          <w:tcPr>
            <w:tcW w:w="2074" w:type="dxa"/>
          </w:tcPr>
          <w:p w14:paraId="1FC42DCF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Zhaoqing</w:t>
            </w:r>
          </w:p>
        </w:tc>
        <w:tc>
          <w:tcPr>
            <w:tcW w:w="2074" w:type="dxa"/>
          </w:tcPr>
          <w:p w14:paraId="441E2023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11.765</w:t>
            </w:r>
          </w:p>
        </w:tc>
        <w:tc>
          <w:tcPr>
            <w:tcW w:w="2074" w:type="dxa"/>
          </w:tcPr>
          <w:p w14:paraId="52C3B28F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51.515</w:t>
            </w:r>
          </w:p>
        </w:tc>
        <w:tc>
          <w:tcPr>
            <w:tcW w:w="2074" w:type="dxa"/>
          </w:tcPr>
          <w:p w14:paraId="38A5FB9B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0</w:t>
            </w:r>
          </w:p>
        </w:tc>
      </w:tr>
      <w:tr w14:paraId="1A0C1935">
        <w:trPr>
          <w:cantSplit/>
        </w:trPr>
        <w:tc>
          <w:tcPr>
            <w:tcW w:w="2074" w:type="dxa"/>
          </w:tcPr>
          <w:p w14:paraId="195FB628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Macao</w:t>
            </w:r>
          </w:p>
        </w:tc>
        <w:tc>
          <w:tcPr>
            <w:tcW w:w="2074" w:type="dxa"/>
          </w:tcPr>
          <w:p w14:paraId="07DBCF1D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11.765</w:t>
            </w:r>
          </w:p>
        </w:tc>
        <w:tc>
          <w:tcPr>
            <w:tcW w:w="2074" w:type="dxa"/>
          </w:tcPr>
          <w:p w14:paraId="16A52FF4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38.636</w:t>
            </w:r>
          </w:p>
        </w:tc>
        <w:tc>
          <w:tcPr>
            <w:tcW w:w="2074" w:type="dxa"/>
          </w:tcPr>
          <w:p w14:paraId="5A2D61C1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0.368</w:t>
            </w:r>
          </w:p>
        </w:tc>
      </w:tr>
      <w:tr w14:paraId="4121801C">
        <w:trPr>
          <w:cantSplit/>
        </w:trPr>
        <w:tc>
          <w:tcPr>
            <w:tcW w:w="2074" w:type="dxa"/>
          </w:tcPr>
          <w:p w14:paraId="5D2FD5E7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Non-Guangdong</w:t>
            </w:r>
          </w:p>
        </w:tc>
        <w:tc>
          <w:tcPr>
            <w:tcW w:w="2074" w:type="dxa"/>
          </w:tcPr>
          <w:p w14:paraId="0F2DDBFB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11.765</w:t>
            </w:r>
          </w:p>
        </w:tc>
        <w:tc>
          <w:tcPr>
            <w:tcW w:w="2074" w:type="dxa"/>
          </w:tcPr>
          <w:p w14:paraId="6D5CF696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53.125</w:t>
            </w:r>
          </w:p>
        </w:tc>
        <w:tc>
          <w:tcPr>
            <w:tcW w:w="2074" w:type="dxa"/>
          </w:tcPr>
          <w:p w14:paraId="226CC07F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0</w:t>
            </w:r>
          </w:p>
        </w:tc>
      </w:tr>
      <w:tr w14:paraId="19D05FBE">
        <w:trPr>
          <w:cantSplit/>
        </w:trPr>
        <w:tc>
          <w:tcPr>
            <w:tcW w:w="2074" w:type="dxa"/>
          </w:tcPr>
          <w:p w14:paraId="3D3C7FF3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Yunfu</w:t>
            </w:r>
          </w:p>
        </w:tc>
        <w:tc>
          <w:tcPr>
            <w:tcW w:w="2074" w:type="dxa"/>
          </w:tcPr>
          <w:p w14:paraId="55055595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11.765</w:t>
            </w:r>
          </w:p>
        </w:tc>
        <w:tc>
          <w:tcPr>
            <w:tcW w:w="2074" w:type="dxa"/>
          </w:tcPr>
          <w:p w14:paraId="48B119D5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51.515</w:t>
            </w:r>
          </w:p>
        </w:tc>
        <w:tc>
          <w:tcPr>
            <w:tcW w:w="2074" w:type="dxa"/>
          </w:tcPr>
          <w:p w14:paraId="4D38DF03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0</w:t>
            </w:r>
          </w:p>
        </w:tc>
      </w:tr>
      <w:tr w14:paraId="2BF5E19A">
        <w:trPr>
          <w:cantSplit/>
        </w:trPr>
        <w:tc>
          <w:tcPr>
            <w:tcW w:w="2074" w:type="dxa"/>
          </w:tcPr>
          <w:p w14:paraId="69F5B3D8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Yangjiang</w:t>
            </w:r>
          </w:p>
        </w:tc>
        <w:tc>
          <w:tcPr>
            <w:tcW w:w="2074" w:type="dxa"/>
          </w:tcPr>
          <w:p w14:paraId="12014BAD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11.765</w:t>
            </w:r>
          </w:p>
        </w:tc>
        <w:tc>
          <w:tcPr>
            <w:tcW w:w="2074" w:type="dxa"/>
          </w:tcPr>
          <w:p w14:paraId="56C0D608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51.515</w:t>
            </w:r>
          </w:p>
        </w:tc>
        <w:tc>
          <w:tcPr>
            <w:tcW w:w="2074" w:type="dxa"/>
          </w:tcPr>
          <w:p w14:paraId="3EDFD4DC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0</w:t>
            </w:r>
          </w:p>
        </w:tc>
      </w:tr>
      <w:tr w14:paraId="159559C1">
        <w:trPr>
          <w:cantSplit/>
        </w:trPr>
        <w:tc>
          <w:tcPr>
            <w:tcW w:w="2074" w:type="dxa"/>
          </w:tcPr>
          <w:p w14:paraId="12DC9715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Meizhou</w:t>
            </w:r>
          </w:p>
        </w:tc>
        <w:tc>
          <w:tcPr>
            <w:tcW w:w="2074" w:type="dxa"/>
          </w:tcPr>
          <w:p w14:paraId="339CB4B5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5.882</w:t>
            </w:r>
          </w:p>
        </w:tc>
        <w:tc>
          <w:tcPr>
            <w:tcW w:w="2074" w:type="dxa"/>
          </w:tcPr>
          <w:p w14:paraId="1DCD4073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50.000</w:t>
            </w:r>
          </w:p>
        </w:tc>
        <w:tc>
          <w:tcPr>
            <w:tcW w:w="2074" w:type="dxa"/>
          </w:tcPr>
          <w:p w14:paraId="662E3432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0</w:t>
            </w:r>
          </w:p>
        </w:tc>
      </w:tr>
      <w:tr w14:paraId="40D8FFCA">
        <w:trPr>
          <w:cantSplit/>
        </w:trPr>
        <w:tc>
          <w:tcPr>
            <w:tcW w:w="2074" w:type="dxa"/>
          </w:tcPr>
          <w:p w14:paraId="1DA0F0B2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Heyuan</w:t>
            </w:r>
          </w:p>
        </w:tc>
        <w:tc>
          <w:tcPr>
            <w:tcW w:w="2074" w:type="dxa"/>
          </w:tcPr>
          <w:p w14:paraId="423E9D41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5.882</w:t>
            </w:r>
          </w:p>
        </w:tc>
        <w:tc>
          <w:tcPr>
            <w:tcW w:w="2074" w:type="dxa"/>
          </w:tcPr>
          <w:p w14:paraId="7723901D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50.000</w:t>
            </w:r>
          </w:p>
        </w:tc>
        <w:tc>
          <w:tcPr>
            <w:tcW w:w="2074" w:type="dxa"/>
          </w:tcPr>
          <w:p w14:paraId="2A5CB002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0</w:t>
            </w:r>
          </w:p>
        </w:tc>
      </w:tr>
      <w:tr w14:paraId="0106E1B0">
        <w:trPr>
          <w:cantSplit/>
        </w:trPr>
        <w:tc>
          <w:tcPr>
            <w:tcW w:w="2074" w:type="dxa"/>
          </w:tcPr>
          <w:p w14:paraId="5FD9B1A9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Chaozhou</w:t>
            </w:r>
          </w:p>
        </w:tc>
        <w:tc>
          <w:tcPr>
            <w:tcW w:w="2074" w:type="dxa"/>
          </w:tcPr>
          <w:p w14:paraId="3D8192F6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5.882</w:t>
            </w:r>
          </w:p>
        </w:tc>
        <w:tc>
          <w:tcPr>
            <w:tcW w:w="2074" w:type="dxa"/>
          </w:tcPr>
          <w:p w14:paraId="2EEFB6CB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50.000</w:t>
            </w:r>
          </w:p>
        </w:tc>
        <w:tc>
          <w:tcPr>
            <w:tcW w:w="2074" w:type="dxa"/>
          </w:tcPr>
          <w:p w14:paraId="3D4451E7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0</w:t>
            </w:r>
          </w:p>
        </w:tc>
      </w:tr>
      <w:tr w14:paraId="225083A4">
        <w:trPr>
          <w:cantSplit/>
        </w:trPr>
        <w:tc>
          <w:tcPr>
            <w:tcW w:w="2074" w:type="dxa"/>
            <w:tcBorders>
              <w:bottom w:val="single" w:color="auto" w:sz="8" w:space="0"/>
            </w:tcBorders>
          </w:tcPr>
          <w:p w14:paraId="000CDD74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Qingyuan</w:t>
            </w:r>
          </w:p>
        </w:tc>
        <w:tc>
          <w:tcPr>
            <w:tcW w:w="2074" w:type="dxa"/>
            <w:tcBorders>
              <w:bottom w:val="single" w:color="auto" w:sz="8" w:space="0"/>
            </w:tcBorders>
          </w:tcPr>
          <w:p w14:paraId="08986DAF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5.882</w:t>
            </w:r>
          </w:p>
        </w:tc>
        <w:tc>
          <w:tcPr>
            <w:tcW w:w="2074" w:type="dxa"/>
            <w:tcBorders>
              <w:bottom w:val="single" w:color="auto" w:sz="8" w:space="0"/>
            </w:tcBorders>
          </w:tcPr>
          <w:p w14:paraId="5AB47693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50.000</w:t>
            </w:r>
          </w:p>
        </w:tc>
        <w:tc>
          <w:tcPr>
            <w:tcW w:w="2074" w:type="dxa"/>
            <w:tcBorders>
              <w:bottom w:val="single" w:color="auto" w:sz="8" w:space="0"/>
            </w:tcBorders>
          </w:tcPr>
          <w:p w14:paraId="5835C842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0</w:t>
            </w:r>
          </w:p>
        </w:tc>
      </w:tr>
    </w:tbl>
    <w:p w14:paraId="31D4791C"/>
    <w:p w14:paraId="3C8270E9">
      <w:pPr>
        <w:pStyle w:val="3"/>
        <w:keepNext/>
        <w:jc w:val="center"/>
        <w:rPr>
          <w:rFonts w:ascii="Times New Roman" w:hAnsi="Times New Roman" w:cs="Times New Roman"/>
          <w:sz w:val="21"/>
          <w:szCs w:val="21"/>
        </w:rPr>
      </w:pPr>
      <w:bookmarkStart w:id="10" w:name="_Ref233127923"/>
      <w:r>
        <w:rPr>
          <w:rFonts w:ascii="Times New Roman" w:hAnsi="Times New Roman" w:cs="Times New Roman"/>
          <w:sz w:val="21"/>
          <w:szCs w:val="21"/>
        </w:rPr>
        <w:t>Table A</w:t>
      </w:r>
      <w:r>
        <w:rPr>
          <w:rFonts w:ascii="Times New Roman" w:hAnsi="Times New Roman" w:cs="Times New Roman"/>
          <w:sz w:val="21"/>
          <w:szCs w:val="21"/>
        </w:rPr>
        <w:fldChar w:fldCharType="begin"/>
      </w:r>
      <w:r>
        <w:rPr>
          <w:rFonts w:ascii="Times New Roman" w:hAnsi="Times New Roman" w:cs="Times New Roman"/>
          <w:sz w:val="21"/>
          <w:szCs w:val="21"/>
        </w:rPr>
        <w:instrText xml:space="preserve"> SEQ Table_A \* ARABIC </w:instrText>
      </w:r>
      <w:r>
        <w:rPr>
          <w:rFonts w:ascii="Times New Roman" w:hAnsi="Times New Roman" w:cs="Times New Roman"/>
          <w:sz w:val="21"/>
          <w:szCs w:val="21"/>
        </w:rPr>
        <w:fldChar w:fldCharType="separate"/>
      </w:r>
      <w:r>
        <w:rPr>
          <w:rFonts w:hint="eastAsia" w:ascii="Times New Roman" w:hAnsi="Times New Roman" w:cs="Times New Roman"/>
          <w:sz w:val="21"/>
          <w:szCs w:val="21"/>
        </w:rPr>
        <w:t>8</w:t>
      </w:r>
      <w:r>
        <w:rPr>
          <w:rFonts w:ascii="Times New Roman" w:hAnsi="Times New Roman" w:cs="Times New Roman"/>
          <w:sz w:val="21"/>
          <w:szCs w:val="21"/>
        </w:rPr>
        <w:fldChar w:fldCharType="end"/>
      </w:r>
      <w:bookmarkEnd w:id="10"/>
      <w:r>
        <w:rPr>
          <w:rFonts w:hint="eastAsia"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Core-Periphery Results of the Overall Network (2016–2024)</w:t>
      </w: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1"/>
        <w:gridCol w:w="4726"/>
        <w:gridCol w:w="1680"/>
      </w:tblGrid>
      <w:tr w14:paraId="7C4B8BD0">
        <w:trPr>
          <w:trHeight w:val="255" w:hRule="atLeast"/>
        </w:trPr>
        <w:tc>
          <w:tcPr>
            <w:tcW w:w="1891" w:type="dxa"/>
            <w:tcBorders>
              <w:top w:val="single" w:color="auto" w:sz="8" w:space="0"/>
              <w:bottom w:val="single" w:color="auto" w:sz="4" w:space="0"/>
            </w:tcBorders>
          </w:tcPr>
          <w:p w14:paraId="665C85C6">
            <w:pPr>
              <w:jc w:val="center"/>
              <w:rPr>
                <w:b/>
                <w:bCs/>
                <w:kern w:val="0"/>
                <w:sz w:val="20"/>
                <w:szCs w:val="21"/>
              </w:rPr>
            </w:pPr>
            <w:r>
              <w:rPr>
                <w:b/>
                <w:bCs/>
                <w:kern w:val="0"/>
                <w:sz w:val="20"/>
                <w:szCs w:val="21"/>
              </w:rPr>
              <w:t>Core Cities</w:t>
            </w:r>
          </w:p>
        </w:tc>
        <w:tc>
          <w:tcPr>
            <w:tcW w:w="4726" w:type="dxa"/>
            <w:tcBorders>
              <w:top w:val="single" w:color="auto" w:sz="8" w:space="0"/>
              <w:bottom w:val="single" w:color="auto" w:sz="4" w:space="0"/>
            </w:tcBorders>
          </w:tcPr>
          <w:p w14:paraId="0684F98A">
            <w:pPr>
              <w:jc w:val="center"/>
              <w:rPr>
                <w:b/>
                <w:bCs/>
                <w:kern w:val="0"/>
                <w:sz w:val="20"/>
                <w:szCs w:val="21"/>
              </w:rPr>
            </w:pPr>
            <w:r>
              <w:rPr>
                <w:b/>
                <w:bCs/>
                <w:kern w:val="0"/>
                <w:sz w:val="20"/>
                <w:szCs w:val="21"/>
              </w:rPr>
              <w:t>Peripheral Cities</w:t>
            </w:r>
          </w:p>
        </w:tc>
        <w:tc>
          <w:tcPr>
            <w:tcW w:w="1680" w:type="dxa"/>
            <w:tcBorders>
              <w:top w:val="single" w:color="auto" w:sz="8" w:space="0"/>
              <w:bottom w:val="single" w:color="auto" w:sz="4" w:space="0"/>
            </w:tcBorders>
          </w:tcPr>
          <w:p w14:paraId="3665D93B">
            <w:pPr>
              <w:jc w:val="center"/>
              <w:rPr>
                <w:b/>
                <w:bCs/>
                <w:kern w:val="0"/>
                <w:sz w:val="20"/>
                <w:szCs w:val="21"/>
              </w:rPr>
            </w:pPr>
            <w:r>
              <w:rPr>
                <w:b/>
                <w:bCs/>
                <w:kern w:val="0"/>
                <w:sz w:val="20"/>
                <w:szCs w:val="21"/>
              </w:rPr>
              <w:t>Goodness of Fit</w:t>
            </w:r>
          </w:p>
        </w:tc>
      </w:tr>
      <w:tr w14:paraId="63443905">
        <w:trPr>
          <w:trHeight w:val="1012" w:hRule="atLeast"/>
        </w:trPr>
        <w:tc>
          <w:tcPr>
            <w:tcW w:w="1891" w:type="dxa"/>
            <w:tcBorders>
              <w:top w:val="single" w:color="auto" w:sz="4" w:space="0"/>
              <w:bottom w:val="single" w:color="auto" w:sz="8" w:space="0"/>
            </w:tcBorders>
          </w:tcPr>
          <w:p w14:paraId="793FB387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Guangzhou, Jiangmen</w:t>
            </w:r>
          </w:p>
        </w:tc>
        <w:tc>
          <w:tcPr>
            <w:tcW w:w="4726" w:type="dxa"/>
            <w:tcBorders>
              <w:top w:val="single" w:color="auto" w:sz="4" w:space="0"/>
              <w:bottom w:val="single" w:color="auto" w:sz="8" w:space="0"/>
            </w:tcBorders>
          </w:tcPr>
          <w:p w14:paraId="1BD743BF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Shenzhen, Foshan, Dongguan, Zhongshan, Zhuhai, Huizhou, Zhaoqing, Hong Kong, Macao, Yunfu, Yangjiang, Meizhou, Heyuan, Chaozhou, Qingyuan, Non-Guangdong</w:t>
            </w:r>
          </w:p>
        </w:tc>
        <w:tc>
          <w:tcPr>
            <w:tcW w:w="1680" w:type="dxa"/>
            <w:tcBorders>
              <w:top w:val="single" w:color="auto" w:sz="4" w:space="0"/>
              <w:bottom w:val="single" w:color="auto" w:sz="8" w:space="0"/>
            </w:tcBorders>
          </w:tcPr>
          <w:p w14:paraId="2C4EBA0C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0.827</w:t>
            </w:r>
          </w:p>
        </w:tc>
      </w:tr>
    </w:tbl>
    <w:p w14:paraId="4B4C6CC7">
      <w:pPr>
        <w:spacing w:line="360" w:lineRule="auto"/>
        <w:jc w:val="center"/>
        <w:rPr>
          <w:rFonts w:eastAsia="黑体"/>
          <w:szCs w:val="21"/>
        </w:rPr>
      </w:pPr>
    </w:p>
    <w:p w14:paraId="48D76D51">
      <w:pPr>
        <w:pStyle w:val="3"/>
        <w:keepNext/>
        <w:jc w:val="center"/>
        <w:rPr>
          <w:rFonts w:ascii="Times New Roman" w:hAnsi="Times New Roman" w:cs="Times New Roman"/>
          <w:sz w:val="21"/>
          <w:szCs w:val="21"/>
        </w:rPr>
      </w:pPr>
      <w:bookmarkStart w:id="11" w:name="_Ref233127932"/>
      <w:r>
        <w:rPr>
          <w:rFonts w:ascii="Times New Roman" w:hAnsi="Times New Roman" w:cs="Times New Roman"/>
          <w:sz w:val="21"/>
          <w:szCs w:val="21"/>
        </w:rPr>
        <w:t>Table A</w:t>
      </w:r>
      <w:r>
        <w:rPr>
          <w:rFonts w:ascii="Times New Roman" w:hAnsi="Times New Roman" w:cs="Times New Roman"/>
          <w:sz w:val="21"/>
          <w:szCs w:val="21"/>
        </w:rPr>
        <w:fldChar w:fldCharType="begin"/>
      </w:r>
      <w:r>
        <w:rPr>
          <w:rFonts w:ascii="Times New Roman" w:hAnsi="Times New Roman" w:cs="Times New Roman"/>
          <w:sz w:val="21"/>
          <w:szCs w:val="21"/>
        </w:rPr>
        <w:instrText xml:space="preserve"> SEQ Table_A \* ARABIC </w:instrText>
      </w:r>
      <w:r>
        <w:rPr>
          <w:rFonts w:ascii="Times New Roman" w:hAnsi="Times New Roman" w:cs="Times New Roman"/>
          <w:sz w:val="21"/>
          <w:szCs w:val="21"/>
        </w:rPr>
        <w:fldChar w:fldCharType="separate"/>
      </w:r>
      <w:r>
        <w:rPr>
          <w:rFonts w:hint="eastAsia" w:ascii="Times New Roman" w:hAnsi="Times New Roman" w:cs="Times New Roman"/>
          <w:sz w:val="21"/>
          <w:szCs w:val="21"/>
        </w:rPr>
        <w:t>9</w:t>
      </w:r>
      <w:r>
        <w:rPr>
          <w:rFonts w:ascii="Times New Roman" w:hAnsi="Times New Roman" w:cs="Times New Roman"/>
          <w:sz w:val="21"/>
          <w:szCs w:val="21"/>
        </w:rPr>
        <w:fldChar w:fldCharType="end"/>
      </w:r>
      <w:bookmarkEnd w:id="11"/>
      <w:r>
        <w:rPr>
          <w:rFonts w:hint="eastAsia"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Core-Periphery Density Matrix (2016-2024)</w:t>
      </w:r>
    </w:p>
    <w:tbl>
      <w:tblPr>
        <w:tblStyle w:val="7"/>
        <w:tblW w:w="0" w:type="auto"/>
        <w:tblInd w:w="0" w:type="dxa"/>
        <w:tblBorders>
          <w:top w:val="single" w:color="auto" w:sz="8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2765"/>
        <w:gridCol w:w="2766"/>
      </w:tblGrid>
      <w:tr w14:paraId="6B8EF6AA">
        <w:tc>
          <w:tcPr>
            <w:tcW w:w="2765" w:type="dxa"/>
            <w:tcBorders>
              <w:top w:val="single" w:color="auto" w:sz="8" w:space="0"/>
              <w:bottom w:val="single" w:color="auto" w:sz="4" w:space="0"/>
            </w:tcBorders>
          </w:tcPr>
          <w:p w14:paraId="6CBA9ED3">
            <w:pPr>
              <w:jc w:val="center"/>
              <w:rPr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2765" w:type="dxa"/>
            <w:tcBorders>
              <w:top w:val="single" w:color="auto" w:sz="8" w:space="0"/>
              <w:bottom w:val="single" w:color="auto" w:sz="4" w:space="0"/>
            </w:tcBorders>
          </w:tcPr>
          <w:p w14:paraId="4E6BF665">
            <w:pPr>
              <w:jc w:val="center"/>
              <w:rPr>
                <w:b/>
                <w:bCs/>
                <w:kern w:val="0"/>
                <w:sz w:val="20"/>
                <w:szCs w:val="21"/>
              </w:rPr>
            </w:pPr>
            <w:r>
              <w:rPr>
                <w:b/>
                <w:bCs/>
                <w:kern w:val="0"/>
                <w:sz w:val="20"/>
                <w:szCs w:val="21"/>
              </w:rPr>
              <w:t>Core</w:t>
            </w:r>
          </w:p>
        </w:tc>
        <w:tc>
          <w:tcPr>
            <w:tcW w:w="2766" w:type="dxa"/>
            <w:tcBorders>
              <w:top w:val="single" w:color="auto" w:sz="8" w:space="0"/>
              <w:bottom w:val="single" w:color="auto" w:sz="4" w:space="0"/>
            </w:tcBorders>
          </w:tcPr>
          <w:p w14:paraId="1ED85058">
            <w:pPr>
              <w:jc w:val="center"/>
              <w:rPr>
                <w:b/>
                <w:bCs/>
                <w:kern w:val="0"/>
                <w:sz w:val="20"/>
                <w:szCs w:val="21"/>
              </w:rPr>
            </w:pPr>
            <w:r>
              <w:rPr>
                <w:b/>
                <w:bCs/>
                <w:kern w:val="0"/>
                <w:sz w:val="20"/>
                <w:szCs w:val="21"/>
              </w:rPr>
              <w:t>Periphery</w:t>
            </w:r>
          </w:p>
        </w:tc>
      </w:tr>
      <w:tr w14:paraId="56868386">
        <w:tc>
          <w:tcPr>
            <w:tcW w:w="2765" w:type="dxa"/>
            <w:tcBorders>
              <w:top w:val="single" w:color="auto" w:sz="4" w:space="0"/>
              <w:bottom w:val="nil"/>
            </w:tcBorders>
          </w:tcPr>
          <w:p w14:paraId="6699C886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Core</w:t>
            </w:r>
          </w:p>
        </w:tc>
        <w:tc>
          <w:tcPr>
            <w:tcW w:w="2765" w:type="dxa"/>
            <w:tcBorders>
              <w:top w:val="single" w:color="auto" w:sz="4" w:space="0"/>
              <w:bottom w:val="nil"/>
            </w:tcBorders>
          </w:tcPr>
          <w:p w14:paraId="34AEA4C2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5.000</w:t>
            </w:r>
          </w:p>
        </w:tc>
        <w:tc>
          <w:tcPr>
            <w:tcW w:w="2766" w:type="dxa"/>
            <w:tcBorders>
              <w:top w:val="single" w:color="auto" w:sz="4" w:space="0"/>
              <w:bottom w:val="nil"/>
            </w:tcBorders>
          </w:tcPr>
          <w:p w14:paraId="2AF3656B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1.344</w:t>
            </w:r>
          </w:p>
        </w:tc>
      </w:tr>
      <w:tr w14:paraId="33AB740C">
        <w:tc>
          <w:tcPr>
            <w:tcW w:w="2765" w:type="dxa"/>
            <w:tcBorders>
              <w:top w:val="nil"/>
              <w:bottom w:val="single" w:color="auto" w:sz="8" w:space="0"/>
            </w:tcBorders>
          </w:tcPr>
          <w:p w14:paraId="01709ABA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Periphery</w:t>
            </w:r>
          </w:p>
        </w:tc>
        <w:tc>
          <w:tcPr>
            <w:tcW w:w="2765" w:type="dxa"/>
            <w:tcBorders>
              <w:top w:val="nil"/>
              <w:bottom w:val="single" w:color="auto" w:sz="8" w:space="0"/>
            </w:tcBorders>
          </w:tcPr>
          <w:p w14:paraId="57EC8C63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0.313</w:t>
            </w:r>
          </w:p>
        </w:tc>
        <w:tc>
          <w:tcPr>
            <w:tcW w:w="2766" w:type="dxa"/>
            <w:tcBorders>
              <w:top w:val="nil"/>
              <w:bottom w:val="single" w:color="auto" w:sz="8" w:space="0"/>
            </w:tcBorders>
          </w:tcPr>
          <w:p w14:paraId="28D2A25C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0.046</w:t>
            </w:r>
          </w:p>
        </w:tc>
      </w:tr>
    </w:tbl>
    <w:p w14:paraId="15522B2B"/>
    <w:p w14:paraId="0B738AE2">
      <w:pPr>
        <w:pStyle w:val="3"/>
        <w:keepNext/>
        <w:jc w:val="center"/>
        <w:rPr>
          <w:rFonts w:ascii="Times New Roman" w:hAnsi="Times New Roman" w:cs="Times New Roman"/>
          <w:sz w:val="21"/>
          <w:szCs w:val="21"/>
        </w:rPr>
      </w:pPr>
      <w:bookmarkStart w:id="12" w:name="_Ref233127945"/>
      <w:r>
        <w:rPr>
          <w:rFonts w:ascii="Times New Roman" w:hAnsi="Times New Roman" w:cs="Times New Roman"/>
          <w:sz w:val="21"/>
          <w:szCs w:val="21"/>
        </w:rPr>
        <w:t>Table A</w:t>
      </w:r>
      <w:r>
        <w:rPr>
          <w:rFonts w:ascii="Times New Roman" w:hAnsi="Times New Roman" w:cs="Times New Roman"/>
          <w:sz w:val="21"/>
          <w:szCs w:val="21"/>
        </w:rPr>
        <w:fldChar w:fldCharType="begin"/>
      </w:r>
      <w:r>
        <w:rPr>
          <w:rFonts w:ascii="Times New Roman" w:hAnsi="Times New Roman" w:cs="Times New Roman"/>
          <w:sz w:val="21"/>
          <w:szCs w:val="21"/>
        </w:rPr>
        <w:instrText xml:space="preserve"> SEQ Table_A \* ARABIC </w:instrText>
      </w:r>
      <w:r>
        <w:rPr>
          <w:rFonts w:ascii="Times New Roman" w:hAnsi="Times New Roman" w:cs="Times New Roman"/>
          <w:sz w:val="21"/>
          <w:szCs w:val="21"/>
        </w:rPr>
        <w:fldChar w:fldCharType="separate"/>
      </w:r>
      <w:r>
        <w:rPr>
          <w:rFonts w:hint="eastAsia" w:ascii="Times New Roman" w:hAnsi="Times New Roman" w:cs="Times New Roman"/>
          <w:sz w:val="21"/>
          <w:szCs w:val="21"/>
        </w:rPr>
        <w:t>10</w:t>
      </w:r>
      <w:r>
        <w:rPr>
          <w:rFonts w:ascii="Times New Roman" w:hAnsi="Times New Roman" w:cs="Times New Roman"/>
          <w:sz w:val="21"/>
          <w:szCs w:val="21"/>
        </w:rPr>
        <w:fldChar w:fldCharType="end"/>
      </w:r>
      <w:bookmarkEnd w:id="12"/>
      <w:r>
        <w:rPr>
          <w:rFonts w:ascii="Times New Roman" w:hAnsi="Times New Roman" w:cs="Times New Roman"/>
          <w:sz w:val="21"/>
          <w:szCs w:val="21"/>
        </w:rPr>
        <w:t xml:space="preserve"> Core Nodes in the Overall City Network</w:t>
      </w:r>
    </w:p>
    <w:tbl>
      <w:tblPr>
        <w:tblStyle w:val="7"/>
        <w:tblW w:w="0" w:type="auto"/>
        <w:tblInd w:w="0" w:type="dxa"/>
        <w:tblBorders>
          <w:top w:val="single" w:color="auto" w:sz="8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8"/>
        <w:gridCol w:w="4148"/>
      </w:tblGrid>
      <w:tr w14:paraId="6D358CD4">
        <w:tc>
          <w:tcPr>
            <w:tcW w:w="4148" w:type="dxa"/>
            <w:tcBorders>
              <w:top w:val="single" w:color="auto" w:sz="8" w:space="0"/>
              <w:bottom w:val="single" w:color="auto" w:sz="4" w:space="0"/>
            </w:tcBorders>
          </w:tcPr>
          <w:p w14:paraId="3F22F312">
            <w:pPr>
              <w:keepNext/>
              <w:jc w:val="center"/>
              <w:rPr>
                <w:b/>
                <w:bCs/>
                <w:kern w:val="0"/>
                <w:sz w:val="20"/>
                <w:szCs w:val="21"/>
              </w:rPr>
            </w:pPr>
            <w:r>
              <w:rPr>
                <w:b/>
                <w:bCs/>
                <w:kern w:val="0"/>
                <w:sz w:val="20"/>
                <w:szCs w:val="21"/>
              </w:rPr>
              <w:t>Degree Centrality Value</w:t>
            </w:r>
          </w:p>
        </w:tc>
        <w:tc>
          <w:tcPr>
            <w:tcW w:w="4148" w:type="dxa"/>
            <w:tcBorders>
              <w:top w:val="single" w:color="auto" w:sz="8" w:space="0"/>
              <w:bottom w:val="single" w:color="auto" w:sz="4" w:space="0"/>
            </w:tcBorders>
          </w:tcPr>
          <w:p w14:paraId="3AD3DF98">
            <w:pPr>
              <w:keepNext/>
              <w:jc w:val="center"/>
              <w:rPr>
                <w:b/>
                <w:bCs/>
                <w:kern w:val="0"/>
                <w:sz w:val="20"/>
                <w:szCs w:val="21"/>
              </w:rPr>
            </w:pPr>
            <w:r>
              <w:rPr>
                <w:b/>
                <w:bCs/>
                <w:kern w:val="0"/>
                <w:sz w:val="20"/>
                <w:szCs w:val="21"/>
              </w:rPr>
              <w:t>Applicant City</w:t>
            </w:r>
          </w:p>
        </w:tc>
      </w:tr>
      <w:tr w14:paraId="4E590909">
        <w:tc>
          <w:tcPr>
            <w:tcW w:w="4148" w:type="dxa"/>
            <w:tcBorders>
              <w:top w:val="single" w:color="auto" w:sz="4" w:space="0"/>
            </w:tcBorders>
          </w:tcPr>
          <w:p w14:paraId="3A688D36">
            <w:pPr>
              <w:keepNext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16</w:t>
            </w:r>
          </w:p>
        </w:tc>
        <w:tc>
          <w:tcPr>
            <w:tcW w:w="4148" w:type="dxa"/>
            <w:tcBorders>
              <w:top w:val="single" w:color="auto" w:sz="4" w:space="0"/>
            </w:tcBorders>
          </w:tcPr>
          <w:p w14:paraId="57FE358B">
            <w:pPr>
              <w:keepNext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Guangzhou</w:t>
            </w:r>
          </w:p>
        </w:tc>
      </w:tr>
      <w:tr w14:paraId="667BDD79">
        <w:tc>
          <w:tcPr>
            <w:tcW w:w="4148" w:type="dxa"/>
          </w:tcPr>
          <w:p w14:paraId="48BC7B8E">
            <w:pPr>
              <w:keepNext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4</w:t>
            </w:r>
          </w:p>
        </w:tc>
        <w:tc>
          <w:tcPr>
            <w:tcW w:w="4148" w:type="dxa"/>
          </w:tcPr>
          <w:p w14:paraId="01DCD5E6">
            <w:pPr>
              <w:keepNext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Shenzhen</w:t>
            </w:r>
          </w:p>
          <w:p w14:paraId="10068DD5">
            <w:pPr>
              <w:keepNext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Foshan</w:t>
            </w:r>
          </w:p>
        </w:tc>
      </w:tr>
      <w:tr w14:paraId="75CBEC69">
        <w:tc>
          <w:tcPr>
            <w:tcW w:w="4148" w:type="dxa"/>
            <w:tcBorders>
              <w:bottom w:val="nil"/>
            </w:tcBorders>
          </w:tcPr>
          <w:p w14:paraId="38EC6B89">
            <w:pPr>
              <w:keepNext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3</w:t>
            </w:r>
          </w:p>
        </w:tc>
        <w:tc>
          <w:tcPr>
            <w:tcW w:w="4148" w:type="dxa"/>
            <w:tcBorders>
              <w:bottom w:val="nil"/>
            </w:tcBorders>
          </w:tcPr>
          <w:p w14:paraId="60E634EB">
            <w:pPr>
              <w:keepNext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Zhongshan</w:t>
            </w:r>
          </w:p>
          <w:p w14:paraId="7A890684">
            <w:pPr>
              <w:keepNext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Hong Kong</w:t>
            </w:r>
          </w:p>
        </w:tc>
      </w:tr>
      <w:tr w14:paraId="046D53CA">
        <w:tc>
          <w:tcPr>
            <w:tcW w:w="4148" w:type="dxa"/>
            <w:tcBorders>
              <w:top w:val="nil"/>
              <w:bottom w:val="single" w:color="auto" w:sz="8" w:space="0"/>
            </w:tcBorders>
          </w:tcPr>
          <w:p w14:paraId="2B397F18">
            <w:pPr>
              <w:keepNext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2</w:t>
            </w:r>
          </w:p>
        </w:tc>
        <w:tc>
          <w:tcPr>
            <w:tcW w:w="4148" w:type="dxa"/>
            <w:tcBorders>
              <w:top w:val="nil"/>
              <w:bottom w:val="single" w:color="auto" w:sz="8" w:space="0"/>
            </w:tcBorders>
          </w:tcPr>
          <w:p w14:paraId="57CD7470">
            <w:pPr>
              <w:keepNext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Yunfu</w:t>
            </w:r>
          </w:p>
          <w:p w14:paraId="7FF8D9C8">
            <w:pPr>
              <w:keepNext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Macao</w:t>
            </w:r>
          </w:p>
          <w:p w14:paraId="08C7B97B">
            <w:pPr>
              <w:keepNext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Zhaoqing</w:t>
            </w:r>
          </w:p>
          <w:p w14:paraId="712365D8">
            <w:pPr>
              <w:keepNext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Yangjiang</w:t>
            </w:r>
          </w:p>
          <w:p w14:paraId="7606F837">
            <w:pPr>
              <w:keepNext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Non-Guangdong</w:t>
            </w:r>
          </w:p>
        </w:tc>
      </w:tr>
    </w:tbl>
    <w:p w14:paraId="71341EF5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Note: Only data with degree centrality ≥ 2 are shown due to space limitations.</w:t>
      </w:r>
    </w:p>
    <w:p w14:paraId="47D3A194"/>
    <w:p w14:paraId="51C64B36">
      <w:pPr>
        <w:pStyle w:val="3"/>
        <w:keepNext/>
        <w:jc w:val="center"/>
        <w:rPr>
          <w:rFonts w:ascii="Times New Roman" w:hAnsi="Times New Roman" w:cs="Times New Roman"/>
          <w:sz w:val="21"/>
          <w:szCs w:val="21"/>
        </w:rPr>
      </w:pPr>
      <w:bookmarkStart w:id="13" w:name="_Ref233127987"/>
      <w:r>
        <w:rPr>
          <w:rFonts w:ascii="Times New Roman" w:hAnsi="Times New Roman" w:cs="Times New Roman"/>
          <w:sz w:val="21"/>
          <w:szCs w:val="21"/>
        </w:rPr>
        <w:t>Table A</w:t>
      </w:r>
      <w:r>
        <w:rPr>
          <w:rFonts w:ascii="Times New Roman" w:hAnsi="Times New Roman" w:cs="Times New Roman"/>
          <w:sz w:val="21"/>
          <w:szCs w:val="21"/>
        </w:rPr>
        <w:fldChar w:fldCharType="begin"/>
      </w:r>
      <w:r>
        <w:rPr>
          <w:rFonts w:ascii="Times New Roman" w:hAnsi="Times New Roman" w:cs="Times New Roman"/>
          <w:sz w:val="21"/>
          <w:szCs w:val="21"/>
        </w:rPr>
        <w:instrText xml:space="preserve"> SEQ Table_A \* ARABIC </w:instrText>
      </w:r>
      <w:r>
        <w:rPr>
          <w:rFonts w:ascii="Times New Roman" w:hAnsi="Times New Roman" w:cs="Times New Roman"/>
          <w:sz w:val="21"/>
          <w:szCs w:val="21"/>
        </w:rPr>
        <w:fldChar w:fldCharType="separate"/>
      </w:r>
      <w:r>
        <w:rPr>
          <w:rFonts w:hint="eastAsia" w:ascii="Times New Roman" w:hAnsi="Times New Roman" w:cs="Times New Roman"/>
          <w:sz w:val="21"/>
          <w:szCs w:val="21"/>
        </w:rPr>
        <w:t>11</w:t>
      </w:r>
      <w:r>
        <w:rPr>
          <w:rFonts w:ascii="Times New Roman" w:hAnsi="Times New Roman" w:cs="Times New Roman"/>
          <w:sz w:val="21"/>
          <w:szCs w:val="21"/>
        </w:rPr>
        <w:fldChar w:fldCharType="end"/>
      </w:r>
      <w:bookmarkEnd w:id="13"/>
      <w:r>
        <w:rPr>
          <w:rFonts w:ascii="Times New Roman" w:hAnsi="Times New Roman" w:cs="Times New Roman"/>
          <w:sz w:val="21"/>
          <w:szCs w:val="21"/>
        </w:rPr>
        <w:t xml:space="preserve"> Degree Centrality by Applicant Type</w:t>
      </w: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0"/>
        <w:gridCol w:w="2716"/>
        <w:gridCol w:w="2790"/>
      </w:tblGrid>
      <w:tr w14:paraId="69C98029">
        <w:tc>
          <w:tcPr>
            <w:tcW w:w="2790" w:type="dxa"/>
            <w:tcBorders>
              <w:top w:val="single" w:color="auto" w:sz="8" w:space="0"/>
              <w:bottom w:val="single" w:color="auto" w:sz="4" w:space="0"/>
            </w:tcBorders>
          </w:tcPr>
          <w:p w14:paraId="415B2BE5">
            <w:pPr>
              <w:jc w:val="center"/>
              <w:rPr>
                <w:b/>
                <w:bCs/>
                <w:kern w:val="0"/>
                <w:sz w:val="20"/>
                <w:szCs w:val="21"/>
              </w:rPr>
            </w:pPr>
            <w:r>
              <w:rPr>
                <w:b/>
                <w:bCs/>
                <w:kern w:val="0"/>
                <w:sz w:val="20"/>
                <w:szCs w:val="21"/>
              </w:rPr>
              <w:t>Applicant Type</w:t>
            </w:r>
          </w:p>
        </w:tc>
        <w:tc>
          <w:tcPr>
            <w:tcW w:w="2716" w:type="dxa"/>
            <w:tcBorders>
              <w:top w:val="single" w:color="auto" w:sz="8" w:space="0"/>
              <w:bottom w:val="single" w:color="auto" w:sz="4" w:space="0"/>
            </w:tcBorders>
          </w:tcPr>
          <w:p w14:paraId="61AFD86A">
            <w:pPr>
              <w:jc w:val="center"/>
              <w:rPr>
                <w:b/>
                <w:bCs/>
                <w:kern w:val="0"/>
                <w:sz w:val="20"/>
                <w:szCs w:val="21"/>
              </w:rPr>
            </w:pPr>
            <w:r>
              <w:rPr>
                <w:b/>
                <w:bCs/>
                <w:kern w:val="0"/>
                <w:sz w:val="20"/>
                <w:szCs w:val="21"/>
              </w:rPr>
              <w:t>Degree</w:t>
            </w:r>
          </w:p>
        </w:tc>
        <w:tc>
          <w:tcPr>
            <w:tcW w:w="2790" w:type="dxa"/>
            <w:tcBorders>
              <w:top w:val="single" w:color="auto" w:sz="8" w:space="0"/>
              <w:bottom w:val="single" w:color="auto" w:sz="4" w:space="0"/>
            </w:tcBorders>
          </w:tcPr>
          <w:p w14:paraId="320E4DC0">
            <w:pPr>
              <w:jc w:val="center"/>
              <w:rPr>
                <w:b/>
                <w:bCs/>
                <w:kern w:val="0"/>
                <w:sz w:val="20"/>
                <w:szCs w:val="21"/>
              </w:rPr>
            </w:pPr>
            <w:r>
              <w:rPr>
                <w:b/>
                <w:bCs/>
                <w:kern w:val="0"/>
                <w:sz w:val="20"/>
                <w:szCs w:val="21"/>
              </w:rPr>
              <w:t>Ratio</w:t>
            </w:r>
          </w:p>
        </w:tc>
      </w:tr>
      <w:tr w14:paraId="2FDF408E">
        <w:tc>
          <w:tcPr>
            <w:tcW w:w="2790" w:type="dxa"/>
            <w:tcBorders>
              <w:top w:val="single" w:color="auto" w:sz="4" w:space="0"/>
            </w:tcBorders>
          </w:tcPr>
          <w:p w14:paraId="724694AF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Enterprise</w:t>
            </w:r>
          </w:p>
        </w:tc>
        <w:tc>
          <w:tcPr>
            <w:tcW w:w="2716" w:type="dxa"/>
            <w:tcBorders>
              <w:top w:val="single" w:color="auto" w:sz="4" w:space="0"/>
            </w:tcBorders>
          </w:tcPr>
          <w:p w14:paraId="18C2FE14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32.00</w:t>
            </w:r>
          </w:p>
        </w:tc>
        <w:tc>
          <w:tcPr>
            <w:tcW w:w="2790" w:type="dxa"/>
            <w:tcBorders>
              <w:top w:val="single" w:color="auto" w:sz="4" w:space="0"/>
            </w:tcBorders>
          </w:tcPr>
          <w:p w14:paraId="0B9A0C87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0.34</w:t>
            </w:r>
          </w:p>
        </w:tc>
      </w:tr>
      <w:tr w14:paraId="262BC435">
        <w:tc>
          <w:tcPr>
            <w:tcW w:w="2790" w:type="dxa"/>
          </w:tcPr>
          <w:p w14:paraId="22BC5331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University</w:t>
            </w:r>
          </w:p>
        </w:tc>
        <w:tc>
          <w:tcPr>
            <w:tcW w:w="2716" w:type="dxa"/>
          </w:tcPr>
          <w:p w14:paraId="2DD03CD8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27.00</w:t>
            </w:r>
          </w:p>
        </w:tc>
        <w:tc>
          <w:tcPr>
            <w:tcW w:w="2790" w:type="dxa"/>
          </w:tcPr>
          <w:p w14:paraId="28BAED3B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0.29</w:t>
            </w:r>
          </w:p>
        </w:tc>
      </w:tr>
      <w:tr w14:paraId="4B5276F5">
        <w:tc>
          <w:tcPr>
            <w:tcW w:w="2790" w:type="dxa"/>
            <w:tcBorders>
              <w:bottom w:val="nil"/>
            </w:tcBorders>
          </w:tcPr>
          <w:p w14:paraId="7812DB93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Research institution</w:t>
            </w:r>
          </w:p>
        </w:tc>
        <w:tc>
          <w:tcPr>
            <w:tcW w:w="2716" w:type="dxa"/>
            <w:tcBorders>
              <w:bottom w:val="nil"/>
            </w:tcBorders>
          </w:tcPr>
          <w:p w14:paraId="067E8AB2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23.00</w:t>
            </w:r>
          </w:p>
        </w:tc>
        <w:tc>
          <w:tcPr>
            <w:tcW w:w="2790" w:type="dxa"/>
            <w:tcBorders>
              <w:bottom w:val="nil"/>
            </w:tcBorders>
          </w:tcPr>
          <w:p w14:paraId="3F9B7E8B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0.24</w:t>
            </w:r>
          </w:p>
        </w:tc>
      </w:tr>
      <w:tr w14:paraId="793154D2">
        <w:tc>
          <w:tcPr>
            <w:tcW w:w="2790" w:type="dxa"/>
            <w:tcBorders>
              <w:bottom w:val="single" w:color="auto" w:sz="8" w:space="0"/>
            </w:tcBorders>
          </w:tcPr>
          <w:p w14:paraId="35AA7463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Government agency</w:t>
            </w:r>
          </w:p>
        </w:tc>
        <w:tc>
          <w:tcPr>
            <w:tcW w:w="2716" w:type="dxa"/>
            <w:tcBorders>
              <w:bottom w:val="single" w:color="auto" w:sz="8" w:space="0"/>
            </w:tcBorders>
          </w:tcPr>
          <w:p w14:paraId="673FDC92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12.00</w:t>
            </w:r>
          </w:p>
        </w:tc>
        <w:tc>
          <w:tcPr>
            <w:tcW w:w="2790" w:type="dxa"/>
            <w:tcBorders>
              <w:bottom w:val="single" w:color="auto" w:sz="8" w:space="0"/>
            </w:tcBorders>
          </w:tcPr>
          <w:p w14:paraId="17FDA861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0.13</w:t>
            </w:r>
          </w:p>
        </w:tc>
      </w:tr>
    </w:tbl>
    <w:p w14:paraId="748FF658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Note: Network Centralization = 31.48%.</w:t>
      </w:r>
    </w:p>
    <w:p w14:paraId="6A9ACF3D"/>
    <w:p w14:paraId="1367B926">
      <w:pPr>
        <w:pStyle w:val="3"/>
        <w:keepNext/>
        <w:jc w:val="center"/>
        <w:rPr>
          <w:rFonts w:ascii="Times New Roman" w:hAnsi="Times New Roman" w:cs="Times New Roman"/>
          <w:sz w:val="21"/>
          <w:szCs w:val="21"/>
        </w:rPr>
      </w:pPr>
      <w:bookmarkStart w:id="14" w:name="_Ref233128031"/>
      <w:r>
        <w:rPr>
          <w:rFonts w:ascii="Times New Roman" w:hAnsi="Times New Roman" w:cs="Times New Roman"/>
          <w:sz w:val="21"/>
          <w:szCs w:val="21"/>
        </w:rPr>
        <w:t>Table A</w:t>
      </w:r>
      <w:r>
        <w:rPr>
          <w:rFonts w:ascii="Times New Roman" w:hAnsi="Times New Roman" w:cs="Times New Roman"/>
          <w:sz w:val="21"/>
          <w:szCs w:val="21"/>
        </w:rPr>
        <w:fldChar w:fldCharType="begin"/>
      </w:r>
      <w:r>
        <w:rPr>
          <w:rFonts w:ascii="Times New Roman" w:hAnsi="Times New Roman" w:cs="Times New Roman"/>
          <w:sz w:val="21"/>
          <w:szCs w:val="21"/>
        </w:rPr>
        <w:instrText xml:space="preserve"> SEQ Table_A \* ARABIC </w:instrText>
      </w:r>
      <w:r>
        <w:rPr>
          <w:rFonts w:ascii="Times New Roman" w:hAnsi="Times New Roman" w:cs="Times New Roman"/>
          <w:sz w:val="21"/>
          <w:szCs w:val="21"/>
        </w:rPr>
        <w:fldChar w:fldCharType="separate"/>
      </w:r>
      <w:r>
        <w:rPr>
          <w:rFonts w:hint="eastAsia" w:ascii="Times New Roman" w:hAnsi="Times New Roman" w:cs="Times New Roman"/>
          <w:sz w:val="21"/>
          <w:szCs w:val="21"/>
        </w:rPr>
        <w:t>12</w:t>
      </w:r>
      <w:r>
        <w:rPr>
          <w:rFonts w:ascii="Times New Roman" w:hAnsi="Times New Roman" w:cs="Times New Roman"/>
          <w:sz w:val="21"/>
          <w:szCs w:val="21"/>
        </w:rPr>
        <w:fldChar w:fldCharType="end"/>
      </w:r>
      <w:bookmarkEnd w:id="14"/>
      <w:r>
        <w:rPr>
          <w:rFonts w:ascii="Times New Roman" w:hAnsi="Times New Roman" w:cs="Times New Roman"/>
          <w:sz w:val="21"/>
          <w:szCs w:val="21"/>
        </w:rPr>
        <w:t xml:space="preserve"> Network Density of Applicants by Phase</w:t>
      </w: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2765"/>
        <w:gridCol w:w="2766"/>
      </w:tblGrid>
      <w:tr w14:paraId="3BB41823">
        <w:tc>
          <w:tcPr>
            <w:tcW w:w="2765" w:type="dxa"/>
            <w:tcBorders>
              <w:top w:val="single" w:color="auto" w:sz="8" w:space="0"/>
              <w:bottom w:val="single" w:color="auto" w:sz="4" w:space="0"/>
            </w:tcBorders>
          </w:tcPr>
          <w:p w14:paraId="03AAA88F">
            <w:pPr>
              <w:jc w:val="center"/>
              <w:rPr>
                <w:b/>
                <w:bCs/>
                <w:kern w:val="0"/>
                <w:sz w:val="20"/>
                <w:szCs w:val="21"/>
              </w:rPr>
            </w:pPr>
            <w:r>
              <w:rPr>
                <w:b/>
                <w:bCs/>
                <w:kern w:val="0"/>
                <w:sz w:val="20"/>
                <w:szCs w:val="21"/>
              </w:rPr>
              <w:t>Phase</w:t>
            </w:r>
          </w:p>
        </w:tc>
        <w:tc>
          <w:tcPr>
            <w:tcW w:w="2765" w:type="dxa"/>
            <w:tcBorders>
              <w:top w:val="single" w:color="auto" w:sz="8" w:space="0"/>
              <w:bottom w:val="single" w:color="auto" w:sz="4" w:space="0"/>
            </w:tcBorders>
          </w:tcPr>
          <w:p w14:paraId="45111BF0">
            <w:pPr>
              <w:jc w:val="center"/>
              <w:rPr>
                <w:b/>
                <w:bCs/>
                <w:kern w:val="0"/>
                <w:sz w:val="20"/>
                <w:szCs w:val="21"/>
              </w:rPr>
            </w:pPr>
            <w:r>
              <w:rPr>
                <w:b/>
                <w:bCs/>
                <w:kern w:val="0"/>
                <w:sz w:val="20"/>
                <w:szCs w:val="21"/>
              </w:rPr>
              <w:t>Network Density</w:t>
            </w:r>
          </w:p>
        </w:tc>
        <w:tc>
          <w:tcPr>
            <w:tcW w:w="2766" w:type="dxa"/>
            <w:tcBorders>
              <w:top w:val="single" w:color="auto" w:sz="8" w:space="0"/>
              <w:bottom w:val="single" w:color="auto" w:sz="4" w:space="0"/>
            </w:tcBorders>
          </w:tcPr>
          <w:p w14:paraId="3C69A38C">
            <w:pPr>
              <w:jc w:val="center"/>
              <w:rPr>
                <w:b/>
                <w:bCs/>
                <w:kern w:val="0"/>
                <w:sz w:val="20"/>
                <w:szCs w:val="21"/>
              </w:rPr>
            </w:pPr>
            <w:r>
              <w:rPr>
                <w:b/>
                <w:bCs/>
                <w:kern w:val="0"/>
                <w:sz w:val="20"/>
                <w:szCs w:val="21"/>
              </w:rPr>
              <w:t>Number of Edges</w:t>
            </w:r>
          </w:p>
        </w:tc>
      </w:tr>
      <w:tr w14:paraId="33328817">
        <w:tc>
          <w:tcPr>
            <w:tcW w:w="2765" w:type="dxa"/>
            <w:tcBorders>
              <w:top w:val="single" w:color="auto" w:sz="4" w:space="0"/>
              <w:bottom w:val="nil"/>
            </w:tcBorders>
          </w:tcPr>
          <w:p w14:paraId="070ECE3C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2016—2020</w:t>
            </w:r>
          </w:p>
        </w:tc>
        <w:tc>
          <w:tcPr>
            <w:tcW w:w="2765" w:type="dxa"/>
            <w:tcBorders>
              <w:top w:val="single" w:color="auto" w:sz="4" w:space="0"/>
              <w:bottom w:val="nil"/>
            </w:tcBorders>
          </w:tcPr>
          <w:p w14:paraId="5E0A8D44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0.0002</w:t>
            </w:r>
          </w:p>
        </w:tc>
        <w:tc>
          <w:tcPr>
            <w:tcW w:w="2766" w:type="dxa"/>
            <w:tcBorders>
              <w:top w:val="single" w:color="auto" w:sz="4" w:space="0"/>
              <w:bottom w:val="nil"/>
            </w:tcBorders>
          </w:tcPr>
          <w:p w14:paraId="55DA4FC1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40</w:t>
            </w:r>
          </w:p>
        </w:tc>
      </w:tr>
      <w:tr w14:paraId="6E9D2A70">
        <w:tc>
          <w:tcPr>
            <w:tcW w:w="2765" w:type="dxa"/>
            <w:tcBorders>
              <w:top w:val="nil"/>
              <w:bottom w:val="single" w:color="auto" w:sz="8" w:space="0"/>
            </w:tcBorders>
          </w:tcPr>
          <w:p w14:paraId="349BA031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2021—2024</w:t>
            </w:r>
          </w:p>
        </w:tc>
        <w:tc>
          <w:tcPr>
            <w:tcW w:w="2765" w:type="dxa"/>
            <w:tcBorders>
              <w:top w:val="nil"/>
              <w:bottom w:val="single" w:color="auto" w:sz="8" w:space="0"/>
            </w:tcBorders>
          </w:tcPr>
          <w:p w14:paraId="515D365D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0.0001</w:t>
            </w:r>
          </w:p>
        </w:tc>
        <w:tc>
          <w:tcPr>
            <w:tcW w:w="2766" w:type="dxa"/>
            <w:tcBorders>
              <w:top w:val="nil"/>
              <w:bottom w:val="single" w:color="auto" w:sz="8" w:space="0"/>
            </w:tcBorders>
          </w:tcPr>
          <w:p w14:paraId="7FFB8152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109</w:t>
            </w:r>
          </w:p>
        </w:tc>
      </w:tr>
    </w:tbl>
    <w:p w14:paraId="1E71EA13"/>
    <w:p w14:paraId="5BEB7C69">
      <w:pPr>
        <w:pStyle w:val="3"/>
        <w:keepNext/>
        <w:jc w:val="center"/>
        <w:rPr>
          <w:rFonts w:ascii="Times New Roman" w:hAnsi="Times New Roman" w:cs="Times New Roman"/>
          <w:sz w:val="21"/>
          <w:szCs w:val="21"/>
        </w:rPr>
      </w:pPr>
      <w:bookmarkStart w:id="15" w:name="_Ref233128063"/>
      <w:bookmarkStart w:id="16" w:name="_Ref224129780"/>
      <w:r>
        <w:rPr>
          <w:rFonts w:ascii="Times New Roman" w:hAnsi="Times New Roman" w:cs="Times New Roman"/>
          <w:sz w:val="21"/>
          <w:szCs w:val="21"/>
        </w:rPr>
        <w:t>Table A</w:t>
      </w:r>
      <w:r>
        <w:rPr>
          <w:rFonts w:ascii="Times New Roman" w:hAnsi="Times New Roman" w:cs="Times New Roman"/>
          <w:sz w:val="21"/>
          <w:szCs w:val="21"/>
        </w:rPr>
        <w:fldChar w:fldCharType="begin"/>
      </w:r>
      <w:r>
        <w:rPr>
          <w:rFonts w:ascii="Times New Roman" w:hAnsi="Times New Roman" w:cs="Times New Roman"/>
          <w:sz w:val="21"/>
          <w:szCs w:val="21"/>
        </w:rPr>
        <w:instrText xml:space="preserve"> SEQ Table_A \* ARABIC </w:instrText>
      </w:r>
      <w:r>
        <w:rPr>
          <w:rFonts w:ascii="Times New Roman" w:hAnsi="Times New Roman" w:cs="Times New Roman"/>
          <w:sz w:val="21"/>
          <w:szCs w:val="21"/>
        </w:rPr>
        <w:fldChar w:fldCharType="separate"/>
      </w:r>
      <w:r>
        <w:rPr>
          <w:rFonts w:hint="eastAsia" w:ascii="Times New Roman" w:hAnsi="Times New Roman" w:cs="Times New Roman"/>
          <w:sz w:val="21"/>
          <w:szCs w:val="21"/>
        </w:rPr>
        <w:t>13</w:t>
      </w:r>
      <w:r>
        <w:rPr>
          <w:rFonts w:ascii="Times New Roman" w:hAnsi="Times New Roman" w:cs="Times New Roman"/>
          <w:sz w:val="21"/>
          <w:szCs w:val="21"/>
        </w:rPr>
        <w:fldChar w:fldCharType="end"/>
      </w:r>
      <w:bookmarkEnd w:id="15"/>
      <w:r>
        <w:rPr>
          <w:rFonts w:hint="eastAsia"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Centrality of Applicants by Phase</w:t>
      </w: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134"/>
        <w:gridCol w:w="1134"/>
        <w:gridCol w:w="284"/>
        <w:gridCol w:w="992"/>
        <w:gridCol w:w="1134"/>
        <w:gridCol w:w="425"/>
        <w:gridCol w:w="851"/>
        <w:gridCol w:w="1218"/>
      </w:tblGrid>
      <w:tr w14:paraId="592E9781">
        <w:tc>
          <w:tcPr>
            <w:tcW w:w="1134" w:type="dxa"/>
            <w:tcBorders>
              <w:top w:val="single" w:color="auto" w:sz="8" w:space="0"/>
              <w:bottom w:val="single" w:color="auto" w:sz="4" w:space="0"/>
            </w:tcBorders>
          </w:tcPr>
          <w:p w14:paraId="570F21A6">
            <w:pPr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2552" w:type="dxa"/>
            <w:gridSpan w:val="3"/>
            <w:tcBorders>
              <w:top w:val="single" w:color="auto" w:sz="8" w:space="0"/>
              <w:bottom w:val="single" w:color="auto" w:sz="4" w:space="0"/>
            </w:tcBorders>
          </w:tcPr>
          <w:p w14:paraId="7A8AC321">
            <w:pPr>
              <w:jc w:val="center"/>
              <w:rPr>
                <w:b/>
                <w:bCs/>
                <w:kern w:val="0"/>
                <w:sz w:val="20"/>
                <w:szCs w:val="21"/>
              </w:rPr>
            </w:pPr>
            <w:r>
              <w:rPr>
                <w:b/>
                <w:bCs/>
                <w:kern w:val="0"/>
                <w:sz w:val="20"/>
                <w:szCs w:val="21"/>
              </w:rPr>
              <w:t>Degree Centrality</w:t>
            </w:r>
          </w:p>
        </w:tc>
        <w:tc>
          <w:tcPr>
            <w:tcW w:w="2551" w:type="dxa"/>
            <w:gridSpan w:val="3"/>
            <w:tcBorders>
              <w:top w:val="single" w:color="auto" w:sz="8" w:space="0"/>
              <w:bottom w:val="single" w:color="auto" w:sz="4" w:space="0"/>
            </w:tcBorders>
          </w:tcPr>
          <w:p w14:paraId="386CC36C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b/>
                <w:bCs/>
                <w:kern w:val="0"/>
                <w:sz w:val="20"/>
                <w:szCs w:val="21"/>
              </w:rPr>
              <w:t>Closeness Centrality</w:t>
            </w:r>
          </w:p>
        </w:tc>
        <w:tc>
          <w:tcPr>
            <w:tcW w:w="2069" w:type="dxa"/>
            <w:gridSpan w:val="2"/>
            <w:tcBorders>
              <w:top w:val="single" w:color="auto" w:sz="8" w:space="0"/>
              <w:bottom w:val="single" w:color="auto" w:sz="4" w:space="0"/>
            </w:tcBorders>
          </w:tcPr>
          <w:p w14:paraId="3F91D895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b/>
                <w:bCs/>
                <w:kern w:val="0"/>
                <w:sz w:val="20"/>
                <w:szCs w:val="21"/>
              </w:rPr>
              <w:t>Betweenness Centrality</w:t>
            </w:r>
          </w:p>
        </w:tc>
      </w:tr>
      <w:tr w14:paraId="4431C6D1">
        <w:tc>
          <w:tcPr>
            <w:tcW w:w="1134" w:type="dxa"/>
            <w:tcBorders>
              <w:top w:val="single" w:color="auto" w:sz="4" w:space="0"/>
              <w:bottom w:val="nil"/>
            </w:tcBorders>
          </w:tcPr>
          <w:p w14:paraId="6B7725B9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Phase</w:t>
            </w:r>
          </w:p>
        </w:tc>
        <w:tc>
          <w:tcPr>
            <w:tcW w:w="1134" w:type="dxa"/>
            <w:tcBorders>
              <w:top w:val="single" w:color="auto" w:sz="4" w:space="0"/>
              <w:bottom w:val="nil"/>
            </w:tcBorders>
          </w:tcPr>
          <w:p w14:paraId="54EF1FB2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2016–2020</w:t>
            </w:r>
          </w:p>
        </w:tc>
        <w:tc>
          <w:tcPr>
            <w:tcW w:w="1134" w:type="dxa"/>
            <w:tcBorders>
              <w:top w:val="single" w:color="auto" w:sz="4" w:space="0"/>
              <w:bottom w:val="nil"/>
            </w:tcBorders>
          </w:tcPr>
          <w:p w14:paraId="749FC24F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2021–2024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bottom w:val="nil"/>
            </w:tcBorders>
          </w:tcPr>
          <w:p w14:paraId="2FEE37F4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2016–2020</w:t>
            </w:r>
          </w:p>
        </w:tc>
        <w:tc>
          <w:tcPr>
            <w:tcW w:w="1134" w:type="dxa"/>
            <w:tcBorders>
              <w:top w:val="single" w:color="auto" w:sz="4" w:space="0"/>
              <w:bottom w:val="nil"/>
            </w:tcBorders>
          </w:tcPr>
          <w:p w14:paraId="60E54ACE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2021–2024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bottom w:val="nil"/>
            </w:tcBorders>
          </w:tcPr>
          <w:p w14:paraId="57739F65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2016–2020</w:t>
            </w:r>
          </w:p>
        </w:tc>
        <w:tc>
          <w:tcPr>
            <w:tcW w:w="1218" w:type="dxa"/>
            <w:tcBorders>
              <w:top w:val="single" w:color="auto" w:sz="4" w:space="0"/>
              <w:bottom w:val="nil"/>
            </w:tcBorders>
          </w:tcPr>
          <w:p w14:paraId="09B6C860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2016–2024</w:t>
            </w:r>
          </w:p>
        </w:tc>
      </w:tr>
      <w:tr w14:paraId="1E3ADA2F">
        <w:tc>
          <w:tcPr>
            <w:tcW w:w="1134" w:type="dxa"/>
            <w:tcBorders>
              <w:top w:val="nil"/>
              <w:bottom w:val="nil"/>
            </w:tcBorders>
          </w:tcPr>
          <w:p w14:paraId="44A525C1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Mean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EA63130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0.05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8B9AA46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0.02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25C5FCDF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0.24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782CEC1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0.11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3042907D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0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04ADE51A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0</w:t>
            </w:r>
          </w:p>
        </w:tc>
      </w:tr>
      <w:tr w14:paraId="792DABF9">
        <w:tc>
          <w:tcPr>
            <w:tcW w:w="1134" w:type="dxa"/>
            <w:tcBorders>
              <w:top w:val="nil"/>
            </w:tcBorders>
          </w:tcPr>
          <w:p w14:paraId="52D0F857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Std Dev</w:t>
            </w:r>
          </w:p>
        </w:tc>
        <w:tc>
          <w:tcPr>
            <w:tcW w:w="1134" w:type="dxa"/>
            <w:tcBorders>
              <w:top w:val="nil"/>
            </w:tcBorders>
          </w:tcPr>
          <w:p w14:paraId="35D41572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0.11</w:t>
            </w:r>
          </w:p>
        </w:tc>
        <w:tc>
          <w:tcPr>
            <w:tcW w:w="1134" w:type="dxa"/>
            <w:tcBorders>
              <w:top w:val="nil"/>
            </w:tcBorders>
          </w:tcPr>
          <w:p w14:paraId="24478936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0.06</w:t>
            </w:r>
          </w:p>
        </w:tc>
        <w:tc>
          <w:tcPr>
            <w:tcW w:w="1276" w:type="dxa"/>
            <w:gridSpan w:val="2"/>
            <w:tcBorders>
              <w:top w:val="nil"/>
            </w:tcBorders>
          </w:tcPr>
          <w:p w14:paraId="6767AB71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</w:tcPr>
          <w:p w14:paraId="0F28EB31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</w:tcBorders>
          </w:tcPr>
          <w:p w14:paraId="2FD361D0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0</w:t>
            </w:r>
          </w:p>
        </w:tc>
        <w:tc>
          <w:tcPr>
            <w:tcW w:w="1218" w:type="dxa"/>
            <w:tcBorders>
              <w:top w:val="nil"/>
            </w:tcBorders>
          </w:tcPr>
          <w:p w14:paraId="5B5C2614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0</w:t>
            </w:r>
          </w:p>
        </w:tc>
      </w:tr>
      <w:tr w14:paraId="344035B7">
        <w:tc>
          <w:tcPr>
            <w:tcW w:w="1134" w:type="dxa"/>
          </w:tcPr>
          <w:p w14:paraId="682B6012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Sum</w:t>
            </w:r>
          </w:p>
        </w:tc>
        <w:tc>
          <w:tcPr>
            <w:tcW w:w="1134" w:type="dxa"/>
          </w:tcPr>
          <w:p w14:paraId="6311930A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19.18</w:t>
            </w:r>
          </w:p>
        </w:tc>
        <w:tc>
          <w:tcPr>
            <w:tcW w:w="1134" w:type="dxa"/>
          </w:tcPr>
          <w:p w14:paraId="3442D42E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23.17</w:t>
            </w:r>
          </w:p>
        </w:tc>
        <w:tc>
          <w:tcPr>
            <w:tcW w:w="1276" w:type="dxa"/>
            <w:gridSpan w:val="2"/>
          </w:tcPr>
          <w:p w14:paraId="02D2B19F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17.05</w:t>
            </w:r>
          </w:p>
        </w:tc>
        <w:tc>
          <w:tcPr>
            <w:tcW w:w="1134" w:type="dxa"/>
          </w:tcPr>
          <w:p w14:paraId="67F4CA1F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18.62</w:t>
            </w:r>
          </w:p>
        </w:tc>
        <w:tc>
          <w:tcPr>
            <w:tcW w:w="1276" w:type="dxa"/>
            <w:gridSpan w:val="2"/>
          </w:tcPr>
          <w:p w14:paraId="34FAEB4B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0.02</w:t>
            </w:r>
          </w:p>
        </w:tc>
        <w:tc>
          <w:tcPr>
            <w:tcW w:w="1218" w:type="dxa"/>
          </w:tcPr>
          <w:p w14:paraId="19217989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0.02</w:t>
            </w:r>
          </w:p>
        </w:tc>
      </w:tr>
      <w:tr w14:paraId="5323A2A8">
        <w:tc>
          <w:tcPr>
            <w:tcW w:w="1134" w:type="dxa"/>
          </w:tcPr>
          <w:p w14:paraId="1E59891F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Variance</w:t>
            </w:r>
          </w:p>
        </w:tc>
        <w:tc>
          <w:tcPr>
            <w:tcW w:w="1134" w:type="dxa"/>
          </w:tcPr>
          <w:p w14:paraId="6BEE235B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0.01</w:t>
            </w:r>
          </w:p>
        </w:tc>
        <w:tc>
          <w:tcPr>
            <w:tcW w:w="1134" w:type="dxa"/>
          </w:tcPr>
          <w:p w14:paraId="29CF43A2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0</w:t>
            </w:r>
          </w:p>
        </w:tc>
        <w:tc>
          <w:tcPr>
            <w:tcW w:w="1276" w:type="dxa"/>
            <w:gridSpan w:val="2"/>
          </w:tcPr>
          <w:p w14:paraId="0F627525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0</w:t>
            </w:r>
          </w:p>
        </w:tc>
        <w:tc>
          <w:tcPr>
            <w:tcW w:w="1134" w:type="dxa"/>
          </w:tcPr>
          <w:p w14:paraId="4F34D75E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0</w:t>
            </w:r>
          </w:p>
        </w:tc>
        <w:tc>
          <w:tcPr>
            <w:tcW w:w="1276" w:type="dxa"/>
            <w:gridSpan w:val="2"/>
          </w:tcPr>
          <w:p w14:paraId="39372391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0</w:t>
            </w:r>
          </w:p>
        </w:tc>
        <w:tc>
          <w:tcPr>
            <w:tcW w:w="1218" w:type="dxa"/>
          </w:tcPr>
          <w:p w14:paraId="135C332B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0</w:t>
            </w:r>
          </w:p>
        </w:tc>
      </w:tr>
      <w:tr w14:paraId="2EA6FD9F">
        <w:tc>
          <w:tcPr>
            <w:tcW w:w="1134" w:type="dxa"/>
          </w:tcPr>
          <w:p w14:paraId="1923DD0D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SSQ</w:t>
            </w:r>
          </w:p>
        </w:tc>
        <w:tc>
          <w:tcPr>
            <w:tcW w:w="1134" w:type="dxa"/>
          </w:tcPr>
          <w:p w14:paraId="0FE40348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5.87</w:t>
            </w:r>
          </w:p>
        </w:tc>
        <w:tc>
          <w:tcPr>
            <w:tcW w:w="1134" w:type="dxa"/>
          </w:tcPr>
          <w:p w14:paraId="395EA68A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4.31</w:t>
            </w:r>
          </w:p>
        </w:tc>
        <w:tc>
          <w:tcPr>
            <w:tcW w:w="1276" w:type="dxa"/>
            <w:gridSpan w:val="2"/>
          </w:tcPr>
          <w:p w14:paraId="7F27DD9C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4.09</w:t>
            </w:r>
          </w:p>
        </w:tc>
        <w:tc>
          <w:tcPr>
            <w:tcW w:w="1134" w:type="dxa"/>
          </w:tcPr>
          <w:p w14:paraId="376DB5F0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1.98</w:t>
            </w:r>
          </w:p>
        </w:tc>
        <w:tc>
          <w:tcPr>
            <w:tcW w:w="1276" w:type="dxa"/>
            <w:gridSpan w:val="2"/>
          </w:tcPr>
          <w:p w14:paraId="06E9933B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0</w:t>
            </w:r>
          </w:p>
        </w:tc>
        <w:tc>
          <w:tcPr>
            <w:tcW w:w="1218" w:type="dxa"/>
          </w:tcPr>
          <w:p w14:paraId="49C1E625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0</w:t>
            </w:r>
          </w:p>
        </w:tc>
      </w:tr>
      <w:tr w14:paraId="106A64F5">
        <w:tc>
          <w:tcPr>
            <w:tcW w:w="1134" w:type="dxa"/>
          </w:tcPr>
          <w:p w14:paraId="575C90FB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MCSSQ</w:t>
            </w:r>
          </w:p>
        </w:tc>
        <w:tc>
          <w:tcPr>
            <w:tcW w:w="1134" w:type="dxa"/>
          </w:tcPr>
          <w:p w14:paraId="1532CD52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4.99</w:t>
            </w:r>
          </w:p>
        </w:tc>
        <w:tc>
          <w:tcPr>
            <w:tcW w:w="1134" w:type="dxa"/>
          </w:tcPr>
          <w:p w14:paraId="58FB77FD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3.74</w:t>
            </w:r>
          </w:p>
        </w:tc>
        <w:tc>
          <w:tcPr>
            <w:tcW w:w="1276" w:type="dxa"/>
            <w:gridSpan w:val="2"/>
          </w:tcPr>
          <w:p w14:paraId="4236FD67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0</w:t>
            </w:r>
          </w:p>
        </w:tc>
        <w:tc>
          <w:tcPr>
            <w:tcW w:w="1134" w:type="dxa"/>
          </w:tcPr>
          <w:p w14:paraId="52A41FC0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0</w:t>
            </w:r>
          </w:p>
        </w:tc>
        <w:tc>
          <w:tcPr>
            <w:tcW w:w="1276" w:type="dxa"/>
            <w:gridSpan w:val="2"/>
          </w:tcPr>
          <w:p w14:paraId="7D62DF97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0</w:t>
            </w:r>
          </w:p>
        </w:tc>
        <w:tc>
          <w:tcPr>
            <w:tcW w:w="1218" w:type="dxa"/>
          </w:tcPr>
          <w:p w14:paraId="552891B3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0</w:t>
            </w:r>
          </w:p>
        </w:tc>
      </w:tr>
      <w:tr w14:paraId="32A65311">
        <w:tc>
          <w:tcPr>
            <w:tcW w:w="1134" w:type="dxa"/>
          </w:tcPr>
          <w:p w14:paraId="5CAFD82E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Euc Norm</w:t>
            </w:r>
          </w:p>
        </w:tc>
        <w:tc>
          <w:tcPr>
            <w:tcW w:w="1134" w:type="dxa"/>
          </w:tcPr>
          <w:p w14:paraId="610539FF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2.42</w:t>
            </w:r>
          </w:p>
        </w:tc>
        <w:tc>
          <w:tcPr>
            <w:tcW w:w="1134" w:type="dxa"/>
          </w:tcPr>
          <w:p w14:paraId="208ECAF3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2.08</w:t>
            </w:r>
          </w:p>
        </w:tc>
        <w:tc>
          <w:tcPr>
            <w:tcW w:w="1276" w:type="dxa"/>
            <w:gridSpan w:val="2"/>
          </w:tcPr>
          <w:p w14:paraId="210C818E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2.02</w:t>
            </w:r>
          </w:p>
        </w:tc>
        <w:tc>
          <w:tcPr>
            <w:tcW w:w="1134" w:type="dxa"/>
          </w:tcPr>
          <w:p w14:paraId="77D2DDAE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1.41</w:t>
            </w:r>
          </w:p>
        </w:tc>
        <w:tc>
          <w:tcPr>
            <w:tcW w:w="1276" w:type="dxa"/>
            <w:gridSpan w:val="2"/>
          </w:tcPr>
          <w:p w14:paraId="6F8F45C8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0.01</w:t>
            </w:r>
          </w:p>
        </w:tc>
        <w:tc>
          <w:tcPr>
            <w:tcW w:w="1218" w:type="dxa"/>
          </w:tcPr>
          <w:p w14:paraId="6675074F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0.01</w:t>
            </w:r>
          </w:p>
        </w:tc>
      </w:tr>
      <w:tr w14:paraId="55BE82BB">
        <w:tc>
          <w:tcPr>
            <w:tcW w:w="1134" w:type="dxa"/>
            <w:tcBorders>
              <w:bottom w:val="nil"/>
            </w:tcBorders>
          </w:tcPr>
          <w:p w14:paraId="31CD8633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Minimum</w:t>
            </w:r>
          </w:p>
        </w:tc>
        <w:tc>
          <w:tcPr>
            <w:tcW w:w="1134" w:type="dxa"/>
            <w:tcBorders>
              <w:bottom w:val="nil"/>
            </w:tcBorders>
          </w:tcPr>
          <w:p w14:paraId="34A20FE5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0</w:t>
            </w:r>
          </w:p>
        </w:tc>
        <w:tc>
          <w:tcPr>
            <w:tcW w:w="1134" w:type="dxa"/>
            <w:tcBorders>
              <w:bottom w:val="nil"/>
            </w:tcBorders>
          </w:tcPr>
          <w:p w14:paraId="484894F7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0</w:t>
            </w:r>
          </w:p>
        </w:tc>
        <w:tc>
          <w:tcPr>
            <w:tcW w:w="1276" w:type="dxa"/>
            <w:gridSpan w:val="2"/>
            <w:tcBorders>
              <w:bottom w:val="nil"/>
            </w:tcBorders>
          </w:tcPr>
          <w:p w14:paraId="23879A3B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0</w:t>
            </w:r>
          </w:p>
        </w:tc>
        <w:tc>
          <w:tcPr>
            <w:tcW w:w="1134" w:type="dxa"/>
            <w:tcBorders>
              <w:bottom w:val="nil"/>
            </w:tcBorders>
          </w:tcPr>
          <w:p w14:paraId="24347C63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0.11</w:t>
            </w:r>
          </w:p>
        </w:tc>
        <w:tc>
          <w:tcPr>
            <w:tcW w:w="1276" w:type="dxa"/>
            <w:gridSpan w:val="2"/>
            <w:tcBorders>
              <w:bottom w:val="nil"/>
            </w:tcBorders>
          </w:tcPr>
          <w:p w14:paraId="0C94A93A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0</w:t>
            </w:r>
          </w:p>
        </w:tc>
        <w:tc>
          <w:tcPr>
            <w:tcW w:w="1218" w:type="dxa"/>
            <w:tcBorders>
              <w:bottom w:val="nil"/>
            </w:tcBorders>
          </w:tcPr>
          <w:p w14:paraId="3E2CBF95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0</w:t>
            </w:r>
          </w:p>
        </w:tc>
      </w:tr>
      <w:tr w14:paraId="730490DE">
        <w:tc>
          <w:tcPr>
            <w:tcW w:w="1134" w:type="dxa"/>
            <w:tcBorders>
              <w:bottom w:val="single" w:color="auto" w:sz="8" w:space="0"/>
            </w:tcBorders>
          </w:tcPr>
          <w:p w14:paraId="08AA2457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Maximum</w:t>
            </w:r>
          </w:p>
        </w:tc>
        <w:tc>
          <w:tcPr>
            <w:tcW w:w="1134" w:type="dxa"/>
            <w:tcBorders>
              <w:bottom w:val="single" w:color="auto" w:sz="8" w:space="0"/>
            </w:tcBorders>
          </w:tcPr>
          <w:p w14:paraId="0240E05F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0.72</w:t>
            </w:r>
          </w:p>
        </w:tc>
        <w:tc>
          <w:tcPr>
            <w:tcW w:w="1134" w:type="dxa"/>
            <w:tcBorders>
              <w:bottom w:val="single" w:color="auto" w:sz="8" w:space="0"/>
            </w:tcBorders>
          </w:tcPr>
          <w:p w14:paraId="0DEC49EC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0.96</w:t>
            </w:r>
          </w:p>
        </w:tc>
        <w:tc>
          <w:tcPr>
            <w:tcW w:w="1276" w:type="dxa"/>
            <w:gridSpan w:val="2"/>
            <w:tcBorders>
              <w:bottom w:val="single" w:color="auto" w:sz="8" w:space="0"/>
            </w:tcBorders>
          </w:tcPr>
          <w:p w14:paraId="3CDC990F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0.01</w:t>
            </w:r>
          </w:p>
        </w:tc>
        <w:tc>
          <w:tcPr>
            <w:tcW w:w="1134" w:type="dxa"/>
            <w:tcBorders>
              <w:bottom w:val="single" w:color="auto" w:sz="8" w:space="0"/>
            </w:tcBorders>
          </w:tcPr>
          <w:p w14:paraId="75E8B960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0.11</w:t>
            </w:r>
          </w:p>
        </w:tc>
        <w:tc>
          <w:tcPr>
            <w:tcW w:w="1276" w:type="dxa"/>
            <w:gridSpan w:val="2"/>
            <w:tcBorders>
              <w:bottom w:val="single" w:color="auto" w:sz="8" w:space="0"/>
            </w:tcBorders>
          </w:tcPr>
          <w:p w14:paraId="7C1C8B69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0.01</w:t>
            </w:r>
          </w:p>
        </w:tc>
        <w:tc>
          <w:tcPr>
            <w:tcW w:w="1218" w:type="dxa"/>
            <w:tcBorders>
              <w:bottom w:val="single" w:color="auto" w:sz="8" w:space="0"/>
            </w:tcBorders>
          </w:tcPr>
          <w:p w14:paraId="6E1D3EF1">
            <w:pPr>
              <w:jc w:val="center"/>
              <w:rPr>
                <w:rFonts w:eastAsia="黑体"/>
                <w:kern w:val="0"/>
                <w:sz w:val="20"/>
                <w:szCs w:val="21"/>
              </w:rPr>
            </w:pPr>
            <w:r>
              <w:rPr>
                <w:rFonts w:eastAsia="黑体"/>
                <w:kern w:val="0"/>
                <w:sz w:val="20"/>
                <w:szCs w:val="21"/>
              </w:rPr>
              <w:t>0.01</w:t>
            </w:r>
          </w:p>
        </w:tc>
      </w:tr>
      <w:bookmarkEnd w:id="16"/>
    </w:tbl>
    <w:p w14:paraId="11369574">
      <w:pPr>
        <w:pStyle w:val="3"/>
        <w:keepNext/>
        <w:rPr>
          <w:rFonts w:ascii="Times New Roman" w:hAnsi="Times New Roman" w:cs="Times New Roman"/>
          <w:sz w:val="21"/>
          <w:szCs w:val="21"/>
        </w:rPr>
      </w:pPr>
    </w:p>
    <w:p w14:paraId="244D1D14">
      <w:pPr>
        <w:pStyle w:val="3"/>
        <w:keepNext/>
        <w:jc w:val="center"/>
        <w:rPr>
          <w:rFonts w:ascii="Times New Roman" w:hAnsi="Times New Roman" w:cs="Times New Roman"/>
          <w:sz w:val="21"/>
          <w:szCs w:val="21"/>
        </w:rPr>
      </w:pPr>
      <w:bookmarkStart w:id="17" w:name="_Ref233128082"/>
      <w:r>
        <w:rPr>
          <w:rFonts w:ascii="Times New Roman" w:hAnsi="Times New Roman" w:cs="Times New Roman"/>
          <w:sz w:val="21"/>
          <w:szCs w:val="21"/>
        </w:rPr>
        <w:t>Table A</w:t>
      </w:r>
      <w:r>
        <w:rPr>
          <w:rFonts w:ascii="Times New Roman" w:hAnsi="Times New Roman" w:cs="Times New Roman"/>
          <w:sz w:val="21"/>
          <w:szCs w:val="21"/>
        </w:rPr>
        <w:fldChar w:fldCharType="begin"/>
      </w:r>
      <w:r>
        <w:rPr>
          <w:rFonts w:ascii="Times New Roman" w:hAnsi="Times New Roman" w:cs="Times New Roman"/>
          <w:sz w:val="21"/>
          <w:szCs w:val="21"/>
        </w:rPr>
        <w:instrText xml:space="preserve"> SEQ Table_A \* ARABIC </w:instrText>
      </w:r>
      <w:r>
        <w:rPr>
          <w:rFonts w:ascii="Times New Roman" w:hAnsi="Times New Roman" w:cs="Times New Roman"/>
          <w:sz w:val="21"/>
          <w:szCs w:val="21"/>
        </w:rPr>
        <w:fldChar w:fldCharType="separate"/>
      </w:r>
      <w:r>
        <w:rPr>
          <w:rFonts w:hint="eastAsia" w:ascii="Times New Roman" w:hAnsi="Times New Roman" w:cs="Times New Roman"/>
          <w:sz w:val="21"/>
          <w:szCs w:val="21"/>
        </w:rPr>
        <w:t>14</w:t>
      </w:r>
      <w:r>
        <w:rPr>
          <w:rFonts w:ascii="Times New Roman" w:hAnsi="Times New Roman" w:cs="Times New Roman"/>
          <w:sz w:val="21"/>
          <w:szCs w:val="21"/>
        </w:rPr>
        <w:fldChar w:fldCharType="end"/>
      </w:r>
      <w:bookmarkEnd w:id="17"/>
      <w:r>
        <w:rPr>
          <w:rFonts w:ascii="Times New Roman" w:hAnsi="Times New Roman" w:cs="Times New Roman"/>
          <w:sz w:val="21"/>
          <w:szCs w:val="21"/>
        </w:rPr>
        <w:t xml:space="preserve"> Core Nodes in the 2016–2020 Applicant Sub-network</w:t>
      </w: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2"/>
        <w:gridCol w:w="5324"/>
      </w:tblGrid>
      <w:tr w14:paraId="54605592">
        <w:tc>
          <w:tcPr>
            <w:tcW w:w="2972" w:type="dxa"/>
            <w:tcBorders>
              <w:top w:val="single" w:color="auto" w:sz="8" w:space="0"/>
              <w:bottom w:val="single" w:color="auto" w:sz="4" w:space="0"/>
            </w:tcBorders>
          </w:tcPr>
          <w:p w14:paraId="68708D08">
            <w:pPr>
              <w:jc w:val="center"/>
              <w:rPr>
                <w:b/>
                <w:bCs/>
                <w:kern w:val="0"/>
                <w:sz w:val="20"/>
                <w:szCs w:val="21"/>
              </w:rPr>
            </w:pPr>
            <w:r>
              <w:rPr>
                <w:b/>
                <w:bCs/>
                <w:kern w:val="0"/>
                <w:sz w:val="20"/>
                <w:szCs w:val="21"/>
              </w:rPr>
              <w:t>Degree Centrality Value</w:t>
            </w:r>
          </w:p>
        </w:tc>
        <w:tc>
          <w:tcPr>
            <w:tcW w:w="5324" w:type="dxa"/>
            <w:tcBorders>
              <w:top w:val="single" w:color="auto" w:sz="8" w:space="0"/>
              <w:bottom w:val="single" w:color="auto" w:sz="4" w:space="0"/>
            </w:tcBorders>
          </w:tcPr>
          <w:p w14:paraId="40DF5F85">
            <w:pPr>
              <w:jc w:val="center"/>
              <w:rPr>
                <w:b/>
                <w:bCs/>
                <w:kern w:val="0"/>
                <w:sz w:val="20"/>
                <w:szCs w:val="21"/>
              </w:rPr>
            </w:pPr>
            <w:r>
              <w:rPr>
                <w:b/>
                <w:bCs/>
                <w:kern w:val="0"/>
                <w:sz w:val="20"/>
                <w:szCs w:val="21"/>
              </w:rPr>
              <w:t>Applicant</w:t>
            </w:r>
          </w:p>
        </w:tc>
      </w:tr>
      <w:tr w14:paraId="1383B2A6">
        <w:tc>
          <w:tcPr>
            <w:tcW w:w="2972" w:type="dxa"/>
            <w:tcBorders>
              <w:top w:val="single" w:color="auto" w:sz="4" w:space="0"/>
              <w:bottom w:val="nil"/>
            </w:tcBorders>
          </w:tcPr>
          <w:p w14:paraId="0EBF9D3B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3</w:t>
            </w:r>
          </w:p>
        </w:tc>
        <w:tc>
          <w:tcPr>
            <w:tcW w:w="5324" w:type="dxa"/>
            <w:tcBorders>
              <w:top w:val="single" w:color="auto" w:sz="4" w:space="0"/>
              <w:bottom w:val="nil"/>
            </w:tcBorders>
          </w:tcPr>
          <w:p w14:paraId="67FF9615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Guangzhou Caizhilin Pharmaceutical Co., Ltd.</w:t>
            </w:r>
          </w:p>
          <w:p w14:paraId="532D7F91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Shenzhen Osa Pharmaceutical Co., Ltd.</w:t>
            </w:r>
          </w:p>
        </w:tc>
      </w:tr>
      <w:tr w14:paraId="7067EF1A">
        <w:tc>
          <w:tcPr>
            <w:tcW w:w="2972" w:type="dxa"/>
            <w:tcBorders>
              <w:bottom w:val="single" w:color="auto" w:sz="8" w:space="0"/>
            </w:tcBorders>
          </w:tcPr>
          <w:p w14:paraId="3E693D08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2</w:t>
            </w:r>
          </w:p>
        </w:tc>
        <w:tc>
          <w:tcPr>
            <w:tcW w:w="5324" w:type="dxa"/>
            <w:tcBorders>
              <w:bottom w:val="single" w:color="auto" w:sz="8" w:space="0"/>
            </w:tcBorders>
          </w:tcPr>
          <w:p w14:paraId="6657349F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Guangdong Zhidao Pharmaceutical Technology Co., Ltd.</w:t>
            </w:r>
          </w:p>
          <w:p w14:paraId="3A8A9400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Taiyuan (Guangzhou) Biotechnology Co., Ltd.</w:t>
            </w:r>
          </w:p>
          <w:p w14:paraId="715C8E7A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Perfect (Guangdong) Daily Necessities Co., Ltd.</w:t>
            </w:r>
          </w:p>
          <w:p w14:paraId="06D2CD4B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FuLaite (Shenzhen) Precision Nutrition Food Group Co., Ltd.</w:t>
            </w:r>
          </w:p>
          <w:p w14:paraId="601A6A2B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Tianhe District Hospital of Traditional Chinese Medicine, Guangzhou</w:t>
            </w:r>
          </w:p>
        </w:tc>
      </w:tr>
    </w:tbl>
    <w:p w14:paraId="5E4C9F78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Note: Only data with degree centrality ≥ 2 are shown due to space limitations.</w:t>
      </w:r>
    </w:p>
    <w:p w14:paraId="1CA71855"/>
    <w:p w14:paraId="5D2F98E6">
      <w:pPr>
        <w:pStyle w:val="3"/>
        <w:keepNext/>
        <w:jc w:val="center"/>
        <w:rPr>
          <w:rFonts w:ascii="Times New Roman" w:hAnsi="Times New Roman" w:cs="Times New Roman"/>
          <w:sz w:val="21"/>
          <w:szCs w:val="21"/>
        </w:rPr>
      </w:pPr>
      <w:bookmarkStart w:id="18" w:name="_Ref233128089"/>
      <w:r>
        <w:rPr>
          <w:rFonts w:ascii="Times New Roman" w:hAnsi="Times New Roman" w:cs="Times New Roman"/>
          <w:sz w:val="21"/>
          <w:szCs w:val="21"/>
        </w:rPr>
        <w:t>Table A</w:t>
      </w:r>
      <w:r>
        <w:rPr>
          <w:rFonts w:ascii="Times New Roman" w:hAnsi="Times New Roman" w:cs="Times New Roman"/>
          <w:sz w:val="21"/>
          <w:szCs w:val="21"/>
        </w:rPr>
        <w:fldChar w:fldCharType="begin"/>
      </w:r>
      <w:r>
        <w:rPr>
          <w:rFonts w:ascii="Times New Roman" w:hAnsi="Times New Roman" w:cs="Times New Roman"/>
          <w:sz w:val="21"/>
          <w:szCs w:val="21"/>
        </w:rPr>
        <w:instrText xml:space="preserve"> SEQ Table_A \* ARABIC </w:instrText>
      </w:r>
      <w:r>
        <w:rPr>
          <w:rFonts w:ascii="Times New Roman" w:hAnsi="Times New Roman" w:cs="Times New Roman"/>
          <w:sz w:val="21"/>
          <w:szCs w:val="21"/>
        </w:rPr>
        <w:fldChar w:fldCharType="separate"/>
      </w:r>
      <w:r>
        <w:rPr>
          <w:rFonts w:hint="eastAsia" w:ascii="Times New Roman" w:hAnsi="Times New Roman" w:cs="Times New Roman"/>
          <w:sz w:val="21"/>
          <w:szCs w:val="21"/>
        </w:rPr>
        <w:t>15</w:t>
      </w:r>
      <w:r>
        <w:rPr>
          <w:rFonts w:ascii="Times New Roman" w:hAnsi="Times New Roman" w:cs="Times New Roman"/>
          <w:sz w:val="21"/>
          <w:szCs w:val="21"/>
        </w:rPr>
        <w:fldChar w:fldCharType="end"/>
      </w:r>
      <w:bookmarkEnd w:id="18"/>
      <w:r>
        <w:rPr>
          <w:rFonts w:ascii="Times New Roman" w:hAnsi="Times New Roman" w:cs="Times New Roman"/>
          <w:sz w:val="21"/>
          <w:szCs w:val="21"/>
        </w:rPr>
        <w:t xml:space="preserve"> Core Nodes in the 2021–2024 Applicant Sub-network</w:t>
      </w: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6453"/>
      </w:tblGrid>
      <w:tr w14:paraId="393C0DA4">
        <w:tc>
          <w:tcPr>
            <w:tcW w:w="1843" w:type="dxa"/>
            <w:tcBorders>
              <w:top w:val="single" w:color="auto" w:sz="8" w:space="0"/>
              <w:bottom w:val="single" w:color="auto" w:sz="4" w:space="0"/>
            </w:tcBorders>
          </w:tcPr>
          <w:p w14:paraId="48D3F313">
            <w:r>
              <w:t>Degree Centrality Value</w:t>
            </w:r>
          </w:p>
        </w:tc>
        <w:tc>
          <w:tcPr>
            <w:tcW w:w="6453" w:type="dxa"/>
            <w:tcBorders>
              <w:top w:val="single" w:color="auto" w:sz="8" w:space="0"/>
              <w:bottom w:val="single" w:color="auto" w:sz="4" w:space="0"/>
            </w:tcBorders>
          </w:tcPr>
          <w:p w14:paraId="0620F3F7">
            <w:r>
              <w:t>Applicant</w:t>
            </w:r>
          </w:p>
        </w:tc>
      </w:tr>
      <w:tr w14:paraId="7C0A2467">
        <w:tc>
          <w:tcPr>
            <w:tcW w:w="1843" w:type="dxa"/>
            <w:tcBorders>
              <w:top w:val="single" w:color="auto" w:sz="4" w:space="0"/>
              <w:bottom w:val="nil"/>
            </w:tcBorders>
          </w:tcPr>
          <w:p w14:paraId="4FE42E49">
            <w:r>
              <w:t>9</w:t>
            </w:r>
          </w:p>
        </w:tc>
        <w:tc>
          <w:tcPr>
            <w:tcW w:w="6453" w:type="dxa"/>
            <w:tcBorders>
              <w:top w:val="single" w:color="auto" w:sz="4" w:space="0"/>
              <w:bottom w:val="nil"/>
            </w:tcBorders>
          </w:tcPr>
          <w:p w14:paraId="7FD07AF6">
            <w:r>
              <w:t>South China Agricultural University</w:t>
            </w:r>
          </w:p>
        </w:tc>
      </w:tr>
      <w:tr w14:paraId="024A9337">
        <w:tc>
          <w:tcPr>
            <w:tcW w:w="1843" w:type="dxa"/>
            <w:tcBorders>
              <w:top w:val="nil"/>
              <w:bottom w:val="nil"/>
            </w:tcBorders>
          </w:tcPr>
          <w:p w14:paraId="2C237922">
            <w:r>
              <w:t>4</w:t>
            </w:r>
          </w:p>
        </w:tc>
        <w:tc>
          <w:tcPr>
            <w:tcW w:w="6453" w:type="dxa"/>
            <w:tcBorders>
              <w:top w:val="nil"/>
              <w:bottom w:val="nil"/>
            </w:tcBorders>
          </w:tcPr>
          <w:p w14:paraId="67EACE9D">
            <w:r>
              <w:t>Guangdong Pharmaceutical University</w:t>
            </w:r>
          </w:p>
          <w:p w14:paraId="36053EE4">
            <w:r>
              <w:t>South China University of Technology</w:t>
            </w:r>
          </w:p>
        </w:tc>
      </w:tr>
      <w:tr w14:paraId="3F6EB707">
        <w:tc>
          <w:tcPr>
            <w:tcW w:w="1843" w:type="dxa"/>
            <w:tcBorders>
              <w:top w:val="nil"/>
              <w:bottom w:val="nil"/>
            </w:tcBorders>
          </w:tcPr>
          <w:p w14:paraId="01FE450E">
            <w:r>
              <w:t>3</w:t>
            </w:r>
          </w:p>
        </w:tc>
        <w:tc>
          <w:tcPr>
            <w:tcW w:w="6453" w:type="dxa"/>
            <w:tcBorders>
              <w:top w:val="nil"/>
              <w:bottom w:val="nil"/>
            </w:tcBorders>
          </w:tcPr>
          <w:p w14:paraId="12ABD3AD">
            <w:r>
              <w:t>Guangdong Institute of Poultry Science</w:t>
            </w:r>
          </w:p>
          <w:p w14:paraId="64E4570D">
            <w:r>
              <w:t>Guangdong University of Technology</w:t>
            </w:r>
          </w:p>
          <w:p w14:paraId="26EC83AE">
            <w:r>
              <w:t>Guangzhou Institute of Respiratory Health</w:t>
            </w:r>
          </w:p>
          <w:p w14:paraId="5A84786F">
            <w:r>
              <w:t>Guangzhou Lianrui Pharmaceutical Co., Ltd.</w:t>
            </w:r>
          </w:p>
          <w:p w14:paraId="270D2C71">
            <w:r>
              <w:t>Guangdong Provincial Hospital of Traditional Chinese Medicine</w:t>
            </w:r>
          </w:p>
        </w:tc>
      </w:tr>
      <w:tr w14:paraId="3C96A6A4">
        <w:tc>
          <w:tcPr>
            <w:tcW w:w="1843" w:type="dxa"/>
            <w:tcBorders>
              <w:top w:val="nil"/>
              <w:bottom w:val="single" w:color="auto" w:sz="8" w:space="0"/>
            </w:tcBorders>
          </w:tcPr>
          <w:p w14:paraId="1570686E">
            <w:r>
              <w:t>2</w:t>
            </w:r>
          </w:p>
        </w:tc>
        <w:tc>
          <w:tcPr>
            <w:tcW w:w="6453" w:type="dxa"/>
            <w:tcBorders>
              <w:top w:val="nil"/>
              <w:bottom w:val="single" w:color="auto" w:sz="8" w:space="0"/>
            </w:tcBorders>
          </w:tcPr>
          <w:p w14:paraId="1462F21F">
            <w:r>
              <w:t>Sun Yat-sen University</w:t>
            </w:r>
          </w:p>
          <w:p w14:paraId="32EF3E8B">
            <w:r>
              <w:t>Guangzhou Huaxia Biopharmaceutical Co., Ltd.</w:t>
            </w:r>
          </w:p>
          <w:p w14:paraId="1F3F2594">
            <w:r>
              <w:t>Sericultural &amp; Agri-Food Research Institute, Guangdong Academy of Agricultural Sciences</w:t>
            </w:r>
          </w:p>
          <w:p w14:paraId="54915264">
            <w:r>
              <w:t>Guangzhou Beta Health Biotechnology Co., Ltd.</w:t>
            </w:r>
          </w:p>
          <w:p w14:paraId="6612A5EF">
            <w:r>
              <w:t>South China Collaborative Innovation Institute</w:t>
            </w:r>
          </w:p>
          <w:p w14:paraId="7474B955">
            <w:r>
              <w:t>Guangzhou New Journey Biotechnology Co., Ltd.</w:t>
            </w:r>
          </w:p>
          <w:p w14:paraId="3CF6E738">
            <w:r>
              <w:t>Guangzhou New Journey Life Science Co., Ltd.</w:t>
            </w:r>
          </w:p>
          <w:p w14:paraId="67111433">
            <w:r>
              <w:t>Guangzhou New Journey Life Science Research Institute</w:t>
            </w:r>
          </w:p>
          <w:p w14:paraId="1540E5F6">
            <w:r>
              <w:t>Lebi (Guangzhou) Health Industry Co., Ltd.</w:t>
            </w:r>
          </w:p>
          <w:p w14:paraId="75C2C463">
            <w:r>
              <w:t>Shenzhen Center for Disease Control and Prevention</w:t>
            </w:r>
          </w:p>
          <w:p w14:paraId="4BF508BE">
            <w:r>
              <w:t>Zhongshan Zhongzhi Pharmaceutical Group Co., Ltd.</w:t>
            </w:r>
          </w:p>
          <w:p w14:paraId="125D47C1">
            <w:r>
              <w:t>Guangdong Yifang Pharmaceutical Co., Ltd.</w:t>
            </w:r>
          </w:p>
          <w:p w14:paraId="1F966BB7">
            <w:r>
              <w:t>First Affiliated Hospital of Guangzhou Medical University</w:t>
            </w:r>
          </w:p>
          <w:p w14:paraId="68AF1296">
            <w:r>
              <w:t>Guangdong Institute of Microbiology</w:t>
            </w:r>
          </w:p>
          <w:p w14:paraId="1F68ECCB">
            <w:r>
              <w:t>University of Macau</w:t>
            </w:r>
          </w:p>
          <w:p w14:paraId="1750FB98">
            <w:r>
              <w:t>Wuyi University</w:t>
            </w:r>
          </w:p>
          <w:p w14:paraId="18D0B383">
            <w:r>
              <w:t>Guangdong Xinbaotang Biotechnology Co., Ltd.</w:t>
            </w:r>
          </w:p>
          <w:p w14:paraId="19837266">
            <w:r>
              <w:t>Perfect (Guangdong) Daily Necessities Co., Ltd.</w:t>
            </w:r>
          </w:p>
          <w:p w14:paraId="62C8634F">
            <w:r>
              <w:t>Foshan Hospital of Traditional Chinese Medicine</w:t>
            </w:r>
          </w:p>
        </w:tc>
      </w:tr>
    </w:tbl>
    <w:p w14:paraId="7A83AC5A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Note: Only data with degree centrality ≥ 2 are shown due to space limitations.</w:t>
      </w:r>
    </w:p>
    <w:p w14:paraId="28EEF2B4"/>
    <w:p w14:paraId="351BDFF9">
      <w:pPr>
        <w:pStyle w:val="3"/>
        <w:keepNext/>
        <w:jc w:val="center"/>
        <w:rPr>
          <w:rFonts w:ascii="Times New Roman" w:hAnsi="Times New Roman" w:cs="Times New Roman"/>
          <w:sz w:val="21"/>
          <w:szCs w:val="21"/>
        </w:rPr>
      </w:pPr>
      <w:bookmarkStart w:id="19" w:name="_Ref233128114"/>
      <w:r>
        <w:rPr>
          <w:rFonts w:ascii="Times New Roman" w:hAnsi="Times New Roman" w:cs="Times New Roman"/>
          <w:sz w:val="21"/>
          <w:szCs w:val="21"/>
        </w:rPr>
        <w:t>Table A</w:t>
      </w:r>
      <w:r>
        <w:rPr>
          <w:rFonts w:ascii="Times New Roman" w:hAnsi="Times New Roman" w:cs="Times New Roman"/>
          <w:sz w:val="21"/>
          <w:szCs w:val="21"/>
        </w:rPr>
        <w:fldChar w:fldCharType="begin"/>
      </w:r>
      <w:r>
        <w:rPr>
          <w:rFonts w:ascii="Times New Roman" w:hAnsi="Times New Roman" w:cs="Times New Roman"/>
          <w:sz w:val="21"/>
          <w:szCs w:val="21"/>
        </w:rPr>
        <w:instrText xml:space="preserve"> SEQ Table_A \* ARABIC </w:instrText>
      </w:r>
      <w:r>
        <w:rPr>
          <w:rFonts w:ascii="Times New Roman" w:hAnsi="Times New Roman" w:cs="Times New Roman"/>
          <w:sz w:val="21"/>
          <w:szCs w:val="21"/>
        </w:rPr>
        <w:fldChar w:fldCharType="separate"/>
      </w:r>
      <w:r>
        <w:rPr>
          <w:rFonts w:hint="eastAsia" w:ascii="Times New Roman" w:hAnsi="Times New Roman" w:cs="Times New Roman"/>
          <w:sz w:val="21"/>
          <w:szCs w:val="21"/>
        </w:rPr>
        <w:t>16</w:t>
      </w:r>
      <w:r>
        <w:rPr>
          <w:rFonts w:ascii="Times New Roman" w:hAnsi="Times New Roman" w:cs="Times New Roman"/>
          <w:sz w:val="21"/>
          <w:szCs w:val="21"/>
        </w:rPr>
        <w:fldChar w:fldCharType="end"/>
      </w:r>
      <w:bookmarkEnd w:id="19"/>
      <w:r>
        <w:rPr>
          <w:rFonts w:ascii="Times New Roman" w:hAnsi="Times New Roman" w:cs="Times New Roman"/>
          <w:sz w:val="21"/>
          <w:szCs w:val="21"/>
        </w:rPr>
        <w:t xml:space="preserve"> Network Density of Cities by Phase</w:t>
      </w:r>
    </w:p>
    <w:tbl>
      <w:tblPr>
        <w:tblStyle w:val="7"/>
        <w:tblW w:w="0" w:type="auto"/>
        <w:tblInd w:w="0" w:type="dxa"/>
        <w:tblBorders>
          <w:top w:val="single" w:color="auto" w:sz="8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2765"/>
        <w:gridCol w:w="2766"/>
      </w:tblGrid>
      <w:tr w14:paraId="5D40DDB7">
        <w:tc>
          <w:tcPr>
            <w:tcW w:w="2765" w:type="dxa"/>
            <w:tcBorders>
              <w:top w:val="single" w:color="auto" w:sz="8" w:space="0"/>
              <w:bottom w:val="single" w:color="auto" w:sz="4" w:space="0"/>
            </w:tcBorders>
          </w:tcPr>
          <w:p w14:paraId="2619F7DE">
            <w:pPr>
              <w:jc w:val="center"/>
              <w:rPr>
                <w:b/>
                <w:bCs/>
                <w:kern w:val="0"/>
                <w:sz w:val="20"/>
                <w:szCs w:val="21"/>
              </w:rPr>
            </w:pPr>
            <w:r>
              <w:rPr>
                <w:b/>
                <w:bCs/>
                <w:kern w:val="0"/>
                <w:sz w:val="20"/>
                <w:szCs w:val="21"/>
              </w:rPr>
              <w:t>Phase</w:t>
            </w:r>
          </w:p>
        </w:tc>
        <w:tc>
          <w:tcPr>
            <w:tcW w:w="2765" w:type="dxa"/>
            <w:tcBorders>
              <w:top w:val="single" w:color="auto" w:sz="8" w:space="0"/>
              <w:bottom w:val="single" w:color="auto" w:sz="4" w:space="0"/>
            </w:tcBorders>
          </w:tcPr>
          <w:p w14:paraId="4D46CCAD">
            <w:pPr>
              <w:jc w:val="center"/>
              <w:rPr>
                <w:b/>
                <w:bCs/>
                <w:kern w:val="0"/>
                <w:sz w:val="20"/>
                <w:szCs w:val="21"/>
              </w:rPr>
            </w:pPr>
            <w:r>
              <w:rPr>
                <w:b/>
                <w:bCs/>
                <w:kern w:val="0"/>
                <w:sz w:val="20"/>
                <w:szCs w:val="21"/>
              </w:rPr>
              <w:t>Network Density</w:t>
            </w:r>
          </w:p>
        </w:tc>
        <w:tc>
          <w:tcPr>
            <w:tcW w:w="2766" w:type="dxa"/>
            <w:tcBorders>
              <w:top w:val="single" w:color="auto" w:sz="8" w:space="0"/>
              <w:bottom w:val="single" w:color="auto" w:sz="4" w:space="0"/>
            </w:tcBorders>
          </w:tcPr>
          <w:p w14:paraId="3026D833">
            <w:pPr>
              <w:jc w:val="center"/>
              <w:rPr>
                <w:b/>
                <w:bCs/>
                <w:kern w:val="0"/>
                <w:sz w:val="20"/>
                <w:szCs w:val="21"/>
              </w:rPr>
            </w:pPr>
            <w:r>
              <w:rPr>
                <w:b/>
                <w:bCs/>
                <w:kern w:val="0"/>
                <w:sz w:val="20"/>
                <w:szCs w:val="21"/>
              </w:rPr>
              <w:t>Number of Edges</w:t>
            </w:r>
          </w:p>
        </w:tc>
      </w:tr>
      <w:tr w14:paraId="2B887B1E">
        <w:tc>
          <w:tcPr>
            <w:tcW w:w="2765" w:type="dxa"/>
            <w:tcBorders>
              <w:top w:val="single" w:color="auto" w:sz="4" w:space="0"/>
              <w:bottom w:val="nil"/>
            </w:tcBorders>
          </w:tcPr>
          <w:p w14:paraId="1C86905F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2016—2020</w:t>
            </w:r>
          </w:p>
        </w:tc>
        <w:tc>
          <w:tcPr>
            <w:tcW w:w="2765" w:type="dxa"/>
            <w:tcBorders>
              <w:top w:val="single" w:color="auto" w:sz="4" w:space="0"/>
              <w:bottom w:val="nil"/>
            </w:tcBorders>
          </w:tcPr>
          <w:p w14:paraId="715D4CA6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0.0381</w:t>
            </w:r>
          </w:p>
        </w:tc>
        <w:tc>
          <w:tcPr>
            <w:tcW w:w="2766" w:type="dxa"/>
            <w:tcBorders>
              <w:top w:val="single" w:color="auto" w:sz="4" w:space="0"/>
              <w:bottom w:val="nil"/>
            </w:tcBorders>
          </w:tcPr>
          <w:p w14:paraId="235268BA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8</w:t>
            </w:r>
          </w:p>
        </w:tc>
      </w:tr>
      <w:tr w14:paraId="23B0896D">
        <w:tc>
          <w:tcPr>
            <w:tcW w:w="2765" w:type="dxa"/>
            <w:tcBorders>
              <w:top w:val="nil"/>
              <w:bottom w:val="single" w:color="auto" w:sz="8" w:space="0"/>
            </w:tcBorders>
          </w:tcPr>
          <w:p w14:paraId="2DE7F5AE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2021—2024</w:t>
            </w:r>
          </w:p>
        </w:tc>
        <w:tc>
          <w:tcPr>
            <w:tcW w:w="2765" w:type="dxa"/>
            <w:tcBorders>
              <w:top w:val="nil"/>
              <w:bottom w:val="single" w:color="auto" w:sz="8" w:space="0"/>
            </w:tcBorders>
          </w:tcPr>
          <w:p w14:paraId="36C8EE80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0.0956</w:t>
            </w:r>
          </w:p>
        </w:tc>
        <w:tc>
          <w:tcPr>
            <w:tcW w:w="2766" w:type="dxa"/>
            <w:tcBorders>
              <w:top w:val="nil"/>
              <w:bottom w:val="single" w:color="auto" w:sz="8" w:space="0"/>
            </w:tcBorders>
          </w:tcPr>
          <w:p w14:paraId="5572799E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26</w:t>
            </w:r>
          </w:p>
        </w:tc>
      </w:tr>
    </w:tbl>
    <w:p w14:paraId="4694EB12">
      <w:pPr>
        <w:pStyle w:val="3"/>
        <w:keepNext/>
        <w:jc w:val="center"/>
        <w:rPr>
          <w:rFonts w:ascii="Times New Roman" w:hAnsi="Times New Roman" w:cs="Times New Roman"/>
          <w:sz w:val="21"/>
          <w:szCs w:val="21"/>
        </w:rPr>
      </w:pPr>
      <w:bookmarkStart w:id="20" w:name="_Ref224129935"/>
    </w:p>
    <w:bookmarkEnd w:id="20"/>
    <w:p w14:paraId="2644FD49">
      <w:pPr>
        <w:pStyle w:val="3"/>
        <w:keepNext/>
        <w:jc w:val="center"/>
        <w:rPr>
          <w:rFonts w:ascii="Times New Roman" w:hAnsi="Times New Roman" w:cs="Times New Roman"/>
          <w:sz w:val="21"/>
          <w:szCs w:val="21"/>
        </w:rPr>
      </w:pPr>
      <w:bookmarkStart w:id="21" w:name="_Ref233128124"/>
      <w:r>
        <w:rPr>
          <w:rFonts w:ascii="Times New Roman" w:hAnsi="Times New Roman" w:cs="Times New Roman"/>
          <w:sz w:val="21"/>
          <w:szCs w:val="21"/>
        </w:rPr>
        <w:t>Table A</w:t>
      </w:r>
      <w:r>
        <w:rPr>
          <w:rFonts w:ascii="Times New Roman" w:hAnsi="Times New Roman" w:cs="Times New Roman"/>
          <w:sz w:val="21"/>
          <w:szCs w:val="21"/>
        </w:rPr>
        <w:fldChar w:fldCharType="begin"/>
      </w:r>
      <w:r>
        <w:rPr>
          <w:rFonts w:ascii="Times New Roman" w:hAnsi="Times New Roman" w:cs="Times New Roman"/>
          <w:sz w:val="21"/>
          <w:szCs w:val="21"/>
        </w:rPr>
        <w:instrText xml:space="preserve"> SEQ Table_A \* ARABIC </w:instrText>
      </w:r>
      <w:r>
        <w:rPr>
          <w:rFonts w:ascii="Times New Roman" w:hAnsi="Times New Roman" w:cs="Times New Roman"/>
          <w:sz w:val="21"/>
          <w:szCs w:val="21"/>
        </w:rPr>
        <w:fldChar w:fldCharType="separate"/>
      </w:r>
      <w:r>
        <w:rPr>
          <w:rFonts w:hint="eastAsia" w:ascii="Times New Roman" w:hAnsi="Times New Roman" w:cs="Times New Roman"/>
          <w:sz w:val="21"/>
          <w:szCs w:val="21"/>
        </w:rPr>
        <w:t>17</w:t>
      </w:r>
      <w:r>
        <w:rPr>
          <w:rFonts w:ascii="Times New Roman" w:hAnsi="Times New Roman" w:cs="Times New Roman"/>
          <w:sz w:val="21"/>
          <w:szCs w:val="21"/>
        </w:rPr>
        <w:fldChar w:fldCharType="end"/>
      </w:r>
      <w:bookmarkEnd w:id="21"/>
      <w:r>
        <w:rPr>
          <w:rFonts w:hint="eastAsia"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Centrality of Cities by Phase</w:t>
      </w: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1"/>
        <w:gridCol w:w="1116"/>
        <w:gridCol w:w="1088"/>
        <w:gridCol w:w="1181"/>
        <w:gridCol w:w="1277"/>
        <w:gridCol w:w="69"/>
        <w:gridCol w:w="1115"/>
        <w:gridCol w:w="1115"/>
      </w:tblGrid>
      <w:tr w14:paraId="2A4E7DC5">
        <w:tc>
          <w:tcPr>
            <w:tcW w:w="1151" w:type="dxa"/>
            <w:tcBorders>
              <w:top w:val="single" w:color="auto" w:sz="8" w:space="0"/>
              <w:bottom w:val="single" w:color="auto" w:sz="4" w:space="0"/>
            </w:tcBorders>
          </w:tcPr>
          <w:p w14:paraId="706D747A">
            <w:pPr>
              <w:jc w:val="center"/>
              <w:rPr>
                <w:b/>
                <w:bCs/>
                <w:kern w:val="0"/>
                <w:sz w:val="20"/>
                <w:szCs w:val="21"/>
              </w:rPr>
            </w:pPr>
            <w:r>
              <w:rPr>
                <w:b/>
                <w:bCs/>
                <w:kern w:val="0"/>
                <w:sz w:val="20"/>
                <w:szCs w:val="21"/>
              </w:rPr>
              <w:t>Applicant City</w:t>
            </w:r>
          </w:p>
        </w:tc>
        <w:tc>
          <w:tcPr>
            <w:tcW w:w="2228" w:type="dxa"/>
            <w:gridSpan w:val="2"/>
            <w:tcBorders>
              <w:top w:val="single" w:color="auto" w:sz="8" w:space="0"/>
              <w:bottom w:val="single" w:color="auto" w:sz="4" w:space="0"/>
            </w:tcBorders>
          </w:tcPr>
          <w:p w14:paraId="321A5871">
            <w:pPr>
              <w:jc w:val="center"/>
              <w:rPr>
                <w:b/>
                <w:bCs/>
                <w:kern w:val="0"/>
                <w:sz w:val="20"/>
                <w:szCs w:val="21"/>
              </w:rPr>
            </w:pPr>
            <w:r>
              <w:rPr>
                <w:b/>
                <w:bCs/>
                <w:kern w:val="0"/>
                <w:sz w:val="20"/>
                <w:szCs w:val="21"/>
              </w:rPr>
              <w:t>Degree Centrality</w:t>
            </w:r>
          </w:p>
        </w:tc>
        <w:tc>
          <w:tcPr>
            <w:tcW w:w="2550" w:type="dxa"/>
            <w:gridSpan w:val="2"/>
            <w:tcBorders>
              <w:top w:val="single" w:color="auto" w:sz="8" w:space="0"/>
              <w:bottom w:val="single" w:color="auto" w:sz="4" w:space="0"/>
            </w:tcBorders>
          </w:tcPr>
          <w:p w14:paraId="37BFC516">
            <w:pPr>
              <w:jc w:val="center"/>
              <w:rPr>
                <w:b/>
                <w:bCs/>
                <w:kern w:val="0"/>
                <w:sz w:val="20"/>
                <w:szCs w:val="21"/>
              </w:rPr>
            </w:pPr>
            <w:r>
              <w:rPr>
                <w:b/>
                <w:bCs/>
                <w:kern w:val="0"/>
                <w:sz w:val="20"/>
                <w:szCs w:val="21"/>
              </w:rPr>
              <w:t>Closeness Centrality</w:t>
            </w:r>
          </w:p>
        </w:tc>
        <w:tc>
          <w:tcPr>
            <w:tcW w:w="2377" w:type="dxa"/>
            <w:gridSpan w:val="3"/>
            <w:tcBorders>
              <w:top w:val="single" w:color="auto" w:sz="8" w:space="0"/>
              <w:bottom w:val="single" w:color="auto" w:sz="4" w:space="0"/>
            </w:tcBorders>
          </w:tcPr>
          <w:p w14:paraId="52F8B542">
            <w:pPr>
              <w:jc w:val="center"/>
              <w:rPr>
                <w:b/>
                <w:bCs/>
                <w:kern w:val="0"/>
                <w:sz w:val="20"/>
                <w:szCs w:val="21"/>
              </w:rPr>
            </w:pPr>
            <w:r>
              <w:rPr>
                <w:b/>
                <w:bCs/>
                <w:kern w:val="0"/>
                <w:sz w:val="20"/>
                <w:szCs w:val="21"/>
              </w:rPr>
              <w:t>Betweenness Centrality</w:t>
            </w:r>
          </w:p>
        </w:tc>
      </w:tr>
      <w:tr w14:paraId="51A291CF">
        <w:tc>
          <w:tcPr>
            <w:tcW w:w="1151" w:type="dxa"/>
            <w:tcBorders>
              <w:top w:val="single" w:color="auto" w:sz="4" w:space="0"/>
              <w:bottom w:val="nil"/>
            </w:tcBorders>
          </w:tcPr>
          <w:p w14:paraId="203BAB69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Phase</w:t>
            </w:r>
          </w:p>
        </w:tc>
        <w:tc>
          <w:tcPr>
            <w:tcW w:w="1107" w:type="dxa"/>
            <w:tcBorders>
              <w:top w:val="single" w:color="auto" w:sz="4" w:space="0"/>
              <w:bottom w:val="nil"/>
            </w:tcBorders>
          </w:tcPr>
          <w:p w14:paraId="2C2BA181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2016–2020</w:t>
            </w:r>
          </w:p>
        </w:tc>
        <w:tc>
          <w:tcPr>
            <w:tcW w:w="1121" w:type="dxa"/>
            <w:tcBorders>
              <w:top w:val="single" w:color="auto" w:sz="4" w:space="0"/>
              <w:bottom w:val="nil"/>
            </w:tcBorders>
          </w:tcPr>
          <w:p w14:paraId="20DF9AD8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2021</w:t>
            </w:r>
          </w:p>
          <w:p w14:paraId="3D442729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–2024</w:t>
            </w:r>
          </w:p>
        </w:tc>
        <w:tc>
          <w:tcPr>
            <w:tcW w:w="1223" w:type="dxa"/>
            <w:tcBorders>
              <w:top w:val="single" w:color="auto" w:sz="4" w:space="0"/>
              <w:bottom w:val="nil"/>
            </w:tcBorders>
          </w:tcPr>
          <w:p w14:paraId="7A9F2FCD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2016</w:t>
            </w:r>
          </w:p>
          <w:p w14:paraId="47F9B87E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–2020</w:t>
            </w:r>
          </w:p>
        </w:tc>
        <w:tc>
          <w:tcPr>
            <w:tcW w:w="1327" w:type="dxa"/>
            <w:tcBorders>
              <w:top w:val="single" w:color="auto" w:sz="4" w:space="0"/>
              <w:bottom w:val="nil"/>
            </w:tcBorders>
          </w:tcPr>
          <w:p w14:paraId="52279EB3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2021</w:t>
            </w:r>
          </w:p>
          <w:p w14:paraId="55002C91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–2024</w:t>
            </w:r>
          </w:p>
        </w:tc>
        <w:tc>
          <w:tcPr>
            <w:tcW w:w="1226" w:type="dxa"/>
            <w:gridSpan w:val="2"/>
            <w:tcBorders>
              <w:top w:val="single" w:color="auto" w:sz="4" w:space="0"/>
              <w:bottom w:val="nil"/>
            </w:tcBorders>
          </w:tcPr>
          <w:p w14:paraId="02BA93F7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2016</w:t>
            </w:r>
          </w:p>
          <w:p w14:paraId="4ACB23AD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–2020</w:t>
            </w:r>
          </w:p>
        </w:tc>
        <w:tc>
          <w:tcPr>
            <w:tcW w:w="1151" w:type="dxa"/>
            <w:tcBorders>
              <w:top w:val="single" w:color="auto" w:sz="4" w:space="0"/>
              <w:bottom w:val="nil"/>
            </w:tcBorders>
          </w:tcPr>
          <w:p w14:paraId="6E247F7C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2021</w:t>
            </w:r>
          </w:p>
          <w:p w14:paraId="093BAE83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–2024</w:t>
            </w:r>
          </w:p>
        </w:tc>
      </w:tr>
      <w:tr w14:paraId="69EB246B">
        <w:tc>
          <w:tcPr>
            <w:tcW w:w="1151" w:type="dxa"/>
            <w:tcBorders>
              <w:top w:val="nil"/>
              <w:bottom w:val="nil"/>
            </w:tcBorders>
          </w:tcPr>
          <w:p w14:paraId="64C09135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Guangzhou</w:t>
            </w:r>
          </w:p>
        </w:tc>
        <w:tc>
          <w:tcPr>
            <w:tcW w:w="1107" w:type="dxa"/>
            <w:tcBorders>
              <w:top w:val="nil"/>
              <w:bottom w:val="nil"/>
            </w:tcBorders>
          </w:tcPr>
          <w:p w14:paraId="4A8F8461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21.43</w:t>
            </w:r>
          </w:p>
        </w:tc>
        <w:tc>
          <w:tcPr>
            <w:tcW w:w="1121" w:type="dxa"/>
            <w:tcBorders>
              <w:top w:val="nil"/>
              <w:bottom w:val="nil"/>
            </w:tcBorders>
          </w:tcPr>
          <w:p w14:paraId="7ED66D2D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93.75</w:t>
            </w:r>
          </w:p>
        </w:tc>
        <w:tc>
          <w:tcPr>
            <w:tcW w:w="1223" w:type="dxa"/>
            <w:tcBorders>
              <w:top w:val="nil"/>
              <w:bottom w:val="nil"/>
            </w:tcBorders>
          </w:tcPr>
          <w:p w14:paraId="032765CA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11.97</w:t>
            </w:r>
          </w:p>
        </w:tc>
        <w:tc>
          <w:tcPr>
            <w:tcW w:w="1327" w:type="dxa"/>
            <w:tcBorders>
              <w:top w:val="nil"/>
              <w:bottom w:val="nil"/>
            </w:tcBorders>
          </w:tcPr>
          <w:p w14:paraId="1978B566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94.12</w:t>
            </w:r>
          </w:p>
        </w:tc>
        <w:tc>
          <w:tcPr>
            <w:tcW w:w="1226" w:type="dxa"/>
            <w:gridSpan w:val="2"/>
            <w:tcBorders>
              <w:top w:val="nil"/>
              <w:bottom w:val="nil"/>
            </w:tcBorders>
          </w:tcPr>
          <w:p w14:paraId="46D3DAAE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15.38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487920C6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93.47</w:t>
            </w:r>
          </w:p>
        </w:tc>
      </w:tr>
      <w:tr w14:paraId="0126D7DE">
        <w:tc>
          <w:tcPr>
            <w:tcW w:w="1151" w:type="dxa"/>
            <w:tcBorders>
              <w:top w:val="nil"/>
            </w:tcBorders>
          </w:tcPr>
          <w:p w14:paraId="7CE10A90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Jiangmen</w:t>
            </w:r>
          </w:p>
        </w:tc>
        <w:tc>
          <w:tcPr>
            <w:tcW w:w="1107" w:type="dxa"/>
            <w:tcBorders>
              <w:top w:val="nil"/>
            </w:tcBorders>
          </w:tcPr>
          <w:p w14:paraId="605F3384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</w:t>
            </w:r>
          </w:p>
        </w:tc>
        <w:tc>
          <w:tcPr>
            <w:tcW w:w="1121" w:type="dxa"/>
            <w:tcBorders>
              <w:top w:val="nil"/>
            </w:tcBorders>
          </w:tcPr>
          <w:p w14:paraId="3F483CE0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6.25</w:t>
            </w:r>
          </w:p>
        </w:tc>
        <w:tc>
          <w:tcPr>
            <w:tcW w:w="1223" w:type="dxa"/>
            <w:tcBorders>
              <w:top w:val="nil"/>
            </w:tcBorders>
          </w:tcPr>
          <w:p w14:paraId="515422C2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–</w:t>
            </w:r>
          </w:p>
        </w:tc>
        <w:tc>
          <w:tcPr>
            <w:tcW w:w="1327" w:type="dxa"/>
            <w:tcBorders>
              <w:top w:val="nil"/>
            </w:tcBorders>
          </w:tcPr>
          <w:p w14:paraId="23C64DF6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50.00</w:t>
            </w:r>
          </w:p>
        </w:tc>
        <w:tc>
          <w:tcPr>
            <w:tcW w:w="1226" w:type="dxa"/>
            <w:gridSpan w:val="2"/>
            <w:tcBorders>
              <w:top w:val="nil"/>
            </w:tcBorders>
          </w:tcPr>
          <w:p w14:paraId="09A995E9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</w:t>
            </w:r>
          </w:p>
        </w:tc>
        <w:tc>
          <w:tcPr>
            <w:tcW w:w="1151" w:type="dxa"/>
            <w:tcBorders>
              <w:top w:val="nil"/>
            </w:tcBorders>
          </w:tcPr>
          <w:p w14:paraId="49E8C052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</w:t>
            </w:r>
          </w:p>
        </w:tc>
      </w:tr>
      <w:tr w14:paraId="6DADD31A">
        <w:tc>
          <w:tcPr>
            <w:tcW w:w="1151" w:type="dxa"/>
          </w:tcPr>
          <w:p w14:paraId="4A341D77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Shenzhen</w:t>
            </w:r>
          </w:p>
        </w:tc>
        <w:tc>
          <w:tcPr>
            <w:tcW w:w="1107" w:type="dxa"/>
          </w:tcPr>
          <w:p w14:paraId="4C5B3273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14.29</w:t>
            </w:r>
          </w:p>
        </w:tc>
        <w:tc>
          <w:tcPr>
            <w:tcW w:w="1121" w:type="dxa"/>
          </w:tcPr>
          <w:p w14:paraId="61AB515F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18.75</w:t>
            </w:r>
          </w:p>
        </w:tc>
        <w:tc>
          <w:tcPr>
            <w:tcW w:w="1223" w:type="dxa"/>
          </w:tcPr>
          <w:p w14:paraId="045DA36D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11.57</w:t>
            </w:r>
          </w:p>
        </w:tc>
        <w:tc>
          <w:tcPr>
            <w:tcW w:w="1327" w:type="dxa"/>
          </w:tcPr>
          <w:p w14:paraId="17532E05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53.33</w:t>
            </w:r>
          </w:p>
        </w:tc>
        <w:tc>
          <w:tcPr>
            <w:tcW w:w="1226" w:type="dxa"/>
            <w:gridSpan w:val="2"/>
          </w:tcPr>
          <w:p w14:paraId="6D1929BD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6.59</w:t>
            </w:r>
          </w:p>
        </w:tc>
        <w:tc>
          <w:tcPr>
            <w:tcW w:w="1151" w:type="dxa"/>
          </w:tcPr>
          <w:p w14:paraId="79633324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0.42</w:t>
            </w:r>
          </w:p>
        </w:tc>
      </w:tr>
      <w:tr w14:paraId="5107EEB6">
        <w:tc>
          <w:tcPr>
            <w:tcW w:w="1151" w:type="dxa"/>
          </w:tcPr>
          <w:p w14:paraId="4088835B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Dongguan</w:t>
            </w:r>
          </w:p>
        </w:tc>
        <w:tc>
          <w:tcPr>
            <w:tcW w:w="1107" w:type="dxa"/>
          </w:tcPr>
          <w:p w14:paraId="50241E16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</w:t>
            </w:r>
          </w:p>
        </w:tc>
        <w:tc>
          <w:tcPr>
            <w:tcW w:w="1121" w:type="dxa"/>
          </w:tcPr>
          <w:p w14:paraId="14A31EA4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6.25</w:t>
            </w:r>
          </w:p>
        </w:tc>
        <w:tc>
          <w:tcPr>
            <w:tcW w:w="1223" w:type="dxa"/>
          </w:tcPr>
          <w:p w14:paraId="50DB3B97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–</w:t>
            </w:r>
          </w:p>
        </w:tc>
        <w:tc>
          <w:tcPr>
            <w:tcW w:w="1327" w:type="dxa"/>
          </w:tcPr>
          <w:p w14:paraId="0589EAAC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50.00</w:t>
            </w:r>
          </w:p>
        </w:tc>
        <w:tc>
          <w:tcPr>
            <w:tcW w:w="1226" w:type="dxa"/>
            <w:gridSpan w:val="2"/>
          </w:tcPr>
          <w:p w14:paraId="16FC81A8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</w:t>
            </w:r>
          </w:p>
        </w:tc>
        <w:tc>
          <w:tcPr>
            <w:tcW w:w="1151" w:type="dxa"/>
          </w:tcPr>
          <w:p w14:paraId="7006D435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</w:t>
            </w:r>
          </w:p>
        </w:tc>
      </w:tr>
      <w:tr w14:paraId="5CDB957E">
        <w:tc>
          <w:tcPr>
            <w:tcW w:w="1151" w:type="dxa"/>
          </w:tcPr>
          <w:p w14:paraId="385DA6E4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Zhongshan</w:t>
            </w:r>
          </w:p>
        </w:tc>
        <w:tc>
          <w:tcPr>
            <w:tcW w:w="1107" w:type="dxa"/>
          </w:tcPr>
          <w:p w14:paraId="7BD84C72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7.14</w:t>
            </w:r>
          </w:p>
        </w:tc>
        <w:tc>
          <w:tcPr>
            <w:tcW w:w="1121" w:type="dxa"/>
          </w:tcPr>
          <w:p w14:paraId="33F9A687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12.50</w:t>
            </w:r>
          </w:p>
        </w:tc>
        <w:tc>
          <w:tcPr>
            <w:tcW w:w="1223" w:type="dxa"/>
          </w:tcPr>
          <w:p w14:paraId="0B765F4A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11.02</w:t>
            </w:r>
          </w:p>
        </w:tc>
        <w:tc>
          <w:tcPr>
            <w:tcW w:w="1402" w:type="dxa"/>
            <w:gridSpan w:val="2"/>
          </w:tcPr>
          <w:p w14:paraId="57324FFB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53.33</w:t>
            </w:r>
          </w:p>
        </w:tc>
        <w:tc>
          <w:tcPr>
            <w:tcW w:w="1151" w:type="dxa"/>
          </w:tcPr>
          <w:p w14:paraId="40332F91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</w:t>
            </w:r>
          </w:p>
        </w:tc>
        <w:tc>
          <w:tcPr>
            <w:tcW w:w="1151" w:type="dxa"/>
          </w:tcPr>
          <w:p w14:paraId="06B4B049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5.28</w:t>
            </w:r>
          </w:p>
        </w:tc>
      </w:tr>
      <w:tr w14:paraId="1D514DAA">
        <w:tc>
          <w:tcPr>
            <w:tcW w:w="1151" w:type="dxa"/>
          </w:tcPr>
          <w:p w14:paraId="6F02ECB8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Foshan</w:t>
            </w:r>
          </w:p>
        </w:tc>
        <w:tc>
          <w:tcPr>
            <w:tcW w:w="1107" w:type="dxa"/>
          </w:tcPr>
          <w:p w14:paraId="5E4048E7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21.43</w:t>
            </w:r>
          </w:p>
        </w:tc>
        <w:tc>
          <w:tcPr>
            <w:tcW w:w="1121" w:type="dxa"/>
          </w:tcPr>
          <w:p w14:paraId="63399BB6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18.75</w:t>
            </w:r>
          </w:p>
        </w:tc>
        <w:tc>
          <w:tcPr>
            <w:tcW w:w="1223" w:type="dxa"/>
          </w:tcPr>
          <w:p w14:paraId="34176E22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11.97</w:t>
            </w:r>
          </w:p>
        </w:tc>
        <w:tc>
          <w:tcPr>
            <w:tcW w:w="1402" w:type="dxa"/>
            <w:gridSpan w:val="2"/>
          </w:tcPr>
          <w:p w14:paraId="01E8E01A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55.17</w:t>
            </w:r>
          </w:p>
        </w:tc>
        <w:tc>
          <w:tcPr>
            <w:tcW w:w="1151" w:type="dxa"/>
          </w:tcPr>
          <w:p w14:paraId="5DE9FF70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15.38</w:t>
            </w:r>
          </w:p>
        </w:tc>
        <w:tc>
          <w:tcPr>
            <w:tcW w:w="1151" w:type="dxa"/>
          </w:tcPr>
          <w:p w14:paraId="74F95C28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0.69</w:t>
            </w:r>
          </w:p>
        </w:tc>
      </w:tr>
      <w:tr w14:paraId="4DECE806">
        <w:tc>
          <w:tcPr>
            <w:tcW w:w="1151" w:type="dxa"/>
          </w:tcPr>
          <w:p w14:paraId="531D3239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Huizhou</w:t>
            </w:r>
          </w:p>
        </w:tc>
        <w:tc>
          <w:tcPr>
            <w:tcW w:w="1107" w:type="dxa"/>
          </w:tcPr>
          <w:p w14:paraId="221C88C7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</w:t>
            </w:r>
          </w:p>
        </w:tc>
        <w:tc>
          <w:tcPr>
            <w:tcW w:w="1121" w:type="dxa"/>
          </w:tcPr>
          <w:p w14:paraId="3BB80C7D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6.25</w:t>
            </w:r>
          </w:p>
        </w:tc>
        <w:tc>
          <w:tcPr>
            <w:tcW w:w="1223" w:type="dxa"/>
          </w:tcPr>
          <w:p w14:paraId="1EC3FB38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</w:rPr>
              <w:t>–</w:t>
            </w:r>
          </w:p>
        </w:tc>
        <w:tc>
          <w:tcPr>
            <w:tcW w:w="1402" w:type="dxa"/>
            <w:gridSpan w:val="2"/>
          </w:tcPr>
          <w:p w14:paraId="5F8944B8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50.00</w:t>
            </w:r>
          </w:p>
        </w:tc>
        <w:tc>
          <w:tcPr>
            <w:tcW w:w="1151" w:type="dxa"/>
          </w:tcPr>
          <w:p w14:paraId="301E3B95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</w:t>
            </w:r>
          </w:p>
        </w:tc>
        <w:tc>
          <w:tcPr>
            <w:tcW w:w="1151" w:type="dxa"/>
          </w:tcPr>
          <w:p w14:paraId="12E09CD2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</w:t>
            </w:r>
          </w:p>
        </w:tc>
      </w:tr>
      <w:tr w14:paraId="2BEEA0D2">
        <w:tc>
          <w:tcPr>
            <w:tcW w:w="1151" w:type="dxa"/>
          </w:tcPr>
          <w:p w14:paraId="148E0FD0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Zhuhai</w:t>
            </w:r>
          </w:p>
        </w:tc>
        <w:tc>
          <w:tcPr>
            <w:tcW w:w="1107" w:type="dxa"/>
          </w:tcPr>
          <w:p w14:paraId="29016C0A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</w:t>
            </w:r>
          </w:p>
        </w:tc>
        <w:tc>
          <w:tcPr>
            <w:tcW w:w="1121" w:type="dxa"/>
          </w:tcPr>
          <w:p w14:paraId="369A8E6E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6.25</w:t>
            </w:r>
          </w:p>
        </w:tc>
        <w:tc>
          <w:tcPr>
            <w:tcW w:w="1223" w:type="dxa"/>
          </w:tcPr>
          <w:p w14:paraId="6256E0C9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</w:rPr>
              <w:t>–</w:t>
            </w:r>
          </w:p>
        </w:tc>
        <w:tc>
          <w:tcPr>
            <w:tcW w:w="1402" w:type="dxa"/>
            <w:gridSpan w:val="2"/>
          </w:tcPr>
          <w:p w14:paraId="39FA5C28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50.00</w:t>
            </w:r>
          </w:p>
        </w:tc>
        <w:tc>
          <w:tcPr>
            <w:tcW w:w="1151" w:type="dxa"/>
          </w:tcPr>
          <w:p w14:paraId="54AE3BE7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</w:t>
            </w:r>
          </w:p>
        </w:tc>
        <w:tc>
          <w:tcPr>
            <w:tcW w:w="1151" w:type="dxa"/>
          </w:tcPr>
          <w:p w14:paraId="3B3CF0CC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</w:t>
            </w:r>
          </w:p>
        </w:tc>
      </w:tr>
      <w:tr w14:paraId="35D428D0">
        <w:tc>
          <w:tcPr>
            <w:tcW w:w="1151" w:type="dxa"/>
          </w:tcPr>
          <w:p w14:paraId="7C9C628A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Hong Kong</w:t>
            </w:r>
          </w:p>
        </w:tc>
        <w:tc>
          <w:tcPr>
            <w:tcW w:w="1107" w:type="dxa"/>
          </w:tcPr>
          <w:p w14:paraId="167D4890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</w:t>
            </w:r>
          </w:p>
        </w:tc>
        <w:tc>
          <w:tcPr>
            <w:tcW w:w="1121" w:type="dxa"/>
          </w:tcPr>
          <w:p w14:paraId="5F557CAD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18.75</w:t>
            </w:r>
          </w:p>
        </w:tc>
        <w:tc>
          <w:tcPr>
            <w:tcW w:w="1223" w:type="dxa"/>
          </w:tcPr>
          <w:p w14:paraId="6D9CD3CF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</w:rPr>
              <w:t>–</w:t>
            </w:r>
          </w:p>
        </w:tc>
        <w:tc>
          <w:tcPr>
            <w:tcW w:w="1402" w:type="dxa"/>
            <w:gridSpan w:val="2"/>
          </w:tcPr>
          <w:p w14:paraId="347699AC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55.17</w:t>
            </w:r>
          </w:p>
        </w:tc>
        <w:tc>
          <w:tcPr>
            <w:tcW w:w="1151" w:type="dxa"/>
          </w:tcPr>
          <w:p w14:paraId="44F21D7F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</w:t>
            </w:r>
          </w:p>
        </w:tc>
        <w:tc>
          <w:tcPr>
            <w:tcW w:w="1151" w:type="dxa"/>
          </w:tcPr>
          <w:p w14:paraId="17626BF4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6.39</w:t>
            </w:r>
          </w:p>
        </w:tc>
      </w:tr>
      <w:tr w14:paraId="5C6A72F2">
        <w:tc>
          <w:tcPr>
            <w:tcW w:w="1151" w:type="dxa"/>
          </w:tcPr>
          <w:p w14:paraId="272E7DBE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Zhaoqing</w:t>
            </w:r>
          </w:p>
        </w:tc>
        <w:tc>
          <w:tcPr>
            <w:tcW w:w="1107" w:type="dxa"/>
          </w:tcPr>
          <w:p w14:paraId="3D9AB51F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</w:t>
            </w:r>
          </w:p>
        </w:tc>
        <w:tc>
          <w:tcPr>
            <w:tcW w:w="1121" w:type="dxa"/>
          </w:tcPr>
          <w:p w14:paraId="73232A98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12.50</w:t>
            </w:r>
          </w:p>
        </w:tc>
        <w:tc>
          <w:tcPr>
            <w:tcW w:w="1223" w:type="dxa"/>
          </w:tcPr>
          <w:p w14:paraId="2725FC3C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</w:rPr>
              <w:t>–</w:t>
            </w:r>
          </w:p>
        </w:tc>
        <w:tc>
          <w:tcPr>
            <w:tcW w:w="1402" w:type="dxa"/>
            <w:gridSpan w:val="2"/>
          </w:tcPr>
          <w:p w14:paraId="774A5CBD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51.61</w:t>
            </w:r>
          </w:p>
        </w:tc>
        <w:tc>
          <w:tcPr>
            <w:tcW w:w="1151" w:type="dxa"/>
          </w:tcPr>
          <w:p w14:paraId="7AD4C1C8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</w:t>
            </w:r>
          </w:p>
        </w:tc>
        <w:tc>
          <w:tcPr>
            <w:tcW w:w="1151" w:type="dxa"/>
          </w:tcPr>
          <w:p w14:paraId="4F1B1110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</w:t>
            </w:r>
          </w:p>
        </w:tc>
      </w:tr>
      <w:tr w14:paraId="253782BF">
        <w:tc>
          <w:tcPr>
            <w:tcW w:w="1151" w:type="dxa"/>
          </w:tcPr>
          <w:p w14:paraId="7AC88979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Macao</w:t>
            </w:r>
          </w:p>
        </w:tc>
        <w:tc>
          <w:tcPr>
            <w:tcW w:w="1107" w:type="dxa"/>
          </w:tcPr>
          <w:p w14:paraId="7A4EE5CF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</w:t>
            </w:r>
          </w:p>
        </w:tc>
        <w:tc>
          <w:tcPr>
            <w:tcW w:w="1121" w:type="dxa"/>
          </w:tcPr>
          <w:p w14:paraId="3FD323F8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12.50</w:t>
            </w:r>
          </w:p>
        </w:tc>
        <w:tc>
          <w:tcPr>
            <w:tcW w:w="1223" w:type="dxa"/>
          </w:tcPr>
          <w:p w14:paraId="2217BEFB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</w:rPr>
              <w:t>–</w:t>
            </w:r>
          </w:p>
        </w:tc>
        <w:tc>
          <w:tcPr>
            <w:tcW w:w="1402" w:type="dxa"/>
            <w:gridSpan w:val="2"/>
          </w:tcPr>
          <w:p w14:paraId="04066D84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38.10</w:t>
            </w:r>
          </w:p>
        </w:tc>
        <w:tc>
          <w:tcPr>
            <w:tcW w:w="1151" w:type="dxa"/>
          </w:tcPr>
          <w:p w14:paraId="05A41BA0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</w:t>
            </w:r>
          </w:p>
        </w:tc>
        <w:tc>
          <w:tcPr>
            <w:tcW w:w="1151" w:type="dxa"/>
          </w:tcPr>
          <w:p w14:paraId="03C48539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0.42</w:t>
            </w:r>
          </w:p>
        </w:tc>
      </w:tr>
      <w:tr w14:paraId="62E8567D">
        <w:tc>
          <w:tcPr>
            <w:tcW w:w="1151" w:type="dxa"/>
          </w:tcPr>
          <w:p w14:paraId="5D9FA536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Non-Guangdong</w:t>
            </w:r>
          </w:p>
        </w:tc>
        <w:tc>
          <w:tcPr>
            <w:tcW w:w="1107" w:type="dxa"/>
          </w:tcPr>
          <w:p w14:paraId="509201ED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14.29</w:t>
            </w:r>
          </w:p>
        </w:tc>
        <w:tc>
          <w:tcPr>
            <w:tcW w:w="1121" w:type="dxa"/>
          </w:tcPr>
          <w:p w14:paraId="0C60BDDD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–</w:t>
            </w:r>
          </w:p>
        </w:tc>
        <w:tc>
          <w:tcPr>
            <w:tcW w:w="1223" w:type="dxa"/>
          </w:tcPr>
          <w:p w14:paraId="766075D0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11.57</w:t>
            </w:r>
          </w:p>
        </w:tc>
        <w:tc>
          <w:tcPr>
            <w:tcW w:w="1402" w:type="dxa"/>
            <w:gridSpan w:val="2"/>
          </w:tcPr>
          <w:p w14:paraId="6D94A50B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–</w:t>
            </w:r>
          </w:p>
        </w:tc>
        <w:tc>
          <w:tcPr>
            <w:tcW w:w="1151" w:type="dxa"/>
          </w:tcPr>
          <w:p w14:paraId="7A8C9A31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6.59</w:t>
            </w:r>
          </w:p>
        </w:tc>
        <w:tc>
          <w:tcPr>
            <w:tcW w:w="1151" w:type="dxa"/>
          </w:tcPr>
          <w:p w14:paraId="7F044C19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–</w:t>
            </w:r>
          </w:p>
        </w:tc>
      </w:tr>
      <w:tr w14:paraId="30AB165C">
        <w:tc>
          <w:tcPr>
            <w:tcW w:w="1151" w:type="dxa"/>
            <w:tcBorders>
              <w:bottom w:val="nil"/>
            </w:tcBorders>
          </w:tcPr>
          <w:p w14:paraId="064AD98C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Yunfu</w:t>
            </w:r>
          </w:p>
        </w:tc>
        <w:tc>
          <w:tcPr>
            <w:tcW w:w="1107" w:type="dxa"/>
            <w:tcBorders>
              <w:bottom w:val="nil"/>
            </w:tcBorders>
          </w:tcPr>
          <w:p w14:paraId="00888510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7.14</w:t>
            </w:r>
          </w:p>
        </w:tc>
        <w:tc>
          <w:tcPr>
            <w:tcW w:w="1121" w:type="dxa"/>
            <w:tcBorders>
              <w:bottom w:val="nil"/>
            </w:tcBorders>
          </w:tcPr>
          <w:p w14:paraId="106568F1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6.25</w:t>
            </w:r>
          </w:p>
        </w:tc>
        <w:tc>
          <w:tcPr>
            <w:tcW w:w="1223" w:type="dxa"/>
            <w:tcBorders>
              <w:bottom w:val="nil"/>
            </w:tcBorders>
          </w:tcPr>
          <w:p w14:paraId="1D77ACE3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11.02</w:t>
            </w:r>
          </w:p>
        </w:tc>
        <w:tc>
          <w:tcPr>
            <w:tcW w:w="1402" w:type="dxa"/>
            <w:gridSpan w:val="2"/>
            <w:tcBorders>
              <w:bottom w:val="nil"/>
            </w:tcBorders>
          </w:tcPr>
          <w:p w14:paraId="13303C73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50.00</w:t>
            </w:r>
          </w:p>
        </w:tc>
        <w:tc>
          <w:tcPr>
            <w:tcW w:w="1151" w:type="dxa"/>
            <w:tcBorders>
              <w:bottom w:val="nil"/>
            </w:tcBorders>
          </w:tcPr>
          <w:p w14:paraId="3C8BB78B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</w:t>
            </w:r>
          </w:p>
        </w:tc>
        <w:tc>
          <w:tcPr>
            <w:tcW w:w="1151" w:type="dxa"/>
            <w:tcBorders>
              <w:bottom w:val="nil"/>
            </w:tcBorders>
          </w:tcPr>
          <w:p w14:paraId="570D34B0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</w:t>
            </w:r>
          </w:p>
        </w:tc>
      </w:tr>
      <w:tr w14:paraId="720A8897">
        <w:tc>
          <w:tcPr>
            <w:tcW w:w="1151" w:type="dxa"/>
            <w:tcBorders>
              <w:bottom w:val="nil"/>
            </w:tcBorders>
          </w:tcPr>
          <w:p w14:paraId="2E8599C5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Yangjiang</w:t>
            </w:r>
          </w:p>
        </w:tc>
        <w:tc>
          <w:tcPr>
            <w:tcW w:w="1107" w:type="dxa"/>
            <w:tcBorders>
              <w:bottom w:val="nil"/>
            </w:tcBorders>
          </w:tcPr>
          <w:p w14:paraId="5668E5F1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7.14</w:t>
            </w:r>
          </w:p>
        </w:tc>
        <w:tc>
          <w:tcPr>
            <w:tcW w:w="1121" w:type="dxa"/>
            <w:tcBorders>
              <w:bottom w:val="nil"/>
            </w:tcBorders>
          </w:tcPr>
          <w:p w14:paraId="114A446B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6.25</w:t>
            </w:r>
          </w:p>
        </w:tc>
        <w:tc>
          <w:tcPr>
            <w:tcW w:w="1223" w:type="dxa"/>
            <w:tcBorders>
              <w:bottom w:val="nil"/>
            </w:tcBorders>
          </w:tcPr>
          <w:p w14:paraId="692F65A1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11.38</w:t>
            </w:r>
          </w:p>
        </w:tc>
        <w:tc>
          <w:tcPr>
            <w:tcW w:w="1402" w:type="dxa"/>
            <w:gridSpan w:val="2"/>
            <w:tcBorders>
              <w:bottom w:val="nil"/>
            </w:tcBorders>
          </w:tcPr>
          <w:p w14:paraId="5A5ACA7F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50.00</w:t>
            </w:r>
          </w:p>
        </w:tc>
        <w:tc>
          <w:tcPr>
            <w:tcW w:w="1151" w:type="dxa"/>
            <w:tcBorders>
              <w:bottom w:val="nil"/>
            </w:tcBorders>
          </w:tcPr>
          <w:p w14:paraId="68175163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</w:t>
            </w:r>
          </w:p>
        </w:tc>
        <w:tc>
          <w:tcPr>
            <w:tcW w:w="1151" w:type="dxa"/>
            <w:tcBorders>
              <w:bottom w:val="nil"/>
            </w:tcBorders>
          </w:tcPr>
          <w:p w14:paraId="619A2857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</w:t>
            </w:r>
          </w:p>
        </w:tc>
      </w:tr>
      <w:tr w14:paraId="1A2076C8">
        <w:tc>
          <w:tcPr>
            <w:tcW w:w="1151" w:type="dxa"/>
            <w:tcBorders>
              <w:bottom w:val="nil"/>
            </w:tcBorders>
          </w:tcPr>
          <w:p w14:paraId="1926F3C8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Meizhou</w:t>
            </w:r>
          </w:p>
        </w:tc>
        <w:tc>
          <w:tcPr>
            <w:tcW w:w="1107" w:type="dxa"/>
            <w:tcBorders>
              <w:bottom w:val="nil"/>
            </w:tcBorders>
          </w:tcPr>
          <w:p w14:paraId="0662FAEE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7.14</w:t>
            </w:r>
          </w:p>
        </w:tc>
        <w:tc>
          <w:tcPr>
            <w:tcW w:w="1121" w:type="dxa"/>
            <w:tcBorders>
              <w:bottom w:val="nil"/>
            </w:tcBorders>
          </w:tcPr>
          <w:p w14:paraId="1E412393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6.25</w:t>
            </w:r>
          </w:p>
        </w:tc>
        <w:tc>
          <w:tcPr>
            <w:tcW w:w="1223" w:type="dxa"/>
            <w:tcBorders>
              <w:bottom w:val="nil"/>
            </w:tcBorders>
          </w:tcPr>
          <w:p w14:paraId="43FE9133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11.38</w:t>
            </w:r>
          </w:p>
        </w:tc>
        <w:tc>
          <w:tcPr>
            <w:tcW w:w="1402" w:type="dxa"/>
            <w:gridSpan w:val="2"/>
            <w:tcBorders>
              <w:bottom w:val="nil"/>
            </w:tcBorders>
          </w:tcPr>
          <w:p w14:paraId="1815205B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50.00</w:t>
            </w:r>
          </w:p>
        </w:tc>
        <w:tc>
          <w:tcPr>
            <w:tcW w:w="1151" w:type="dxa"/>
            <w:tcBorders>
              <w:bottom w:val="nil"/>
            </w:tcBorders>
          </w:tcPr>
          <w:p w14:paraId="7D86F9D4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</w:t>
            </w:r>
          </w:p>
        </w:tc>
        <w:tc>
          <w:tcPr>
            <w:tcW w:w="1151" w:type="dxa"/>
            <w:tcBorders>
              <w:bottom w:val="nil"/>
            </w:tcBorders>
          </w:tcPr>
          <w:p w14:paraId="3E2B31C0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</w:t>
            </w:r>
          </w:p>
        </w:tc>
      </w:tr>
      <w:tr w14:paraId="639466E1">
        <w:tc>
          <w:tcPr>
            <w:tcW w:w="1151" w:type="dxa"/>
            <w:tcBorders>
              <w:bottom w:val="nil"/>
            </w:tcBorders>
          </w:tcPr>
          <w:p w14:paraId="6A799CF0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Heyuan</w:t>
            </w:r>
          </w:p>
        </w:tc>
        <w:tc>
          <w:tcPr>
            <w:tcW w:w="1107" w:type="dxa"/>
            <w:tcBorders>
              <w:bottom w:val="nil"/>
            </w:tcBorders>
          </w:tcPr>
          <w:p w14:paraId="56868B90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</w:rPr>
              <w:t>–</w:t>
            </w:r>
          </w:p>
        </w:tc>
        <w:tc>
          <w:tcPr>
            <w:tcW w:w="1121" w:type="dxa"/>
            <w:tcBorders>
              <w:bottom w:val="nil"/>
            </w:tcBorders>
          </w:tcPr>
          <w:p w14:paraId="02A4EE21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6.25</w:t>
            </w:r>
          </w:p>
        </w:tc>
        <w:tc>
          <w:tcPr>
            <w:tcW w:w="1223" w:type="dxa"/>
            <w:tcBorders>
              <w:bottom w:val="nil"/>
            </w:tcBorders>
          </w:tcPr>
          <w:p w14:paraId="0C502129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</w:rPr>
              <w:t>–</w:t>
            </w:r>
          </w:p>
        </w:tc>
        <w:tc>
          <w:tcPr>
            <w:tcW w:w="1402" w:type="dxa"/>
            <w:gridSpan w:val="2"/>
            <w:tcBorders>
              <w:bottom w:val="nil"/>
            </w:tcBorders>
          </w:tcPr>
          <w:p w14:paraId="7914EC13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50.00</w:t>
            </w:r>
          </w:p>
        </w:tc>
        <w:tc>
          <w:tcPr>
            <w:tcW w:w="1151" w:type="dxa"/>
            <w:tcBorders>
              <w:bottom w:val="nil"/>
            </w:tcBorders>
          </w:tcPr>
          <w:p w14:paraId="32B17EFE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</w:rPr>
              <w:t>–</w:t>
            </w:r>
          </w:p>
        </w:tc>
        <w:tc>
          <w:tcPr>
            <w:tcW w:w="1151" w:type="dxa"/>
            <w:tcBorders>
              <w:bottom w:val="nil"/>
            </w:tcBorders>
          </w:tcPr>
          <w:p w14:paraId="5E61A8C5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</w:t>
            </w:r>
          </w:p>
        </w:tc>
      </w:tr>
      <w:tr w14:paraId="263D443F">
        <w:tc>
          <w:tcPr>
            <w:tcW w:w="1151" w:type="dxa"/>
            <w:tcBorders>
              <w:bottom w:val="nil"/>
            </w:tcBorders>
          </w:tcPr>
          <w:p w14:paraId="4F3BB35C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Chaozhou</w:t>
            </w:r>
          </w:p>
        </w:tc>
        <w:tc>
          <w:tcPr>
            <w:tcW w:w="1107" w:type="dxa"/>
            <w:tcBorders>
              <w:bottom w:val="nil"/>
            </w:tcBorders>
          </w:tcPr>
          <w:p w14:paraId="405CA04C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</w:rPr>
              <w:t>–</w:t>
            </w:r>
          </w:p>
        </w:tc>
        <w:tc>
          <w:tcPr>
            <w:tcW w:w="1121" w:type="dxa"/>
            <w:tcBorders>
              <w:bottom w:val="nil"/>
            </w:tcBorders>
          </w:tcPr>
          <w:p w14:paraId="3C7E4F36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6.25</w:t>
            </w:r>
          </w:p>
        </w:tc>
        <w:tc>
          <w:tcPr>
            <w:tcW w:w="1223" w:type="dxa"/>
            <w:tcBorders>
              <w:bottom w:val="nil"/>
            </w:tcBorders>
          </w:tcPr>
          <w:p w14:paraId="54B1AF05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</w:rPr>
              <w:t>–</w:t>
            </w:r>
          </w:p>
        </w:tc>
        <w:tc>
          <w:tcPr>
            <w:tcW w:w="1402" w:type="dxa"/>
            <w:gridSpan w:val="2"/>
            <w:tcBorders>
              <w:bottom w:val="nil"/>
            </w:tcBorders>
          </w:tcPr>
          <w:p w14:paraId="3F943BF1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50.00</w:t>
            </w:r>
          </w:p>
        </w:tc>
        <w:tc>
          <w:tcPr>
            <w:tcW w:w="1151" w:type="dxa"/>
            <w:tcBorders>
              <w:bottom w:val="nil"/>
            </w:tcBorders>
          </w:tcPr>
          <w:p w14:paraId="34CC6052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</w:rPr>
              <w:t>–</w:t>
            </w:r>
          </w:p>
        </w:tc>
        <w:tc>
          <w:tcPr>
            <w:tcW w:w="1151" w:type="dxa"/>
            <w:tcBorders>
              <w:bottom w:val="nil"/>
            </w:tcBorders>
          </w:tcPr>
          <w:p w14:paraId="1F98067A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</w:t>
            </w:r>
          </w:p>
        </w:tc>
      </w:tr>
      <w:tr w14:paraId="69CB0C5A">
        <w:tc>
          <w:tcPr>
            <w:tcW w:w="1151" w:type="dxa"/>
            <w:tcBorders>
              <w:top w:val="nil"/>
              <w:bottom w:val="single" w:color="auto" w:sz="8" w:space="0"/>
            </w:tcBorders>
          </w:tcPr>
          <w:p w14:paraId="176FFB22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Qingyuan</w:t>
            </w:r>
          </w:p>
        </w:tc>
        <w:tc>
          <w:tcPr>
            <w:tcW w:w="1107" w:type="dxa"/>
            <w:tcBorders>
              <w:top w:val="nil"/>
              <w:bottom w:val="single" w:color="auto" w:sz="8" w:space="0"/>
            </w:tcBorders>
          </w:tcPr>
          <w:p w14:paraId="3E01FD73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</w:rPr>
              <w:t>–</w:t>
            </w:r>
          </w:p>
        </w:tc>
        <w:tc>
          <w:tcPr>
            <w:tcW w:w="1121" w:type="dxa"/>
            <w:tcBorders>
              <w:top w:val="nil"/>
              <w:bottom w:val="single" w:color="auto" w:sz="8" w:space="0"/>
            </w:tcBorders>
          </w:tcPr>
          <w:p w14:paraId="6D650429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6.25</w:t>
            </w:r>
          </w:p>
        </w:tc>
        <w:tc>
          <w:tcPr>
            <w:tcW w:w="1223" w:type="dxa"/>
            <w:tcBorders>
              <w:top w:val="nil"/>
              <w:bottom w:val="single" w:color="auto" w:sz="8" w:space="0"/>
            </w:tcBorders>
          </w:tcPr>
          <w:p w14:paraId="575D7B80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</w:rPr>
              <w:t>–</w:t>
            </w:r>
          </w:p>
        </w:tc>
        <w:tc>
          <w:tcPr>
            <w:tcW w:w="1402" w:type="dxa"/>
            <w:gridSpan w:val="2"/>
            <w:tcBorders>
              <w:top w:val="nil"/>
              <w:bottom w:val="single" w:color="auto" w:sz="8" w:space="0"/>
            </w:tcBorders>
          </w:tcPr>
          <w:p w14:paraId="3857B8D7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50.00</w:t>
            </w:r>
          </w:p>
        </w:tc>
        <w:tc>
          <w:tcPr>
            <w:tcW w:w="1151" w:type="dxa"/>
            <w:tcBorders>
              <w:top w:val="nil"/>
              <w:bottom w:val="single" w:color="auto" w:sz="8" w:space="0"/>
            </w:tcBorders>
          </w:tcPr>
          <w:p w14:paraId="185AD3B2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</w:rPr>
              <w:t>–</w:t>
            </w:r>
          </w:p>
        </w:tc>
        <w:tc>
          <w:tcPr>
            <w:tcW w:w="1151" w:type="dxa"/>
            <w:tcBorders>
              <w:top w:val="nil"/>
              <w:bottom w:val="single" w:color="auto" w:sz="8" w:space="0"/>
            </w:tcBorders>
          </w:tcPr>
          <w:p w14:paraId="6F7800FE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</w:t>
            </w:r>
          </w:p>
        </w:tc>
      </w:tr>
    </w:tbl>
    <w:p w14:paraId="7911B58A"/>
    <w:p w14:paraId="7F694744">
      <w:pPr>
        <w:pStyle w:val="3"/>
        <w:keepNext/>
        <w:jc w:val="center"/>
        <w:rPr>
          <w:rFonts w:ascii="Times New Roman" w:hAnsi="Times New Roman" w:cs="Times New Roman"/>
          <w:sz w:val="21"/>
          <w:szCs w:val="21"/>
        </w:rPr>
      </w:pPr>
      <w:bookmarkStart w:id="22" w:name="_Ref233128186"/>
      <w:r>
        <w:rPr>
          <w:rFonts w:ascii="Times New Roman" w:hAnsi="Times New Roman" w:cs="Times New Roman"/>
          <w:sz w:val="21"/>
          <w:szCs w:val="21"/>
        </w:rPr>
        <w:t>Table A</w:t>
      </w:r>
      <w:r>
        <w:rPr>
          <w:rFonts w:ascii="Times New Roman" w:hAnsi="Times New Roman" w:cs="Times New Roman"/>
          <w:sz w:val="21"/>
          <w:szCs w:val="21"/>
        </w:rPr>
        <w:fldChar w:fldCharType="begin"/>
      </w:r>
      <w:r>
        <w:rPr>
          <w:rFonts w:ascii="Times New Roman" w:hAnsi="Times New Roman" w:cs="Times New Roman"/>
          <w:sz w:val="21"/>
          <w:szCs w:val="21"/>
        </w:rPr>
        <w:instrText xml:space="preserve"> SEQ Table_A \* ARABIC </w:instrText>
      </w:r>
      <w:r>
        <w:rPr>
          <w:rFonts w:ascii="Times New Roman" w:hAnsi="Times New Roman" w:cs="Times New Roman"/>
          <w:sz w:val="21"/>
          <w:szCs w:val="21"/>
        </w:rPr>
        <w:fldChar w:fldCharType="separate"/>
      </w:r>
      <w:r>
        <w:rPr>
          <w:rFonts w:hint="eastAsia" w:ascii="Times New Roman" w:hAnsi="Times New Roman" w:cs="Times New Roman"/>
          <w:sz w:val="21"/>
          <w:szCs w:val="21"/>
        </w:rPr>
        <w:t>18</w:t>
      </w:r>
      <w:r>
        <w:rPr>
          <w:rFonts w:ascii="Times New Roman" w:hAnsi="Times New Roman" w:cs="Times New Roman"/>
          <w:sz w:val="21"/>
          <w:szCs w:val="21"/>
        </w:rPr>
        <w:fldChar w:fldCharType="end"/>
      </w:r>
      <w:bookmarkEnd w:id="22"/>
      <w:r>
        <w:rPr>
          <w:rFonts w:ascii="Times New Roman" w:hAnsi="Times New Roman" w:cs="Times New Roman"/>
          <w:sz w:val="21"/>
          <w:szCs w:val="21"/>
        </w:rPr>
        <w:t xml:space="preserve"> Core-Periphery Results of Sub-networks by Phase</w:t>
      </w:r>
    </w:p>
    <w:tbl>
      <w:tblPr>
        <w:tblStyle w:val="7"/>
        <w:tblW w:w="8342" w:type="dxa"/>
        <w:jc w:val="center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5"/>
        <w:gridCol w:w="1595"/>
        <w:gridCol w:w="4477"/>
        <w:gridCol w:w="1005"/>
      </w:tblGrid>
      <w:tr w14:paraId="24179E1A">
        <w:trPr>
          <w:trHeight w:val="619" w:hRule="atLeast"/>
          <w:jc w:val="center"/>
        </w:trPr>
        <w:tc>
          <w:tcPr>
            <w:tcW w:w="1265" w:type="dxa"/>
            <w:tcBorders>
              <w:top w:val="single" w:color="auto" w:sz="8" w:space="0"/>
              <w:bottom w:val="single" w:color="auto" w:sz="4" w:space="0"/>
            </w:tcBorders>
          </w:tcPr>
          <w:p w14:paraId="4603C5D1">
            <w:pPr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Phase</w:t>
            </w:r>
          </w:p>
        </w:tc>
        <w:tc>
          <w:tcPr>
            <w:tcW w:w="1595" w:type="dxa"/>
            <w:tcBorders>
              <w:top w:val="single" w:color="auto" w:sz="8" w:space="0"/>
              <w:bottom w:val="single" w:color="auto" w:sz="4" w:space="0"/>
            </w:tcBorders>
          </w:tcPr>
          <w:p w14:paraId="19C8C995">
            <w:pPr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Core Cities</w:t>
            </w:r>
          </w:p>
        </w:tc>
        <w:tc>
          <w:tcPr>
            <w:tcW w:w="4477" w:type="dxa"/>
            <w:tcBorders>
              <w:top w:val="single" w:color="auto" w:sz="8" w:space="0"/>
              <w:bottom w:val="single" w:color="auto" w:sz="4" w:space="0"/>
            </w:tcBorders>
          </w:tcPr>
          <w:p w14:paraId="46EA06C3">
            <w:pPr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Peripheral Cities</w:t>
            </w:r>
          </w:p>
        </w:tc>
        <w:tc>
          <w:tcPr>
            <w:tcW w:w="1005" w:type="dxa"/>
            <w:tcBorders>
              <w:top w:val="single" w:color="auto" w:sz="8" w:space="0"/>
              <w:bottom w:val="single" w:color="auto" w:sz="4" w:space="0"/>
            </w:tcBorders>
          </w:tcPr>
          <w:p w14:paraId="1B123212">
            <w:pPr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Goodness of Fit</w:t>
            </w:r>
          </w:p>
        </w:tc>
      </w:tr>
      <w:tr w14:paraId="26C05B1F">
        <w:trPr>
          <w:trHeight w:val="915" w:hRule="atLeast"/>
          <w:jc w:val="center"/>
        </w:trPr>
        <w:tc>
          <w:tcPr>
            <w:tcW w:w="1265" w:type="dxa"/>
            <w:tcBorders>
              <w:top w:val="single" w:color="auto" w:sz="4" w:space="0"/>
              <w:bottom w:val="nil"/>
            </w:tcBorders>
          </w:tcPr>
          <w:p w14:paraId="391922D0">
            <w:pPr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2016–2020</w:t>
            </w:r>
          </w:p>
        </w:tc>
        <w:tc>
          <w:tcPr>
            <w:tcW w:w="1595" w:type="dxa"/>
            <w:tcBorders>
              <w:top w:val="single" w:color="auto" w:sz="4" w:space="0"/>
              <w:bottom w:val="nil"/>
            </w:tcBorders>
          </w:tcPr>
          <w:p w14:paraId="14595776">
            <w:pPr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Guangzhou, Foshan</w:t>
            </w:r>
          </w:p>
        </w:tc>
        <w:tc>
          <w:tcPr>
            <w:tcW w:w="4477" w:type="dxa"/>
            <w:tcBorders>
              <w:top w:val="single" w:color="auto" w:sz="4" w:space="0"/>
              <w:bottom w:val="nil"/>
            </w:tcBorders>
          </w:tcPr>
          <w:p w14:paraId="427D11CC">
            <w:pPr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Jiangmen, Shenzhen, Dongguan, Zhongshan, Zhuhai, Huizhou, Zhaoqing, Hong Kong, Macao, Yunfu, Yangjiang, Meizhou, Non-Guangdong</w:t>
            </w:r>
          </w:p>
        </w:tc>
        <w:tc>
          <w:tcPr>
            <w:tcW w:w="1005" w:type="dxa"/>
            <w:tcBorders>
              <w:top w:val="single" w:color="auto" w:sz="4" w:space="0"/>
              <w:bottom w:val="nil"/>
            </w:tcBorders>
          </w:tcPr>
          <w:p w14:paraId="5320A755">
            <w:pPr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0.903</w:t>
            </w:r>
          </w:p>
        </w:tc>
      </w:tr>
      <w:tr w14:paraId="301685C8">
        <w:trPr>
          <w:trHeight w:val="928" w:hRule="atLeast"/>
          <w:jc w:val="center"/>
        </w:trPr>
        <w:tc>
          <w:tcPr>
            <w:tcW w:w="1265" w:type="dxa"/>
            <w:tcBorders>
              <w:top w:val="nil"/>
              <w:bottom w:val="single" w:color="auto" w:sz="8" w:space="0"/>
            </w:tcBorders>
          </w:tcPr>
          <w:p w14:paraId="3C7475AD">
            <w:pPr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2021–2024</w:t>
            </w:r>
          </w:p>
        </w:tc>
        <w:tc>
          <w:tcPr>
            <w:tcW w:w="1595" w:type="dxa"/>
            <w:tcBorders>
              <w:top w:val="nil"/>
              <w:bottom w:val="single" w:color="auto" w:sz="8" w:space="0"/>
            </w:tcBorders>
          </w:tcPr>
          <w:p w14:paraId="5AD33747">
            <w:pPr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Guangzhou, Shenzhen</w:t>
            </w:r>
          </w:p>
        </w:tc>
        <w:tc>
          <w:tcPr>
            <w:tcW w:w="4477" w:type="dxa"/>
            <w:tcBorders>
              <w:top w:val="nil"/>
              <w:bottom w:val="single" w:color="auto" w:sz="8" w:space="0"/>
            </w:tcBorders>
          </w:tcPr>
          <w:p w14:paraId="73FC78EE">
            <w:pPr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Foshan, Zhuhai, Dongguan, Jiangmen, Zhongshan, Huizhou, Zhaoqing, Hong Kong, Macao, Yunfu, Yangjiang, Meizhou, Heyuan, Chaozhou, Qingyuan</w:t>
            </w:r>
          </w:p>
        </w:tc>
        <w:tc>
          <w:tcPr>
            <w:tcW w:w="1005" w:type="dxa"/>
            <w:tcBorders>
              <w:top w:val="nil"/>
              <w:bottom w:val="single" w:color="auto" w:sz="8" w:space="0"/>
            </w:tcBorders>
          </w:tcPr>
          <w:p w14:paraId="37B83002">
            <w:pPr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0.830</w:t>
            </w:r>
          </w:p>
        </w:tc>
      </w:tr>
    </w:tbl>
    <w:p w14:paraId="1F5F2E46"/>
    <w:p w14:paraId="7BBB4E0C">
      <w:pPr>
        <w:pStyle w:val="3"/>
        <w:keepNext/>
        <w:jc w:val="center"/>
        <w:rPr>
          <w:rFonts w:ascii="Times New Roman" w:hAnsi="Times New Roman" w:cs="Times New Roman"/>
          <w:sz w:val="21"/>
          <w:szCs w:val="21"/>
        </w:rPr>
      </w:pPr>
      <w:bookmarkStart w:id="23" w:name="_Ref233128205"/>
      <w:r>
        <w:rPr>
          <w:rFonts w:ascii="Times New Roman" w:hAnsi="Times New Roman" w:cs="Times New Roman"/>
          <w:sz w:val="21"/>
          <w:szCs w:val="21"/>
        </w:rPr>
        <w:t>Table A</w:t>
      </w:r>
      <w:r>
        <w:rPr>
          <w:rFonts w:ascii="Times New Roman" w:hAnsi="Times New Roman" w:cs="Times New Roman"/>
          <w:sz w:val="21"/>
          <w:szCs w:val="21"/>
        </w:rPr>
        <w:fldChar w:fldCharType="begin"/>
      </w:r>
      <w:r>
        <w:rPr>
          <w:rFonts w:ascii="Times New Roman" w:hAnsi="Times New Roman" w:cs="Times New Roman"/>
          <w:sz w:val="21"/>
          <w:szCs w:val="21"/>
        </w:rPr>
        <w:instrText xml:space="preserve"> SEQ Table_A \* ARABIC </w:instrText>
      </w:r>
      <w:r>
        <w:rPr>
          <w:rFonts w:ascii="Times New Roman" w:hAnsi="Times New Roman" w:cs="Times New Roman"/>
          <w:sz w:val="21"/>
          <w:szCs w:val="21"/>
        </w:rPr>
        <w:fldChar w:fldCharType="separate"/>
      </w:r>
      <w:r>
        <w:rPr>
          <w:rFonts w:hint="eastAsia" w:ascii="Times New Roman" w:hAnsi="Times New Roman" w:cs="Times New Roman"/>
          <w:sz w:val="21"/>
          <w:szCs w:val="21"/>
        </w:rPr>
        <w:t>19</w:t>
      </w:r>
      <w:r>
        <w:rPr>
          <w:rFonts w:ascii="Times New Roman" w:hAnsi="Times New Roman" w:cs="Times New Roman"/>
          <w:sz w:val="21"/>
          <w:szCs w:val="21"/>
        </w:rPr>
        <w:fldChar w:fldCharType="end"/>
      </w:r>
      <w:bookmarkEnd w:id="23"/>
      <w:r>
        <w:rPr>
          <w:rFonts w:ascii="Times New Roman" w:hAnsi="Times New Roman" w:cs="Times New Roman"/>
          <w:sz w:val="21"/>
          <w:szCs w:val="21"/>
        </w:rPr>
        <w:t xml:space="preserve"> Core Nodes in the 2016–2020 Applicant City Sub-Network</w:t>
      </w: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2"/>
        <w:gridCol w:w="5324"/>
      </w:tblGrid>
      <w:tr w14:paraId="5D59CFEA">
        <w:tc>
          <w:tcPr>
            <w:tcW w:w="2972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</w:tcPr>
          <w:p w14:paraId="72DC89BF">
            <w:pPr>
              <w:rPr>
                <w:b/>
                <w:bCs/>
              </w:rPr>
            </w:pPr>
            <w:r>
              <w:rPr>
                <w:b/>
                <w:bCs/>
              </w:rPr>
              <w:t>Degree Centrality Value</w:t>
            </w:r>
          </w:p>
        </w:tc>
        <w:tc>
          <w:tcPr>
            <w:tcW w:w="5324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</w:tcPr>
          <w:p w14:paraId="119D5F33">
            <w:pPr>
              <w:rPr>
                <w:b/>
                <w:bCs/>
              </w:rPr>
            </w:pPr>
            <w:r>
              <w:rPr>
                <w:b/>
                <w:bCs/>
              </w:rPr>
              <w:t>Applicant City</w:t>
            </w:r>
          </w:p>
        </w:tc>
      </w:tr>
      <w:tr w14:paraId="2170FEE8">
        <w:tc>
          <w:tcPr>
            <w:tcW w:w="297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98A1A2D">
            <w:r>
              <w:t>3</w:t>
            </w:r>
          </w:p>
        </w:tc>
        <w:tc>
          <w:tcPr>
            <w:tcW w:w="532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221B05D8">
            <w:r>
              <w:t>Guangzhou</w:t>
            </w:r>
          </w:p>
          <w:p w14:paraId="01BBEC9D">
            <w:r>
              <w:t>Foshan</w:t>
            </w:r>
          </w:p>
        </w:tc>
      </w:tr>
      <w:tr w14:paraId="5F6B7A68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06EFC2C9">
            <w:r>
              <w:t>2</w:t>
            </w:r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</w:tcPr>
          <w:p w14:paraId="37103B7D">
            <w:r>
              <w:t>Shenzhen</w:t>
            </w:r>
          </w:p>
          <w:p w14:paraId="04C6F32B">
            <w:r>
              <w:t>Non-Guangdong</w:t>
            </w:r>
          </w:p>
        </w:tc>
      </w:tr>
      <w:tr w14:paraId="1CE3AE15">
        <w:tc>
          <w:tcPr>
            <w:tcW w:w="2972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3943D40E">
            <w:r>
              <w:t>1</w:t>
            </w:r>
          </w:p>
        </w:tc>
        <w:tc>
          <w:tcPr>
            <w:tcW w:w="5324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7A2AE29E">
            <w:r>
              <w:t>Meizhou</w:t>
            </w:r>
          </w:p>
          <w:p w14:paraId="5A44B6D1">
            <w:r>
              <w:t>Yangjiang</w:t>
            </w:r>
          </w:p>
          <w:p w14:paraId="19264DAA">
            <w:r>
              <w:t>Zhongshan</w:t>
            </w:r>
          </w:p>
          <w:p w14:paraId="6D7E2F26">
            <w:r>
              <w:t>Yunfu</w:t>
            </w:r>
          </w:p>
        </w:tc>
      </w:tr>
    </w:tbl>
    <w:p w14:paraId="659A170C">
      <w:bookmarkStart w:id="24" w:name="OLE_LINK2"/>
      <w:r>
        <w:t>Note: Only data with degree centrality ≥ 1 are shown due to space limitations.</w:t>
      </w:r>
    </w:p>
    <w:bookmarkEnd w:id="24"/>
    <w:p w14:paraId="637302C5">
      <w:bookmarkStart w:id="25" w:name="_Ref224130928"/>
    </w:p>
    <w:bookmarkEnd w:id="25"/>
    <w:p w14:paraId="3C87E530">
      <w:pPr>
        <w:jc w:val="center"/>
      </w:pPr>
      <w:bookmarkStart w:id="26" w:name="_Ref233128216"/>
      <w:r>
        <w:t>Table A</w:t>
      </w:r>
      <w:r>
        <w:fldChar w:fldCharType="begin"/>
      </w:r>
      <w:r>
        <w:instrText xml:space="preserve"> SEQ Table_A \* ARABIC </w:instrText>
      </w:r>
      <w:r>
        <w:fldChar w:fldCharType="separate"/>
      </w:r>
      <w:r>
        <w:t>20</w:t>
      </w:r>
      <w:r>
        <w:fldChar w:fldCharType="end"/>
      </w:r>
      <w:bookmarkEnd w:id="26"/>
      <w:r>
        <w:rPr>
          <w:rFonts w:hint="eastAsia"/>
        </w:rPr>
        <w:t xml:space="preserve"> </w:t>
      </w:r>
      <w:r>
        <w:t>Core Nodes in the 2021–2024 Applicant City Sub-Network</w:t>
      </w: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2"/>
        <w:gridCol w:w="5324"/>
      </w:tblGrid>
      <w:tr w14:paraId="29C57916">
        <w:tc>
          <w:tcPr>
            <w:tcW w:w="2972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</w:tcPr>
          <w:p w14:paraId="42D6D49F">
            <w:pPr>
              <w:rPr>
                <w:b/>
                <w:bCs/>
              </w:rPr>
            </w:pPr>
            <w:r>
              <w:rPr>
                <w:b/>
                <w:bCs/>
              </w:rPr>
              <w:t>Degree Centrality Value</w:t>
            </w:r>
          </w:p>
        </w:tc>
        <w:tc>
          <w:tcPr>
            <w:tcW w:w="5324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</w:tcPr>
          <w:p w14:paraId="46A7ADDB">
            <w:pPr>
              <w:rPr>
                <w:b/>
                <w:bCs/>
              </w:rPr>
            </w:pPr>
            <w:r>
              <w:rPr>
                <w:b/>
                <w:bCs/>
              </w:rPr>
              <w:t>Applicant City</w:t>
            </w:r>
          </w:p>
        </w:tc>
      </w:tr>
      <w:tr w14:paraId="6C8732F9">
        <w:tc>
          <w:tcPr>
            <w:tcW w:w="297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7C30242">
            <w:r>
              <w:t>15</w:t>
            </w:r>
          </w:p>
        </w:tc>
        <w:tc>
          <w:tcPr>
            <w:tcW w:w="532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2F3A5979">
            <w:r>
              <w:t>Guangzhou</w:t>
            </w:r>
          </w:p>
        </w:tc>
      </w:tr>
      <w:tr w14:paraId="5DA38D19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19BB6741">
            <w:r>
              <w:t>3</w:t>
            </w:r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</w:tcPr>
          <w:p w14:paraId="4574F890">
            <w:r>
              <w:t>Hong Kong</w:t>
            </w:r>
          </w:p>
          <w:p w14:paraId="33707EE2">
            <w:r>
              <w:t>Foshan</w:t>
            </w:r>
          </w:p>
          <w:p w14:paraId="7DC08462">
            <w:r>
              <w:t>Shenzhen</w:t>
            </w:r>
          </w:p>
        </w:tc>
      </w:tr>
      <w:tr w14:paraId="2D20B211">
        <w:tc>
          <w:tcPr>
            <w:tcW w:w="2972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6668EEB1">
            <w:r>
              <w:t>2</w:t>
            </w:r>
          </w:p>
        </w:tc>
        <w:tc>
          <w:tcPr>
            <w:tcW w:w="5324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6299EABE">
            <w:r>
              <w:t>Zhongshan</w:t>
            </w:r>
          </w:p>
          <w:p w14:paraId="45CF712F">
            <w:r>
              <w:t>Macao</w:t>
            </w:r>
          </w:p>
          <w:p w14:paraId="42360312">
            <w:r>
              <w:t>Zhaoqing</w:t>
            </w:r>
          </w:p>
        </w:tc>
      </w:tr>
    </w:tbl>
    <w:p w14:paraId="1C3C4627">
      <w:r>
        <w:t>Note: Only data with degree centrality ≥ 2 are shown.</w:t>
      </w:r>
    </w:p>
    <w:p w14:paraId="1B33AAB0"/>
    <w:p w14:paraId="4A36B5BC">
      <w:pPr>
        <w:pStyle w:val="3"/>
        <w:keepNext/>
        <w:jc w:val="center"/>
        <w:rPr>
          <w:rFonts w:hint="eastAsia"/>
        </w:rPr>
      </w:pPr>
      <w:bookmarkStart w:id="27" w:name="_Ref233128284"/>
      <w:r>
        <w:rPr>
          <w:rFonts w:ascii="Times New Roman" w:hAnsi="Times New Roman" w:eastAsia="宋体" w:cs="Times New Roman"/>
          <w:sz w:val="21"/>
          <w:szCs w:val="24"/>
        </w:rPr>
        <w:t>Table A</w:t>
      </w:r>
      <w:r>
        <w:rPr>
          <w:rFonts w:ascii="Times New Roman" w:hAnsi="Times New Roman" w:eastAsia="宋体" w:cs="Times New Roman"/>
          <w:sz w:val="21"/>
          <w:szCs w:val="24"/>
        </w:rPr>
        <w:fldChar w:fldCharType="begin"/>
      </w:r>
      <w:r>
        <w:rPr>
          <w:rFonts w:ascii="Times New Roman" w:hAnsi="Times New Roman" w:eastAsia="宋体" w:cs="Times New Roman"/>
          <w:sz w:val="21"/>
          <w:szCs w:val="24"/>
        </w:rPr>
        <w:instrText xml:space="preserve"> SEQ Table_A \* ARABIC </w:instrText>
      </w:r>
      <w:r>
        <w:rPr>
          <w:rFonts w:ascii="Times New Roman" w:hAnsi="Times New Roman" w:eastAsia="宋体" w:cs="Times New Roman"/>
          <w:sz w:val="21"/>
          <w:szCs w:val="24"/>
        </w:rPr>
        <w:fldChar w:fldCharType="separate"/>
      </w:r>
      <w:r>
        <w:rPr>
          <w:rFonts w:ascii="Times New Roman" w:hAnsi="Times New Roman" w:eastAsia="宋体" w:cs="Times New Roman"/>
          <w:sz w:val="21"/>
          <w:szCs w:val="24"/>
        </w:rPr>
        <w:t>21</w:t>
      </w:r>
      <w:r>
        <w:rPr>
          <w:rFonts w:ascii="Times New Roman" w:hAnsi="Times New Roman" w:eastAsia="宋体" w:cs="Times New Roman"/>
          <w:sz w:val="21"/>
          <w:szCs w:val="24"/>
        </w:rPr>
        <w:fldChar w:fldCharType="end"/>
      </w:r>
      <w:bookmarkEnd w:id="27"/>
      <w:r>
        <w:rPr>
          <w:rFonts w:ascii="Times New Roman" w:hAnsi="Times New Roman" w:eastAsia="宋体" w:cs="Times New Roman"/>
          <w:sz w:val="21"/>
          <w:szCs w:val="24"/>
        </w:rPr>
        <w:t xml:space="preserve"> Network Density of Applicant Types by Phase</w:t>
      </w: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2765"/>
        <w:gridCol w:w="2766"/>
      </w:tblGrid>
      <w:tr w14:paraId="666E7EA6">
        <w:tc>
          <w:tcPr>
            <w:tcW w:w="2765" w:type="dxa"/>
            <w:tcBorders>
              <w:top w:val="single" w:color="auto" w:sz="8" w:space="0"/>
              <w:bottom w:val="single" w:color="auto" w:sz="4" w:space="0"/>
            </w:tcBorders>
          </w:tcPr>
          <w:p w14:paraId="7EA482F2">
            <w:pPr>
              <w:jc w:val="center"/>
              <w:rPr>
                <w:b/>
                <w:bCs/>
                <w:kern w:val="0"/>
                <w:sz w:val="20"/>
                <w:szCs w:val="21"/>
              </w:rPr>
            </w:pPr>
            <w:r>
              <w:rPr>
                <w:b/>
                <w:bCs/>
                <w:kern w:val="0"/>
                <w:sz w:val="20"/>
                <w:szCs w:val="21"/>
              </w:rPr>
              <w:t>Phase</w:t>
            </w:r>
          </w:p>
        </w:tc>
        <w:tc>
          <w:tcPr>
            <w:tcW w:w="2765" w:type="dxa"/>
            <w:tcBorders>
              <w:top w:val="single" w:color="auto" w:sz="8" w:space="0"/>
              <w:bottom w:val="single" w:color="auto" w:sz="4" w:space="0"/>
            </w:tcBorders>
          </w:tcPr>
          <w:p w14:paraId="08408CF5">
            <w:pPr>
              <w:jc w:val="center"/>
              <w:rPr>
                <w:b/>
                <w:bCs/>
                <w:kern w:val="0"/>
                <w:sz w:val="20"/>
                <w:szCs w:val="21"/>
              </w:rPr>
            </w:pPr>
            <w:r>
              <w:rPr>
                <w:b/>
                <w:bCs/>
                <w:kern w:val="0"/>
                <w:sz w:val="20"/>
                <w:szCs w:val="21"/>
              </w:rPr>
              <w:t>Network Density</w:t>
            </w:r>
          </w:p>
        </w:tc>
        <w:tc>
          <w:tcPr>
            <w:tcW w:w="2766" w:type="dxa"/>
            <w:tcBorders>
              <w:top w:val="single" w:color="auto" w:sz="8" w:space="0"/>
              <w:bottom w:val="single" w:color="auto" w:sz="4" w:space="0"/>
            </w:tcBorders>
          </w:tcPr>
          <w:p w14:paraId="2F6C3D0A">
            <w:pPr>
              <w:jc w:val="center"/>
              <w:rPr>
                <w:b/>
                <w:bCs/>
                <w:kern w:val="0"/>
                <w:sz w:val="20"/>
                <w:szCs w:val="21"/>
              </w:rPr>
            </w:pPr>
            <w:r>
              <w:rPr>
                <w:b/>
                <w:bCs/>
                <w:kern w:val="0"/>
                <w:sz w:val="20"/>
                <w:szCs w:val="21"/>
              </w:rPr>
              <w:t>Number of Edges</w:t>
            </w:r>
          </w:p>
        </w:tc>
      </w:tr>
      <w:tr w14:paraId="48A09AAA">
        <w:tc>
          <w:tcPr>
            <w:tcW w:w="2765" w:type="dxa"/>
            <w:tcBorders>
              <w:top w:val="single" w:color="auto" w:sz="4" w:space="0"/>
              <w:bottom w:val="nil"/>
            </w:tcBorders>
          </w:tcPr>
          <w:p w14:paraId="37FD943A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2016–2020</w:t>
            </w:r>
          </w:p>
        </w:tc>
        <w:tc>
          <w:tcPr>
            <w:tcW w:w="2765" w:type="dxa"/>
            <w:tcBorders>
              <w:top w:val="single" w:color="auto" w:sz="4" w:space="0"/>
              <w:bottom w:val="nil"/>
            </w:tcBorders>
          </w:tcPr>
          <w:p w14:paraId="162C3A75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0.5833</w:t>
            </w:r>
          </w:p>
        </w:tc>
        <w:tc>
          <w:tcPr>
            <w:tcW w:w="2766" w:type="dxa"/>
            <w:tcBorders>
              <w:top w:val="single" w:color="auto" w:sz="4" w:space="0"/>
              <w:bottom w:val="nil"/>
            </w:tcBorders>
          </w:tcPr>
          <w:p w14:paraId="39CB559F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7</w:t>
            </w:r>
          </w:p>
        </w:tc>
      </w:tr>
      <w:tr w14:paraId="403022D5">
        <w:tc>
          <w:tcPr>
            <w:tcW w:w="2765" w:type="dxa"/>
            <w:tcBorders>
              <w:bottom w:val="single" w:color="auto" w:sz="8" w:space="0"/>
            </w:tcBorders>
          </w:tcPr>
          <w:p w14:paraId="545A46CB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2021–2024</w:t>
            </w:r>
          </w:p>
        </w:tc>
        <w:tc>
          <w:tcPr>
            <w:tcW w:w="2765" w:type="dxa"/>
            <w:tcBorders>
              <w:bottom w:val="single" w:color="auto" w:sz="8" w:space="0"/>
            </w:tcBorders>
          </w:tcPr>
          <w:p w14:paraId="265ACE30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1</w:t>
            </w:r>
          </w:p>
        </w:tc>
        <w:tc>
          <w:tcPr>
            <w:tcW w:w="2766" w:type="dxa"/>
            <w:tcBorders>
              <w:bottom w:val="single" w:color="auto" w:sz="8" w:space="0"/>
            </w:tcBorders>
          </w:tcPr>
          <w:p w14:paraId="04A4C542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12</w:t>
            </w:r>
          </w:p>
        </w:tc>
      </w:tr>
    </w:tbl>
    <w:p w14:paraId="11B52584">
      <w:pPr>
        <w:pStyle w:val="3"/>
        <w:keepNext/>
        <w:rPr>
          <w:rFonts w:ascii="Times New Roman" w:hAnsi="Times New Roman" w:cs="Times New Roman"/>
          <w:sz w:val="21"/>
          <w:szCs w:val="21"/>
        </w:rPr>
      </w:pPr>
    </w:p>
    <w:p w14:paraId="36D57957">
      <w:pPr>
        <w:pStyle w:val="3"/>
        <w:keepNext/>
        <w:jc w:val="center"/>
        <w:rPr>
          <w:rFonts w:ascii="Times New Roman" w:hAnsi="Times New Roman" w:eastAsia="宋体" w:cs="Times New Roman"/>
          <w:sz w:val="21"/>
          <w:szCs w:val="24"/>
        </w:rPr>
      </w:pPr>
      <w:bookmarkStart w:id="28" w:name="_Ref233128289"/>
      <w:r>
        <w:rPr>
          <w:rFonts w:ascii="Times New Roman" w:hAnsi="Times New Roman" w:eastAsia="宋体" w:cs="Times New Roman"/>
          <w:sz w:val="21"/>
          <w:szCs w:val="24"/>
        </w:rPr>
        <w:t>Table A</w:t>
      </w:r>
      <w:r>
        <w:rPr>
          <w:rFonts w:ascii="Times New Roman" w:hAnsi="Times New Roman" w:eastAsia="宋体" w:cs="Times New Roman"/>
          <w:sz w:val="21"/>
          <w:szCs w:val="24"/>
        </w:rPr>
        <w:fldChar w:fldCharType="begin"/>
      </w:r>
      <w:r>
        <w:rPr>
          <w:rFonts w:ascii="Times New Roman" w:hAnsi="Times New Roman" w:eastAsia="宋体" w:cs="Times New Roman"/>
          <w:sz w:val="21"/>
          <w:szCs w:val="24"/>
        </w:rPr>
        <w:instrText xml:space="preserve"> SEQ Table_A \* ARABIC </w:instrText>
      </w:r>
      <w:r>
        <w:rPr>
          <w:rFonts w:ascii="Times New Roman" w:hAnsi="Times New Roman" w:eastAsia="宋体" w:cs="Times New Roman"/>
          <w:sz w:val="21"/>
          <w:szCs w:val="24"/>
        </w:rPr>
        <w:fldChar w:fldCharType="separate"/>
      </w:r>
      <w:r>
        <w:rPr>
          <w:rFonts w:ascii="Times New Roman" w:hAnsi="Times New Roman" w:eastAsia="宋体" w:cs="Times New Roman"/>
          <w:sz w:val="21"/>
          <w:szCs w:val="24"/>
        </w:rPr>
        <w:t>22</w:t>
      </w:r>
      <w:r>
        <w:rPr>
          <w:rFonts w:ascii="Times New Roman" w:hAnsi="Times New Roman" w:eastAsia="宋体" w:cs="Times New Roman"/>
          <w:sz w:val="21"/>
          <w:szCs w:val="24"/>
        </w:rPr>
        <w:fldChar w:fldCharType="end"/>
      </w:r>
      <w:bookmarkEnd w:id="28"/>
      <w:r>
        <w:rPr>
          <w:rFonts w:hint="eastAsia" w:ascii="Times New Roman" w:hAnsi="Times New Roman" w:eastAsia="宋体" w:cs="Times New Roman"/>
          <w:sz w:val="21"/>
          <w:szCs w:val="24"/>
        </w:rPr>
        <w:t xml:space="preserve"> </w:t>
      </w:r>
      <w:r>
        <w:rPr>
          <w:rFonts w:ascii="Times New Roman" w:hAnsi="Times New Roman" w:eastAsia="宋体" w:cs="Times New Roman"/>
          <w:sz w:val="21"/>
          <w:szCs w:val="24"/>
        </w:rPr>
        <w:t>Centrality of Applicant Types by Phase (Unit: %)</w:t>
      </w:r>
    </w:p>
    <w:tbl>
      <w:tblPr>
        <w:tblStyle w:val="7"/>
        <w:tblW w:w="0" w:type="auto"/>
        <w:tblInd w:w="0" w:type="dxa"/>
        <w:tblBorders>
          <w:top w:val="single" w:color="auto" w:sz="8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6"/>
        <w:gridCol w:w="1146"/>
        <w:gridCol w:w="1215"/>
        <w:gridCol w:w="1159"/>
        <w:gridCol w:w="1194"/>
        <w:gridCol w:w="1138"/>
        <w:gridCol w:w="1238"/>
      </w:tblGrid>
      <w:tr w14:paraId="4E13F1E4">
        <w:tc>
          <w:tcPr>
            <w:tcW w:w="1216" w:type="dxa"/>
            <w:tcBorders>
              <w:top w:val="single" w:color="auto" w:sz="8" w:space="0"/>
              <w:bottom w:val="single" w:color="auto" w:sz="4" w:space="0"/>
            </w:tcBorders>
          </w:tcPr>
          <w:p w14:paraId="06F926A9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Applicant Type</w:t>
            </w:r>
          </w:p>
        </w:tc>
        <w:tc>
          <w:tcPr>
            <w:tcW w:w="2361" w:type="dxa"/>
            <w:gridSpan w:val="2"/>
            <w:tcBorders>
              <w:top w:val="single" w:color="auto" w:sz="8" w:space="0"/>
              <w:bottom w:val="single" w:color="auto" w:sz="4" w:space="0"/>
            </w:tcBorders>
          </w:tcPr>
          <w:p w14:paraId="1F4CE8CE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Degree Centrality</w:t>
            </w:r>
          </w:p>
        </w:tc>
        <w:tc>
          <w:tcPr>
            <w:tcW w:w="2353" w:type="dxa"/>
            <w:gridSpan w:val="2"/>
            <w:tcBorders>
              <w:top w:val="single" w:color="auto" w:sz="8" w:space="0"/>
              <w:bottom w:val="single" w:color="auto" w:sz="4" w:space="0"/>
            </w:tcBorders>
          </w:tcPr>
          <w:p w14:paraId="648BDE48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Closeness Centrality</w:t>
            </w:r>
          </w:p>
        </w:tc>
        <w:tc>
          <w:tcPr>
            <w:tcW w:w="2376" w:type="dxa"/>
            <w:gridSpan w:val="2"/>
            <w:tcBorders>
              <w:top w:val="single" w:color="auto" w:sz="8" w:space="0"/>
              <w:bottom w:val="single" w:color="auto" w:sz="4" w:space="0"/>
            </w:tcBorders>
          </w:tcPr>
          <w:p w14:paraId="64DB59E1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Betweenness Centrality</w:t>
            </w:r>
          </w:p>
        </w:tc>
      </w:tr>
      <w:tr w14:paraId="475B32F9">
        <w:tc>
          <w:tcPr>
            <w:tcW w:w="1216" w:type="dxa"/>
            <w:tcBorders>
              <w:top w:val="single" w:color="auto" w:sz="4" w:space="0"/>
              <w:bottom w:val="nil"/>
            </w:tcBorders>
          </w:tcPr>
          <w:p w14:paraId="6E3399E8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Phase</w:t>
            </w:r>
          </w:p>
        </w:tc>
        <w:tc>
          <w:tcPr>
            <w:tcW w:w="1146" w:type="dxa"/>
            <w:tcBorders>
              <w:top w:val="single" w:color="auto" w:sz="4" w:space="0"/>
              <w:bottom w:val="nil"/>
            </w:tcBorders>
          </w:tcPr>
          <w:p w14:paraId="4CA45091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2016–2020</w:t>
            </w:r>
          </w:p>
        </w:tc>
        <w:tc>
          <w:tcPr>
            <w:tcW w:w="1215" w:type="dxa"/>
            <w:tcBorders>
              <w:top w:val="single" w:color="auto" w:sz="4" w:space="0"/>
              <w:bottom w:val="nil"/>
            </w:tcBorders>
          </w:tcPr>
          <w:p w14:paraId="56B3AB1C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2021–2024</w:t>
            </w:r>
          </w:p>
        </w:tc>
        <w:tc>
          <w:tcPr>
            <w:tcW w:w="1159" w:type="dxa"/>
            <w:tcBorders>
              <w:top w:val="single" w:color="auto" w:sz="4" w:space="0"/>
              <w:bottom w:val="nil"/>
            </w:tcBorders>
          </w:tcPr>
          <w:p w14:paraId="45B8223F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2016–2020</w:t>
            </w:r>
          </w:p>
        </w:tc>
        <w:tc>
          <w:tcPr>
            <w:tcW w:w="1194" w:type="dxa"/>
            <w:tcBorders>
              <w:top w:val="single" w:color="auto" w:sz="4" w:space="0"/>
              <w:bottom w:val="nil"/>
            </w:tcBorders>
          </w:tcPr>
          <w:p w14:paraId="440692E5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2021–2024</w:t>
            </w:r>
          </w:p>
        </w:tc>
        <w:tc>
          <w:tcPr>
            <w:tcW w:w="1138" w:type="dxa"/>
            <w:tcBorders>
              <w:top w:val="single" w:color="auto" w:sz="4" w:space="0"/>
              <w:bottom w:val="nil"/>
            </w:tcBorders>
          </w:tcPr>
          <w:p w14:paraId="4B3E2405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2016–2020</w:t>
            </w:r>
          </w:p>
        </w:tc>
        <w:tc>
          <w:tcPr>
            <w:tcW w:w="1238" w:type="dxa"/>
            <w:tcBorders>
              <w:top w:val="single" w:color="auto" w:sz="4" w:space="0"/>
              <w:bottom w:val="nil"/>
            </w:tcBorders>
          </w:tcPr>
          <w:p w14:paraId="29F8C2F0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2021–2024</w:t>
            </w:r>
          </w:p>
        </w:tc>
      </w:tr>
      <w:tr w14:paraId="37B5B6B9">
        <w:tc>
          <w:tcPr>
            <w:tcW w:w="1216" w:type="dxa"/>
            <w:tcBorders>
              <w:top w:val="nil"/>
              <w:bottom w:val="nil"/>
            </w:tcBorders>
          </w:tcPr>
          <w:p w14:paraId="10BF66BB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Government Agency</w:t>
            </w:r>
          </w:p>
        </w:tc>
        <w:tc>
          <w:tcPr>
            <w:tcW w:w="1146" w:type="dxa"/>
            <w:tcBorders>
              <w:top w:val="nil"/>
              <w:bottom w:val="nil"/>
            </w:tcBorders>
          </w:tcPr>
          <w:p w14:paraId="19D4D978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66.67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15A799A7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100.00</w:t>
            </w:r>
          </w:p>
        </w:tc>
        <w:tc>
          <w:tcPr>
            <w:tcW w:w="1159" w:type="dxa"/>
            <w:tcBorders>
              <w:top w:val="nil"/>
              <w:bottom w:val="nil"/>
            </w:tcBorders>
          </w:tcPr>
          <w:p w14:paraId="59BE52F7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75</w:t>
            </w:r>
          </w:p>
        </w:tc>
        <w:tc>
          <w:tcPr>
            <w:tcW w:w="1194" w:type="dxa"/>
            <w:tcBorders>
              <w:top w:val="nil"/>
              <w:bottom w:val="nil"/>
            </w:tcBorders>
          </w:tcPr>
          <w:p w14:paraId="7581A984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100.00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0A511A5A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</w:t>
            </w:r>
          </w:p>
        </w:tc>
        <w:tc>
          <w:tcPr>
            <w:tcW w:w="1238" w:type="dxa"/>
            <w:tcBorders>
              <w:top w:val="nil"/>
              <w:bottom w:val="nil"/>
            </w:tcBorders>
          </w:tcPr>
          <w:p w14:paraId="646CA9A9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</w:t>
            </w:r>
          </w:p>
        </w:tc>
      </w:tr>
      <w:tr w14:paraId="1E3383B4">
        <w:tc>
          <w:tcPr>
            <w:tcW w:w="1216" w:type="dxa"/>
            <w:tcBorders>
              <w:top w:val="nil"/>
            </w:tcBorders>
          </w:tcPr>
          <w:p w14:paraId="512FBA7C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Enterprise</w:t>
            </w:r>
          </w:p>
        </w:tc>
        <w:tc>
          <w:tcPr>
            <w:tcW w:w="1146" w:type="dxa"/>
            <w:tcBorders>
              <w:top w:val="nil"/>
            </w:tcBorders>
          </w:tcPr>
          <w:p w14:paraId="2F121ABD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66.67</w:t>
            </w:r>
          </w:p>
        </w:tc>
        <w:tc>
          <w:tcPr>
            <w:tcW w:w="1215" w:type="dxa"/>
            <w:tcBorders>
              <w:top w:val="nil"/>
            </w:tcBorders>
          </w:tcPr>
          <w:p w14:paraId="64988984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100.00</w:t>
            </w:r>
          </w:p>
        </w:tc>
        <w:tc>
          <w:tcPr>
            <w:tcW w:w="1159" w:type="dxa"/>
            <w:tcBorders>
              <w:top w:val="nil"/>
            </w:tcBorders>
          </w:tcPr>
          <w:p w14:paraId="4AE08A62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75</w:t>
            </w:r>
          </w:p>
        </w:tc>
        <w:tc>
          <w:tcPr>
            <w:tcW w:w="1194" w:type="dxa"/>
            <w:tcBorders>
              <w:top w:val="nil"/>
            </w:tcBorders>
          </w:tcPr>
          <w:p w14:paraId="2329ADFD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100.00</w:t>
            </w:r>
          </w:p>
        </w:tc>
        <w:tc>
          <w:tcPr>
            <w:tcW w:w="1138" w:type="dxa"/>
            <w:tcBorders>
              <w:top w:val="nil"/>
            </w:tcBorders>
          </w:tcPr>
          <w:p w14:paraId="11049B54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</w:t>
            </w:r>
          </w:p>
        </w:tc>
        <w:tc>
          <w:tcPr>
            <w:tcW w:w="1238" w:type="dxa"/>
            <w:tcBorders>
              <w:top w:val="nil"/>
            </w:tcBorders>
          </w:tcPr>
          <w:p w14:paraId="78C7A5E0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</w:t>
            </w:r>
          </w:p>
        </w:tc>
      </w:tr>
      <w:tr w14:paraId="37A19451">
        <w:tc>
          <w:tcPr>
            <w:tcW w:w="1216" w:type="dxa"/>
            <w:tcBorders>
              <w:bottom w:val="nil"/>
            </w:tcBorders>
          </w:tcPr>
          <w:p w14:paraId="395057A6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University</w:t>
            </w:r>
          </w:p>
        </w:tc>
        <w:tc>
          <w:tcPr>
            <w:tcW w:w="1146" w:type="dxa"/>
            <w:tcBorders>
              <w:bottom w:val="nil"/>
            </w:tcBorders>
          </w:tcPr>
          <w:p w14:paraId="5A3F4B2D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100.00</w:t>
            </w:r>
          </w:p>
        </w:tc>
        <w:tc>
          <w:tcPr>
            <w:tcW w:w="1215" w:type="dxa"/>
            <w:tcBorders>
              <w:bottom w:val="nil"/>
            </w:tcBorders>
          </w:tcPr>
          <w:p w14:paraId="4933EF50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100.00</w:t>
            </w:r>
          </w:p>
        </w:tc>
        <w:tc>
          <w:tcPr>
            <w:tcW w:w="1159" w:type="dxa"/>
            <w:tcBorders>
              <w:bottom w:val="nil"/>
            </w:tcBorders>
          </w:tcPr>
          <w:p w14:paraId="6870B477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100.00</w:t>
            </w:r>
          </w:p>
        </w:tc>
        <w:tc>
          <w:tcPr>
            <w:tcW w:w="1194" w:type="dxa"/>
            <w:tcBorders>
              <w:bottom w:val="nil"/>
            </w:tcBorders>
          </w:tcPr>
          <w:p w14:paraId="46C8225B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100.00</w:t>
            </w:r>
          </w:p>
        </w:tc>
        <w:tc>
          <w:tcPr>
            <w:tcW w:w="1138" w:type="dxa"/>
            <w:tcBorders>
              <w:bottom w:val="nil"/>
            </w:tcBorders>
          </w:tcPr>
          <w:p w14:paraId="06DAD0D5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16.67</w:t>
            </w:r>
          </w:p>
        </w:tc>
        <w:tc>
          <w:tcPr>
            <w:tcW w:w="1238" w:type="dxa"/>
            <w:tcBorders>
              <w:bottom w:val="nil"/>
            </w:tcBorders>
          </w:tcPr>
          <w:p w14:paraId="138A31B4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</w:t>
            </w:r>
          </w:p>
        </w:tc>
      </w:tr>
      <w:tr w14:paraId="01B8576C">
        <w:tc>
          <w:tcPr>
            <w:tcW w:w="1216" w:type="dxa"/>
            <w:tcBorders>
              <w:top w:val="nil"/>
              <w:bottom w:val="single" w:color="auto" w:sz="8" w:space="0"/>
            </w:tcBorders>
          </w:tcPr>
          <w:p w14:paraId="4CC3BDAB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Research Institution</w:t>
            </w:r>
          </w:p>
        </w:tc>
        <w:tc>
          <w:tcPr>
            <w:tcW w:w="1146" w:type="dxa"/>
            <w:tcBorders>
              <w:top w:val="nil"/>
              <w:bottom w:val="single" w:color="auto" w:sz="8" w:space="0"/>
            </w:tcBorders>
          </w:tcPr>
          <w:p w14:paraId="0C502596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100.00</w:t>
            </w:r>
          </w:p>
        </w:tc>
        <w:tc>
          <w:tcPr>
            <w:tcW w:w="1215" w:type="dxa"/>
            <w:tcBorders>
              <w:top w:val="nil"/>
              <w:bottom w:val="single" w:color="auto" w:sz="8" w:space="0"/>
            </w:tcBorders>
          </w:tcPr>
          <w:p w14:paraId="79BEA482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100.00</w:t>
            </w:r>
          </w:p>
        </w:tc>
        <w:tc>
          <w:tcPr>
            <w:tcW w:w="1159" w:type="dxa"/>
            <w:tcBorders>
              <w:top w:val="nil"/>
              <w:bottom w:val="single" w:color="auto" w:sz="8" w:space="0"/>
            </w:tcBorders>
          </w:tcPr>
          <w:p w14:paraId="21BA1833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100.00</w:t>
            </w:r>
          </w:p>
        </w:tc>
        <w:tc>
          <w:tcPr>
            <w:tcW w:w="1194" w:type="dxa"/>
            <w:tcBorders>
              <w:top w:val="nil"/>
              <w:bottom w:val="single" w:color="auto" w:sz="8" w:space="0"/>
            </w:tcBorders>
          </w:tcPr>
          <w:p w14:paraId="7B3F1180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100.00</w:t>
            </w:r>
          </w:p>
        </w:tc>
        <w:tc>
          <w:tcPr>
            <w:tcW w:w="1138" w:type="dxa"/>
            <w:tcBorders>
              <w:top w:val="nil"/>
              <w:bottom w:val="single" w:color="auto" w:sz="8" w:space="0"/>
            </w:tcBorders>
          </w:tcPr>
          <w:p w14:paraId="3D8F4573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16.67</w:t>
            </w:r>
          </w:p>
        </w:tc>
        <w:tc>
          <w:tcPr>
            <w:tcW w:w="1238" w:type="dxa"/>
            <w:tcBorders>
              <w:top w:val="nil"/>
              <w:bottom w:val="single" w:color="auto" w:sz="8" w:space="0"/>
            </w:tcBorders>
          </w:tcPr>
          <w:p w14:paraId="3C68209F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</w:t>
            </w:r>
          </w:p>
        </w:tc>
      </w:tr>
    </w:tbl>
    <w:p w14:paraId="1C4FA861"/>
    <w:p w14:paraId="50F044CC">
      <w:pPr>
        <w:pStyle w:val="3"/>
        <w:jc w:val="center"/>
        <w:rPr>
          <w:rFonts w:ascii="Times New Roman" w:hAnsi="Times New Roman" w:eastAsia="宋体" w:cs="Times New Roman"/>
          <w:sz w:val="21"/>
          <w:szCs w:val="24"/>
        </w:rPr>
      </w:pPr>
      <w:bookmarkStart w:id="29" w:name="_Ref233128309"/>
      <w:r>
        <w:rPr>
          <w:rFonts w:ascii="Times New Roman" w:hAnsi="Times New Roman" w:eastAsia="宋体" w:cs="Times New Roman"/>
          <w:sz w:val="21"/>
          <w:szCs w:val="24"/>
        </w:rPr>
        <w:t>Table A</w:t>
      </w:r>
      <w:r>
        <w:rPr>
          <w:rFonts w:ascii="Times New Roman" w:hAnsi="Times New Roman" w:eastAsia="宋体" w:cs="Times New Roman"/>
          <w:sz w:val="21"/>
          <w:szCs w:val="24"/>
        </w:rPr>
        <w:fldChar w:fldCharType="begin"/>
      </w:r>
      <w:r>
        <w:rPr>
          <w:rFonts w:ascii="Times New Roman" w:hAnsi="Times New Roman" w:eastAsia="宋体" w:cs="Times New Roman"/>
          <w:sz w:val="21"/>
          <w:szCs w:val="24"/>
        </w:rPr>
        <w:instrText xml:space="preserve"> SEQ Table_A \* ARABIC </w:instrText>
      </w:r>
      <w:r>
        <w:rPr>
          <w:rFonts w:ascii="Times New Roman" w:hAnsi="Times New Roman" w:eastAsia="宋体" w:cs="Times New Roman"/>
          <w:sz w:val="21"/>
          <w:szCs w:val="24"/>
        </w:rPr>
        <w:fldChar w:fldCharType="separate"/>
      </w:r>
      <w:r>
        <w:rPr>
          <w:rFonts w:ascii="Times New Roman" w:hAnsi="Times New Roman" w:eastAsia="宋体" w:cs="Times New Roman"/>
          <w:sz w:val="21"/>
          <w:szCs w:val="24"/>
        </w:rPr>
        <w:t>23</w:t>
      </w:r>
      <w:r>
        <w:rPr>
          <w:rFonts w:ascii="Times New Roman" w:hAnsi="Times New Roman" w:eastAsia="宋体" w:cs="Times New Roman"/>
          <w:sz w:val="21"/>
          <w:szCs w:val="24"/>
        </w:rPr>
        <w:fldChar w:fldCharType="end"/>
      </w:r>
      <w:bookmarkEnd w:id="29"/>
      <w:r>
        <w:rPr>
          <w:rFonts w:hint="eastAsia" w:ascii="Times New Roman" w:hAnsi="Times New Roman" w:eastAsia="宋体" w:cs="Times New Roman"/>
          <w:sz w:val="21"/>
          <w:szCs w:val="24"/>
        </w:rPr>
        <w:t xml:space="preserve"> </w:t>
      </w:r>
      <w:r>
        <w:rPr>
          <w:rFonts w:ascii="Times New Roman" w:hAnsi="Times New Roman" w:eastAsia="宋体" w:cs="Times New Roman"/>
          <w:sz w:val="21"/>
          <w:szCs w:val="24"/>
        </w:rPr>
        <w:t>Results of QAP correlation analysis</w:t>
      </w:r>
    </w:p>
    <w:tbl>
      <w:tblPr>
        <w:tblStyle w:val="7"/>
        <w:tblW w:w="0" w:type="auto"/>
        <w:tblInd w:w="0" w:type="dxa"/>
        <w:tblBorders>
          <w:top w:val="single" w:color="auto" w:sz="8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1743"/>
        <w:gridCol w:w="105"/>
        <w:gridCol w:w="1969"/>
        <w:gridCol w:w="2074"/>
      </w:tblGrid>
      <w:tr w14:paraId="3A54745A">
        <w:tc>
          <w:tcPr>
            <w:tcW w:w="2405" w:type="dxa"/>
            <w:tcBorders>
              <w:top w:val="single" w:color="auto" w:sz="8" w:space="0"/>
              <w:bottom w:val="single" w:color="auto" w:sz="4" w:space="0"/>
            </w:tcBorders>
          </w:tcPr>
          <w:p w14:paraId="433253B0">
            <w:pPr>
              <w:jc w:val="center"/>
              <w:rPr>
                <w:b/>
                <w:bCs/>
                <w:kern w:val="0"/>
                <w:sz w:val="20"/>
                <w:szCs w:val="21"/>
              </w:rPr>
            </w:pPr>
            <w:r>
              <w:rPr>
                <w:b/>
                <w:bCs/>
                <w:kern w:val="0"/>
                <w:sz w:val="20"/>
                <w:szCs w:val="21"/>
              </w:rPr>
              <w:t>Variable pair</w:t>
            </w:r>
          </w:p>
        </w:tc>
        <w:tc>
          <w:tcPr>
            <w:tcW w:w="1848" w:type="dxa"/>
            <w:gridSpan w:val="2"/>
            <w:tcBorders>
              <w:top w:val="single" w:color="auto" w:sz="8" w:space="0"/>
              <w:bottom w:val="single" w:color="auto" w:sz="4" w:space="0"/>
            </w:tcBorders>
          </w:tcPr>
          <w:p w14:paraId="7CC153E3">
            <w:pPr>
              <w:jc w:val="center"/>
              <w:rPr>
                <w:b/>
                <w:bCs/>
                <w:kern w:val="0"/>
                <w:sz w:val="20"/>
                <w:szCs w:val="21"/>
              </w:rPr>
            </w:pPr>
            <w:r>
              <w:rPr>
                <w:b/>
                <w:bCs/>
                <w:kern w:val="0"/>
                <w:sz w:val="20"/>
                <w:szCs w:val="21"/>
              </w:rPr>
              <w:t>Pearson correlation coefficient</w:t>
            </w:r>
          </w:p>
        </w:tc>
        <w:tc>
          <w:tcPr>
            <w:tcW w:w="1969" w:type="dxa"/>
            <w:tcBorders>
              <w:top w:val="single" w:color="auto" w:sz="8" w:space="0"/>
              <w:bottom w:val="single" w:color="auto" w:sz="4" w:space="0"/>
            </w:tcBorders>
          </w:tcPr>
          <w:p w14:paraId="1FBC1A36">
            <w:pPr>
              <w:jc w:val="center"/>
              <w:rPr>
                <w:b/>
                <w:bCs/>
                <w:kern w:val="0"/>
                <w:sz w:val="20"/>
                <w:szCs w:val="21"/>
              </w:rPr>
            </w:pPr>
            <w:r>
              <w:rPr>
                <w:b/>
                <w:bCs/>
                <w:kern w:val="0"/>
                <w:sz w:val="20"/>
                <w:szCs w:val="21"/>
              </w:rPr>
              <w:t>QAP correlation coefficient</w:t>
            </w:r>
          </w:p>
        </w:tc>
        <w:tc>
          <w:tcPr>
            <w:tcW w:w="2074" w:type="dxa"/>
            <w:tcBorders>
              <w:top w:val="single" w:color="auto" w:sz="8" w:space="0"/>
              <w:bottom w:val="single" w:color="auto" w:sz="4" w:space="0"/>
            </w:tcBorders>
          </w:tcPr>
          <w:p w14:paraId="0E464F14">
            <w:pPr>
              <w:jc w:val="center"/>
              <w:rPr>
                <w:b/>
                <w:bCs/>
                <w:kern w:val="0"/>
                <w:sz w:val="20"/>
                <w:szCs w:val="21"/>
              </w:rPr>
            </w:pPr>
            <w:r>
              <w:rPr>
                <w:b/>
                <w:bCs/>
                <w:kern w:val="0"/>
                <w:sz w:val="20"/>
                <w:szCs w:val="21"/>
              </w:rPr>
              <w:t>Significance (p-value)</w:t>
            </w:r>
          </w:p>
        </w:tc>
      </w:tr>
      <w:tr w14:paraId="633EA4A8">
        <w:tc>
          <w:tcPr>
            <w:tcW w:w="2405" w:type="dxa"/>
            <w:tcBorders>
              <w:top w:val="single" w:color="auto" w:sz="4" w:space="0"/>
            </w:tcBorders>
          </w:tcPr>
          <w:p w14:paraId="5500827A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Applicant collaboration &amp; Geographical proximity matrix</w:t>
            </w:r>
          </w:p>
        </w:tc>
        <w:tc>
          <w:tcPr>
            <w:tcW w:w="1743" w:type="dxa"/>
            <w:tcBorders>
              <w:top w:val="single" w:color="auto" w:sz="4" w:space="0"/>
            </w:tcBorders>
          </w:tcPr>
          <w:p w14:paraId="0F9A5DBC">
            <w:pPr>
              <w:jc w:val="center"/>
              <w:rPr>
                <w:kern w:val="0"/>
                <w:sz w:val="20"/>
                <w:szCs w:val="21"/>
                <w:vertAlign w:val="superscript"/>
              </w:rPr>
            </w:pPr>
            <w:r>
              <w:rPr>
                <w:kern w:val="0"/>
                <w:sz w:val="20"/>
                <w:szCs w:val="21"/>
              </w:rPr>
              <w:t>0.069</w:t>
            </w:r>
            <w:r>
              <w:rPr>
                <w:kern w:val="0"/>
                <w:sz w:val="20"/>
                <w:szCs w:val="21"/>
                <w:vertAlign w:val="superscript"/>
              </w:rPr>
              <w:t>***</w:t>
            </w:r>
          </w:p>
        </w:tc>
        <w:tc>
          <w:tcPr>
            <w:tcW w:w="2074" w:type="dxa"/>
            <w:gridSpan w:val="2"/>
            <w:tcBorders>
              <w:top w:val="single" w:color="auto" w:sz="4" w:space="0"/>
            </w:tcBorders>
          </w:tcPr>
          <w:p w14:paraId="300ABFDA">
            <w:pPr>
              <w:jc w:val="center"/>
              <w:rPr>
                <w:kern w:val="0"/>
                <w:sz w:val="20"/>
                <w:szCs w:val="21"/>
                <w:vertAlign w:val="superscript"/>
              </w:rPr>
            </w:pPr>
            <w:r>
              <w:rPr>
                <w:kern w:val="0"/>
                <w:sz w:val="20"/>
                <w:szCs w:val="21"/>
              </w:rPr>
              <w:t>0.07</w:t>
            </w:r>
            <w:r>
              <w:rPr>
                <w:kern w:val="0"/>
                <w:sz w:val="20"/>
                <w:szCs w:val="21"/>
                <w:vertAlign w:val="superscript"/>
              </w:rPr>
              <w:t>***</w:t>
            </w:r>
          </w:p>
        </w:tc>
        <w:tc>
          <w:tcPr>
            <w:tcW w:w="2074" w:type="dxa"/>
            <w:tcBorders>
              <w:top w:val="single" w:color="auto" w:sz="4" w:space="0"/>
            </w:tcBorders>
          </w:tcPr>
          <w:p w14:paraId="276EDDC5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0.000</w:t>
            </w:r>
          </w:p>
        </w:tc>
      </w:tr>
      <w:tr w14:paraId="6B0795DA">
        <w:tc>
          <w:tcPr>
            <w:tcW w:w="2405" w:type="dxa"/>
            <w:tcBorders>
              <w:top w:val="nil"/>
              <w:bottom w:val="single" w:color="auto" w:sz="8" w:space="0"/>
            </w:tcBorders>
          </w:tcPr>
          <w:p w14:paraId="753FB5EB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Applicant collaboration &amp; technological collaboration</w:t>
            </w:r>
          </w:p>
        </w:tc>
        <w:tc>
          <w:tcPr>
            <w:tcW w:w="1743" w:type="dxa"/>
            <w:tcBorders>
              <w:top w:val="nil"/>
              <w:bottom w:val="single" w:color="auto" w:sz="8" w:space="0"/>
            </w:tcBorders>
          </w:tcPr>
          <w:p w14:paraId="2832E000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0.023</w:t>
            </w:r>
            <w:r>
              <w:rPr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074" w:type="dxa"/>
            <w:gridSpan w:val="2"/>
            <w:tcBorders>
              <w:top w:val="nil"/>
              <w:bottom w:val="single" w:color="auto" w:sz="8" w:space="0"/>
            </w:tcBorders>
          </w:tcPr>
          <w:p w14:paraId="42C81B91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0.02</w:t>
            </w:r>
            <w:r>
              <w:rPr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074" w:type="dxa"/>
            <w:tcBorders>
              <w:top w:val="nil"/>
              <w:bottom w:val="single" w:color="auto" w:sz="8" w:space="0"/>
            </w:tcBorders>
          </w:tcPr>
          <w:p w14:paraId="11D67307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0.001</w:t>
            </w:r>
          </w:p>
        </w:tc>
      </w:tr>
    </w:tbl>
    <w:p w14:paraId="1D0CC2E2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Note: 1 *** p &lt; 0.001，** p &lt; 0.01，* p &lt; 0.05。2 Number of permutations = 5000.</w:t>
      </w:r>
    </w:p>
    <w:p w14:paraId="62903ABE"/>
    <w:p w14:paraId="15BF0A4D">
      <w:pPr>
        <w:pStyle w:val="3"/>
        <w:jc w:val="center"/>
        <w:rPr>
          <w:rFonts w:ascii="Times New Roman" w:hAnsi="Times New Roman" w:eastAsia="宋体" w:cs="Times New Roman"/>
          <w:sz w:val="21"/>
          <w:szCs w:val="24"/>
        </w:rPr>
      </w:pPr>
      <w:bookmarkStart w:id="30" w:name="_Ref233128322"/>
      <w:r>
        <w:rPr>
          <w:rFonts w:ascii="Times New Roman" w:hAnsi="Times New Roman" w:eastAsia="宋体" w:cs="Times New Roman"/>
          <w:sz w:val="21"/>
          <w:szCs w:val="24"/>
        </w:rPr>
        <w:t>Table A</w:t>
      </w:r>
      <w:r>
        <w:rPr>
          <w:rFonts w:ascii="Times New Roman" w:hAnsi="Times New Roman" w:eastAsia="宋体" w:cs="Times New Roman"/>
          <w:sz w:val="21"/>
          <w:szCs w:val="24"/>
        </w:rPr>
        <w:fldChar w:fldCharType="begin"/>
      </w:r>
      <w:r>
        <w:rPr>
          <w:rFonts w:ascii="Times New Roman" w:hAnsi="Times New Roman" w:eastAsia="宋体" w:cs="Times New Roman"/>
          <w:sz w:val="21"/>
          <w:szCs w:val="24"/>
        </w:rPr>
        <w:instrText xml:space="preserve"> SEQ Table_A \* ARABIC </w:instrText>
      </w:r>
      <w:r>
        <w:rPr>
          <w:rFonts w:ascii="Times New Roman" w:hAnsi="Times New Roman" w:eastAsia="宋体" w:cs="Times New Roman"/>
          <w:sz w:val="21"/>
          <w:szCs w:val="24"/>
        </w:rPr>
        <w:fldChar w:fldCharType="separate"/>
      </w:r>
      <w:r>
        <w:rPr>
          <w:rFonts w:ascii="Times New Roman" w:hAnsi="Times New Roman" w:eastAsia="宋体" w:cs="Times New Roman"/>
          <w:sz w:val="21"/>
          <w:szCs w:val="24"/>
        </w:rPr>
        <w:t>24</w:t>
      </w:r>
      <w:r>
        <w:rPr>
          <w:rFonts w:ascii="Times New Roman" w:hAnsi="Times New Roman" w:eastAsia="宋体" w:cs="Times New Roman"/>
          <w:sz w:val="21"/>
          <w:szCs w:val="24"/>
        </w:rPr>
        <w:fldChar w:fldCharType="end"/>
      </w:r>
      <w:bookmarkEnd w:id="30"/>
      <w:r>
        <w:rPr>
          <w:rFonts w:ascii="Times New Roman" w:hAnsi="Times New Roman" w:eastAsia="宋体" w:cs="Times New Roman"/>
          <w:sz w:val="21"/>
          <w:szCs w:val="24"/>
        </w:rPr>
        <w:t xml:space="preserve"> Results of QAP regression analysis</w:t>
      </w:r>
    </w:p>
    <w:tbl>
      <w:tblPr>
        <w:tblStyle w:val="7"/>
        <w:tblW w:w="83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8"/>
        <w:gridCol w:w="1583"/>
        <w:gridCol w:w="1373"/>
        <w:gridCol w:w="1323"/>
        <w:gridCol w:w="1284"/>
        <w:gridCol w:w="1308"/>
      </w:tblGrid>
      <w:tr w14:paraId="67642650">
        <w:tc>
          <w:tcPr>
            <w:tcW w:w="1468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</w:tcPr>
          <w:p w14:paraId="247CA12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1"/>
              </w:rPr>
              <w:t>Independent variable</w:t>
            </w:r>
          </w:p>
        </w:tc>
        <w:tc>
          <w:tcPr>
            <w:tcW w:w="1583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</w:tcPr>
          <w:p w14:paraId="5C3F494E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1"/>
              </w:rPr>
              <w:t>Unstandardized coefficient</w:t>
            </w:r>
          </w:p>
        </w:tc>
        <w:tc>
          <w:tcPr>
            <w:tcW w:w="1373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</w:tcPr>
          <w:p w14:paraId="02EC2402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1"/>
              </w:rPr>
              <w:t>Standardized coefficient</w:t>
            </w:r>
          </w:p>
        </w:tc>
        <w:tc>
          <w:tcPr>
            <w:tcW w:w="1323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</w:tcPr>
          <w:p w14:paraId="382E1F11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1"/>
              </w:rPr>
              <w:t>Significance</w:t>
            </w:r>
          </w:p>
        </w:tc>
        <w:tc>
          <w:tcPr>
            <w:tcW w:w="1284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</w:tcPr>
          <w:p w14:paraId="5C6AADD0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1"/>
              </w:rPr>
              <w:t>Proportion ≥ current value</w:t>
            </w:r>
          </w:p>
        </w:tc>
        <w:tc>
          <w:tcPr>
            <w:tcW w:w="1308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</w:tcPr>
          <w:p w14:paraId="039ADEDB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1"/>
              </w:rPr>
              <w:t>Proportion ≤ current value</w:t>
            </w:r>
          </w:p>
        </w:tc>
      </w:tr>
      <w:tr w14:paraId="3B16CDDC">
        <w:tc>
          <w:tcPr>
            <w:tcW w:w="146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081EB21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Constant</w:t>
            </w:r>
          </w:p>
        </w:tc>
        <w:tc>
          <w:tcPr>
            <w:tcW w:w="158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CA2ECD5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0.002772</w:t>
            </w:r>
          </w:p>
        </w:tc>
        <w:tc>
          <w:tcPr>
            <w:tcW w:w="137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31645E01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0.000000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2770FCC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0"/>
              </w:rPr>
              <w:t>—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CA5F13B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0"/>
              </w:rPr>
              <w:t>—</w:t>
            </w:r>
          </w:p>
        </w:tc>
        <w:tc>
          <w:tcPr>
            <w:tcW w:w="130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5244277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0"/>
              </w:rPr>
              <w:t>—</w:t>
            </w:r>
          </w:p>
        </w:tc>
      </w:tr>
      <w:tr w14:paraId="16559355"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14:paraId="74E449B6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Geographical proximity matrix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74ECAE52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0.012927</w:t>
            </w:r>
            <w:r>
              <w:rPr>
                <w:color w:val="000000"/>
                <w:kern w:val="0"/>
                <w:sz w:val="20"/>
                <w:szCs w:val="21"/>
                <w:vertAlign w:val="superscript"/>
              </w:rPr>
              <w:t>***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14:paraId="36E86C8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0.068792</w:t>
            </w:r>
            <w:r>
              <w:rPr>
                <w:color w:val="000000"/>
                <w:kern w:val="0"/>
                <w:sz w:val="20"/>
                <w:szCs w:val="21"/>
                <w:vertAlign w:val="superscript"/>
              </w:rPr>
              <w:t>***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0D97A6A6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0.000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14:paraId="0DE0E59B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0.000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14:paraId="07D520BC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1.000</w:t>
            </w:r>
          </w:p>
        </w:tc>
      </w:tr>
      <w:tr w14:paraId="3EA19E30"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14:paraId="6C01DED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Technological proximity matrix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1ECF02CD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0.019634</w:t>
            </w:r>
            <w:r>
              <w:rPr>
                <w:color w:val="000000"/>
                <w:kern w:val="0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14:paraId="06AB2F8B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0.022189</w:t>
            </w:r>
            <w:r>
              <w:rPr>
                <w:color w:val="000000"/>
                <w:kern w:val="0"/>
                <w:sz w:val="20"/>
                <w:szCs w:val="21"/>
                <w:vertAlign w:val="superscript"/>
              </w:rPr>
              <w:t>**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704B9C65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0.002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14:paraId="1FBBB1AD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0.002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14:paraId="7E9BEB5F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0.999</w:t>
            </w:r>
          </w:p>
        </w:tc>
      </w:tr>
      <w:tr w14:paraId="46EB5B2A"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14:paraId="2CBC11B8">
            <w:pPr>
              <w:widowControl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Adjusted</w:t>
            </w:r>
            <w:r>
              <w:rPr>
                <w:i/>
                <w:iCs/>
                <w:color w:val="000000"/>
                <w:kern w:val="0"/>
                <w:sz w:val="20"/>
                <w:szCs w:val="21"/>
              </w:rPr>
              <w:t xml:space="preserve"> R</w:t>
            </w:r>
            <w:r>
              <w:rPr>
                <w:color w:val="000000"/>
                <w:kern w:val="0"/>
                <w:sz w:val="20"/>
                <w:szCs w:val="21"/>
                <w:vertAlign w:val="superscript"/>
              </w:rPr>
              <w:t>2</w:t>
            </w:r>
          </w:p>
        </w:tc>
        <w:tc>
          <w:tcPr>
            <w:tcW w:w="6871" w:type="dxa"/>
            <w:gridSpan w:val="5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06B41DE4">
            <w:pPr>
              <w:widowControl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0.005</w:t>
            </w:r>
          </w:p>
        </w:tc>
      </w:tr>
      <w:tr w14:paraId="71A8D082"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14:paraId="1DFF0365">
            <w:pPr>
              <w:widowControl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Model significance</w:t>
            </w:r>
          </w:p>
        </w:tc>
        <w:tc>
          <w:tcPr>
            <w:tcW w:w="68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B9CAE1">
            <w:pPr>
              <w:widowControl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0.000</w:t>
            </w:r>
            <w:r>
              <w:rPr>
                <w:color w:val="000000"/>
                <w:kern w:val="0"/>
                <w:sz w:val="20"/>
                <w:szCs w:val="21"/>
                <w:vertAlign w:val="superscript"/>
              </w:rPr>
              <w:t>***</w:t>
            </w:r>
          </w:p>
        </w:tc>
      </w:tr>
      <w:tr w14:paraId="44F3D6B0">
        <w:tc>
          <w:tcPr>
            <w:tcW w:w="1468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7E073AEF">
            <w:pPr>
              <w:widowControl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Number of observations</w:t>
            </w:r>
          </w:p>
        </w:tc>
        <w:tc>
          <w:tcPr>
            <w:tcW w:w="6871" w:type="dxa"/>
            <w:gridSpan w:val="5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0B227BCB">
            <w:pPr>
              <w:widowControl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45156</w:t>
            </w:r>
          </w:p>
        </w:tc>
      </w:tr>
    </w:tbl>
    <w:p w14:paraId="47015719">
      <w:pPr>
        <w:widowControl/>
        <w:spacing w:line="360" w:lineRule="auto"/>
        <w:jc w:val="left"/>
        <w:rPr>
          <w:sz w:val="18"/>
          <w:szCs w:val="18"/>
        </w:rPr>
      </w:pPr>
      <w:r>
        <w:rPr>
          <w:sz w:val="18"/>
          <w:szCs w:val="18"/>
        </w:rPr>
        <w:t>Note: 1 *** p &lt; 0.001，** p &lt; 0.01，* p &lt; 0.05。2 Number of permutations = 5000.</w:t>
      </w:r>
    </w:p>
    <w:p w14:paraId="428E3FE0"/>
    <w:p w14:paraId="7F85C708">
      <w:pPr>
        <w:pStyle w:val="3"/>
        <w:keepNext/>
        <w:jc w:val="center"/>
        <w:rPr>
          <w:rFonts w:ascii="Times New Roman" w:hAnsi="Times New Roman" w:cs="Times New Roman"/>
          <w:sz w:val="21"/>
          <w:szCs w:val="21"/>
        </w:rPr>
      </w:pPr>
      <w:bookmarkStart w:id="31" w:name="_Ref233128383"/>
      <w:r>
        <w:rPr>
          <w:rFonts w:ascii="Times New Roman" w:hAnsi="Times New Roman" w:cs="Times New Roman"/>
          <w:sz w:val="21"/>
          <w:szCs w:val="21"/>
        </w:rPr>
        <w:t>Table A</w:t>
      </w:r>
      <w:r>
        <w:rPr>
          <w:rFonts w:ascii="Times New Roman" w:hAnsi="Times New Roman" w:cs="Times New Roman"/>
          <w:sz w:val="21"/>
          <w:szCs w:val="21"/>
        </w:rPr>
        <w:fldChar w:fldCharType="begin"/>
      </w:r>
      <w:r>
        <w:rPr>
          <w:rFonts w:ascii="Times New Roman" w:hAnsi="Times New Roman" w:cs="Times New Roman"/>
          <w:sz w:val="21"/>
          <w:szCs w:val="21"/>
        </w:rPr>
        <w:instrText xml:space="preserve"> SEQ Table_A \* ARABIC </w:instrText>
      </w:r>
      <w:r>
        <w:rPr>
          <w:rFonts w:ascii="Times New Roman" w:hAnsi="Times New Roman" w:cs="Times New Roman"/>
          <w:sz w:val="21"/>
          <w:szCs w:val="21"/>
        </w:rPr>
        <w:fldChar w:fldCharType="separate"/>
      </w:r>
      <w:r>
        <w:rPr>
          <w:rFonts w:hint="eastAsia" w:ascii="Times New Roman" w:hAnsi="Times New Roman" w:cs="Times New Roman"/>
          <w:sz w:val="21"/>
          <w:szCs w:val="21"/>
        </w:rPr>
        <w:t>25</w:t>
      </w:r>
      <w:r>
        <w:rPr>
          <w:rFonts w:ascii="Times New Roman" w:hAnsi="Times New Roman" w:cs="Times New Roman"/>
          <w:sz w:val="21"/>
          <w:szCs w:val="21"/>
        </w:rPr>
        <w:fldChar w:fldCharType="end"/>
      </w:r>
      <w:bookmarkEnd w:id="31"/>
      <w:r>
        <w:rPr>
          <w:rFonts w:ascii="Times New Roman" w:hAnsi="Times New Roman" w:cs="Times New Roman"/>
          <w:sz w:val="21"/>
          <w:szCs w:val="21"/>
        </w:rPr>
        <w:t xml:space="preserve"> Core IPC categories and definitions</w:t>
      </w: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9"/>
        <w:gridCol w:w="5607"/>
      </w:tblGrid>
      <w:tr w14:paraId="256694FB">
        <w:tc>
          <w:tcPr>
            <w:tcW w:w="2689" w:type="dxa"/>
            <w:tcBorders>
              <w:top w:val="single" w:color="auto" w:sz="8" w:space="0"/>
              <w:bottom w:val="single" w:color="auto" w:sz="4" w:space="0"/>
            </w:tcBorders>
          </w:tcPr>
          <w:p w14:paraId="5821280D">
            <w:pPr>
              <w:keepNext/>
              <w:tabs>
                <w:tab w:val="left" w:pos="748"/>
                <w:tab w:val="center" w:pos="1236"/>
              </w:tabs>
              <w:jc w:val="left"/>
              <w:rPr>
                <w:b/>
                <w:bCs/>
                <w:kern w:val="0"/>
                <w:sz w:val="20"/>
              </w:rPr>
            </w:pPr>
            <w:r>
              <w:rPr>
                <w:b/>
                <w:bCs/>
                <w:kern w:val="0"/>
                <w:sz w:val="20"/>
              </w:rPr>
              <w:tab/>
            </w:r>
            <w:r>
              <w:rPr>
                <w:b/>
                <w:bCs/>
                <w:kern w:val="0"/>
                <w:sz w:val="20"/>
              </w:rPr>
              <w:tab/>
            </w:r>
            <w:r>
              <w:rPr>
                <w:b/>
                <w:bCs/>
                <w:kern w:val="0"/>
                <w:sz w:val="20"/>
              </w:rPr>
              <w:t>IPC code</w:t>
            </w:r>
          </w:p>
        </w:tc>
        <w:tc>
          <w:tcPr>
            <w:tcW w:w="5607" w:type="dxa"/>
            <w:tcBorders>
              <w:top w:val="single" w:color="auto" w:sz="8" w:space="0"/>
              <w:bottom w:val="single" w:color="auto" w:sz="4" w:space="0"/>
            </w:tcBorders>
          </w:tcPr>
          <w:p w14:paraId="0B0A4E32">
            <w:pPr>
              <w:keepNext/>
              <w:jc w:val="center"/>
              <w:rPr>
                <w:b/>
                <w:bCs/>
                <w:kern w:val="0"/>
                <w:sz w:val="20"/>
              </w:rPr>
            </w:pPr>
            <w:r>
              <w:rPr>
                <w:b/>
                <w:bCs/>
                <w:kern w:val="0"/>
                <w:sz w:val="20"/>
              </w:rPr>
              <w:t>Definition</w:t>
            </w:r>
          </w:p>
        </w:tc>
      </w:tr>
      <w:tr w14:paraId="7261C5F8">
        <w:tc>
          <w:tcPr>
            <w:tcW w:w="2689" w:type="dxa"/>
            <w:tcBorders>
              <w:top w:val="single" w:color="auto" w:sz="4" w:space="0"/>
              <w:bottom w:val="nil"/>
            </w:tcBorders>
          </w:tcPr>
          <w:p w14:paraId="6B6E193A">
            <w:bookmarkStart w:id="32" w:name="OLE_LINK32"/>
            <w:r>
              <w:t>A23L33/00</w:t>
            </w:r>
            <w:bookmarkEnd w:id="32"/>
          </w:p>
        </w:tc>
        <w:tc>
          <w:tcPr>
            <w:tcW w:w="5607" w:type="dxa"/>
            <w:tcBorders>
              <w:top w:val="single" w:color="auto" w:sz="4" w:space="0"/>
              <w:bottom w:val="nil"/>
            </w:tcBorders>
          </w:tcPr>
          <w:p w14:paraId="79CAC12D">
            <w:r>
              <w:t>Modifying nutritive qualities of </w:t>
            </w:r>
            <w:r>
              <w:fldChar w:fldCharType="begin"/>
            </w:r>
            <w:r>
              <w:instrText xml:space="preserve"> HYPERLINK "https://www.wipo.int/classifications/ipc/en/ITsupport/Version20170101/transformations/ipc/20170101/en/htm/A23L.htm" \l "70" </w:instrText>
            </w:r>
            <w:r>
              <w:fldChar w:fldCharType="separate"/>
            </w:r>
            <w:r>
              <w:t>foods</w:t>
            </w:r>
            <w:r>
              <w:fldChar w:fldCharType="end"/>
            </w:r>
            <w:r>
              <w:t>; Dietetic products; </w:t>
            </w:r>
            <w:r>
              <w:fldChar w:fldCharType="begin"/>
            </w:r>
            <w:r>
              <w:instrText xml:space="preserve"> HYPERLINK "https://www.wipo.int/classifications/ipc/en/ITsupport/Version20170101/transformations/ipc/20170101/en/htm/A23L.htm" \l "1549" </w:instrText>
            </w:r>
            <w:r>
              <w:fldChar w:fldCharType="separate"/>
            </w:r>
            <w:r>
              <w:t>Preparation</w:t>
            </w:r>
            <w:r>
              <w:fldChar w:fldCharType="end"/>
            </w:r>
            <w:r>
              <w:t> or </w:t>
            </w:r>
            <w:r>
              <w:fldChar w:fldCharType="begin"/>
            </w:r>
            <w:r>
              <w:instrText xml:space="preserve"> HYPERLINK "https://www.wipo.int/classifications/ipc/en/ITsupport/Version20170101/transformations/ipc/20170101/en/htm/A23L.htm" \l "1544" </w:instrText>
            </w:r>
            <w:r>
              <w:fldChar w:fldCharType="separate"/>
            </w:r>
            <w:r>
              <w:t>treatment</w:t>
            </w:r>
            <w:r>
              <w:fldChar w:fldCharType="end"/>
            </w:r>
            <w:r>
              <w:t> thereof</w:t>
            </w:r>
          </w:p>
        </w:tc>
      </w:tr>
      <w:tr w14:paraId="4F42BCB8">
        <w:tc>
          <w:tcPr>
            <w:tcW w:w="2689" w:type="dxa"/>
            <w:tcBorders>
              <w:top w:val="nil"/>
            </w:tcBorders>
          </w:tcPr>
          <w:p w14:paraId="2BF4A738">
            <w:r>
              <w:t>A23L33/105</w:t>
            </w:r>
          </w:p>
        </w:tc>
        <w:tc>
          <w:tcPr>
            <w:tcW w:w="5607" w:type="dxa"/>
            <w:tcBorders>
              <w:top w:val="nil"/>
            </w:tcBorders>
          </w:tcPr>
          <w:p w14:paraId="63BFC703">
            <w:r>
              <w:fldChar w:fldCharType="begin"/>
            </w:r>
            <w:r>
              <w:instrText xml:space="preserve"> HYPERLINK "https://www.wipo.int/classifications/ipc/en/ITsupport/Version20170101/transformations/ipc/20170101/en/htm/A23L.htm" \l "3548" </w:instrText>
            </w:r>
            <w:r>
              <w:fldChar w:fldCharType="separate"/>
            </w:r>
            <w:r>
              <w:t>Plant</w:t>
            </w:r>
            <w:r>
              <w:fldChar w:fldCharType="end"/>
            </w:r>
            <w:r>
              <w:t> extracts, their artificial duplicates or their derivatives</w:t>
            </w:r>
          </w:p>
        </w:tc>
      </w:tr>
      <w:tr w14:paraId="1DB3F6CF">
        <w:tc>
          <w:tcPr>
            <w:tcW w:w="2689" w:type="dxa"/>
          </w:tcPr>
          <w:p w14:paraId="4E4EB7A2">
            <w:r>
              <w:t>A23K10/30</w:t>
            </w:r>
          </w:p>
        </w:tc>
        <w:tc>
          <w:tcPr>
            <w:tcW w:w="5607" w:type="dxa"/>
          </w:tcPr>
          <w:p w14:paraId="3CE7A50F">
            <w:r>
              <w:t>from </w:t>
            </w:r>
            <w:r>
              <w:fldChar w:fldCharType="begin"/>
            </w:r>
            <w:r>
              <w:instrText xml:space="preserve"> HYPERLINK "https://www.wipo.int/classifications/ipc/en/ITsupport/Version20190101/transformations/ipc/20190101/en/htm/A23K.htm" \l "1539" </w:instrText>
            </w:r>
            <w:r>
              <w:fldChar w:fldCharType="separate"/>
            </w:r>
            <w:r>
              <w:t>material</w:t>
            </w:r>
            <w:r>
              <w:fldChar w:fldCharType="end"/>
            </w:r>
            <w:r>
              <w:t> of </w:t>
            </w:r>
            <w:r>
              <w:fldChar w:fldCharType="begin"/>
            </w:r>
            <w:r>
              <w:instrText xml:space="preserve"> HYPERLINK "https://www.wipo.int/classifications/ipc/en/ITsupport/Version20190101/transformations/ipc/20190101/en/htm/A23K.htm" \l "3548" </w:instrText>
            </w:r>
            <w:r>
              <w:fldChar w:fldCharType="separate"/>
            </w:r>
            <w:r>
              <w:t>plant</w:t>
            </w:r>
            <w:r>
              <w:fldChar w:fldCharType="end"/>
            </w:r>
            <w:r>
              <w:t> origin, e.g. roots, seeds or hay; from </w:t>
            </w:r>
            <w:r>
              <w:fldChar w:fldCharType="begin"/>
            </w:r>
            <w:r>
              <w:instrText xml:space="preserve"> HYPERLINK "https://www.wipo.int/classifications/ipc/en/ITsupport/Version20190101/transformations/ipc/20190101/en/htm/A23K.htm" \l "1539" </w:instrText>
            </w:r>
            <w:r>
              <w:fldChar w:fldCharType="separate"/>
            </w:r>
            <w:r>
              <w:t>material</w:t>
            </w:r>
            <w:r>
              <w:fldChar w:fldCharType="end"/>
            </w:r>
            <w:r>
              <w:t> of fungal origin, e.g. mushrooms  enzymes,</w:t>
            </w:r>
          </w:p>
        </w:tc>
      </w:tr>
      <w:tr w14:paraId="2C37CA54">
        <w:tc>
          <w:tcPr>
            <w:tcW w:w="2689" w:type="dxa"/>
          </w:tcPr>
          <w:p w14:paraId="1C102C2F">
            <w:r>
              <w:t>A23K20/174</w:t>
            </w:r>
          </w:p>
        </w:tc>
        <w:tc>
          <w:tcPr>
            <w:tcW w:w="5607" w:type="dxa"/>
          </w:tcPr>
          <w:p w14:paraId="337BB767">
            <w:r>
              <w:t>Vitamins</w:t>
            </w:r>
          </w:p>
        </w:tc>
      </w:tr>
      <w:tr w14:paraId="2A230177">
        <w:tc>
          <w:tcPr>
            <w:tcW w:w="2689" w:type="dxa"/>
          </w:tcPr>
          <w:p w14:paraId="7359BF2C">
            <w:r>
              <w:t>A61K8/9789</w:t>
            </w:r>
          </w:p>
        </w:tc>
        <w:tc>
          <w:tcPr>
            <w:tcW w:w="5607" w:type="dxa"/>
          </w:tcPr>
          <w:p w14:paraId="5507DFD6">
            <w:r>
              <w:t>Magnoliopsida [dicotyledons]</w:t>
            </w:r>
          </w:p>
        </w:tc>
      </w:tr>
      <w:tr w14:paraId="532E3F9B">
        <w:tc>
          <w:tcPr>
            <w:tcW w:w="2689" w:type="dxa"/>
          </w:tcPr>
          <w:p w14:paraId="1BFBFB37">
            <w:r>
              <w:t>A61K36/752</w:t>
            </w:r>
          </w:p>
        </w:tc>
        <w:tc>
          <w:tcPr>
            <w:tcW w:w="5607" w:type="dxa"/>
          </w:tcPr>
          <w:p w14:paraId="2CE11D50">
            <w:r>
              <w:t>Citrus, e.g. lime, orange or lemon</w:t>
            </w:r>
          </w:p>
        </w:tc>
      </w:tr>
      <w:tr w14:paraId="02EB8BB9">
        <w:tc>
          <w:tcPr>
            <w:tcW w:w="2689" w:type="dxa"/>
          </w:tcPr>
          <w:p w14:paraId="304B0A55">
            <w:r>
              <w:t>A61K47/10</w:t>
            </w:r>
          </w:p>
        </w:tc>
        <w:tc>
          <w:tcPr>
            <w:tcW w:w="5607" w:type="dxa"/>
          </w:tcPr>
          <w:p w14:paraId="49D81D5E">
            <w:r>
              <w:t>Alcohols; Phenols; Salts thereof, e.g. glycerol; Polyethylene glycols [PEG]; Poloxamers; PEG/POE alkyl ethers</w:t>
            </w:r>
          </w:p>
        </w:tc>
      </w:tr>
      <w:tr w14:paraId="2859AA3D">
        <w:tc>
          <w:tcPr>
            <w:tcW w:w="2689" w:type="dxa"/>
          </w:tcPr>
          <w:p w14:paraId="215BF341">
            <w:r>
              <w:t>A61K131/00</w:t>
            </w:r>
          </w:p>
        </w:tc>
        <w:tc>
          <w:tcPr>
            <w:tcW w:w="5607" w:type="dxa"/>
          </w:tcPr>
          <w:p w14:paraId="5F8FBD2F">
            <w:r>
              <w:t>Containing or obtained from seeds, nuts, fruits or grains</w:t>
            </w:r>
          </w:p>
        </w:tc>
      </w:tr>
      <w:tr w14:paraId="65583DD0">
        <w:tc>
          <w:tcPr>
            <w:tcW w:w="2689" w:type="dxa"/>
          </w:tcPr>
          <w:p w14:paraId="12E4AACC">
            <w:r>
              <w:t>A61P1/00</w:t>
            </w:r>
          </w:p>
        </w:tc>
        <w:tc>
          <w:tcPr>
            <w:tcW w:w="5607" w:type="dxa"/>
          </w:tcPr>
          <w:p w14:paraId="69791645">
            <w:r>
              <w:fldChar w:fldCharType="begin"/>
            </w:r>
            <w:r>
              <w:instrText xml:space="preserve"> HYPERLINK "https://www.wipo.int/classifications/ipc/en/ITsupport/Version20180101/transformations/ipc/20180101/en/htm/A61P.htm" \l "145" </w:instrText>
            </w:r>
            <w:r>
              <w:fldChar w:fldCharType="separate"/>
            </w:r>
            <w:r>
              <w:t>Drugs</w:t>
            </w:r>
            <w:r>
              <w:fldChar w:fldCharType="end"/>
            </w:r>
            <w:r>
              <w:t> for disorders of the alimentary tract or the digestive system</w:t>
            </w:r>
          </w:p>
        </w:tc>
      </w:tr>
      <w:tr w14:paraId="4F15BE7B">
        <w:tc>
          <w:tcPr>
            <w:tcW w:w="2689" w:type="dxa"/>
          </w:tcPr>
          <w:p w14:paraId="05485239">
            <w:r>
              <w:t>A61P1/16</w:t>
            </w:r>
          </w:p>
        </w:tc>
        <w:tc>
          <w:tcPr>
            <w:tcW w:w="5607" w:type="dxa"/>
          </w:tcPr>
          <w:p w14:paraId="4286F946">
            <w:r>
              <w:t>for liver or gallbladder disorders, e.g. hepatoprotective agents, cholagogues, litholytics </w:t>
            </w:r>
          </w:p>
        </w:tc>
      </w:tr>
      <w:tr w14:paraId="23357BA4">
        <w:tc>
          <w:tcPr>
            <w:tcW w:w="2689" w:type="dxa"/>
          </w:tcPr>
          <w:p w14:paraId="10395C8A">
            <w:r>
              <w:t>A61P11/00</w:t>
            </w:r>
          </w:p>
        </w:tc>
        <w:tc>
          <w:tcPr>
            <w:tcW w:w="5607" w:type="dxa"/>
          </w:tcPr>
          <w:p w14:paraId="039FC42C">
            <w:r>
              <w:fldChar w:fldCharType="begin"/>
            </w:r>
            <w:r>
              <w:instrText xml:space="preserve"> HYPERLINK "https://www.wipo.int/classifications/ipc/en/ITsupport/Version20180101/transformations/ipc/20180101/en/htm/A61P.htm" \l "145" </w:instrText>
            </w:r>
            <w:r>
              <w:fldChar w:fldCharType="separate"/>
            </w:r>
            <w:r>
              <w:t>Drugs</w:t>
            </w:r>
            <w:r>
              <w:fldChar w:fldCharType="end"/>
            </w:r>
            <w:r>
              <w:t> for disorders of the respiratory system</w:t>
            </w:r>
          </w:p>
        </w:tc>
      </w:tr>
      <w:tr w14:paraId="3FDAEE90">
        <w:tc>
          <w:tcPr>
            <w:tcW w:w="2689" w:type="dxa"/>
          </w:tcPr>
          <w:p w14:paraId="55D50A22">
            <w:r>
              <w:t>A61P29/00</w:t>
            </w:r>
          </w:p>
        </w:tc>
        <w:tc>
          <w:tcPr>
            <w:tcW w:w="5607" w:type="dxa"/>
          </w:tcPr>
          <w:p w14:paraId="68F2A619">
            <w:r>
              <w:t>Non-central analgesic, antipyretic or antiinflammatory agents, e.g. antirheumatic agents; Non-steroidal antiinflammatory </w:t>
            </w:r>
            <w:r>
              <w:fldChar w:fldCharType="begin"/>
            </w:r>
            <w:r>
              <w:instrText xml:space="preserve"> HYPERLINK "https://www.wipo.int/classifications/ipc/en/ITsupport/Version20180101/transformations/ipc/20180101/en/htm/A61P.htm" \l "145" </w:instrText>
            </w:r>
            <w:r>
              <w:fldChar w:fldCharType="separate"/>
            </w:r>
            <w:r>
              <w:t>drugs</w:t>
            </w:r>
            <w:r>
              <w:fldChar w:fldCharType="end"/>
            </w:r>
            <w:r>
              <w:t> (NSAIDs)</w:t>
            </w:r>
          </w:p>
        </w:tc>
      </w:tr>
      <w:tr w14:paraId="4EC812E4">
        <w:tc>
          <w:tcPr>
            <w:tcW w:w="2689" w:type="dxa"/>
          </w:tcPr>
          <w:p w14:paraId="4CFEF037">
            <w:r>
              <w:t>A61P31/04</w:t>
            </w:r>
          </w:p>
        </w:tc>
        <w:tc>
          <w:tcPr>
            <w:tcW w:w="5607" w:type="dxa"/>
          </w:tcPr>
          <w:p w14:paraId="6B524904">
            <w:r>
              <w:t>Antibacterial agents</w:t>
            </w:r>
          </w:p>
        </w:tc>
      </w:tr>
      <w:tr w14:paraId="3340B8FB">
        <w:tc>
          <w:tcPr>
            <w:tcW w:w="2689" w:type="dxa"/>
          </w:tcPr>
          <w:p w14:paraId="6C899928">
            <w:r>
              <w:t>A61P31/14</w:t>
            </w:r>
          </w:p>
        </w:tc>
        <w:tc>
          <w:tcPr>
            <w:tcW w:w="5607" w:type="dxa"/>
          </w:tcPr>
          <w:p w14:paraId="75C575AF">
            <w:r>
              <w:t>for RNA viruses</w:t>
            </w:r>
          </w:p>
        </w:tc>
      </w:tr>
      <w:tr w14:paraId="4D803E83">
        <w:tc>
          <w:tcPr>
            <w:tcW w:w="2689" w:type="dxa"/>
          </w:tcPr>
          <w:p w14:paraId="55053925">
            <w:r>
              <w:t>A61P35/00</w:t>
            </w:r>
          </w:p>
        </w:tc>
        <w:tc>
          <w:tcPr>
            <w:tcW w:w="5607" w:type="dxa"/>
          </w:tcPr>
          <w:p w14:paraId="446E109D">
            <w:r>
              <w:t>Antineoplastic agents</w:t>
            </w:r>
          </w:p>
        </w:tc>
      </w:tr>
      <w:tr w14:paraId="20BE34E2">
        <w:tc>
          <w:tcPr>
            <w:tcW w:w="2689" w:type="dxa"/>
          </w:tcPr>
          <w:p w14:paraId="4BEAFB82">
            <w:r>
              <w:t>A61P39/00</w:t>
            </w:r>
          </w:p>
        </w:tc>
        <w:tc>
          <w:tcPr>
            <w:tcW w:w="5607" w:type="dxa"/>
          </w:tcPr>
          <w:p w14:paraId="10BF94DA">
            <w:r>
              <w:t>General protective or antinoxious agents</w:t>
            </w:r>
          </w:p>
        </w:tc>
      </w:tr>
      <w:tr w14:paraId="4A2E6A3B">
        <w:tc>
          <w:tcPr>
            <w:tcW w:w="2689" w:type="dxa"/>
          </w:tcPr>
          <w:p w14:paraId="3BFF72BB">
            <w:r>
              <w:t>A61P39/06</w:t>
            </w:r>
          </w:p>
        </w:tc>
        <w:tc>
          <w:tcPr>
            <w:tcW w:w="5607" w:type="dxa"/>
          </w:tcPr>
          <w:p w14:paraId="51E1455A">
            <w:r>
              <w:t>Free radical scavengers or antioxidants</w:t>
            </w:r>
          </w:p>
        </w:tc>
      </w:tr>
      <w:tr w14:paraId="429E90A7">
        <w:tc>
          <w:tcPr>
            <w:tcW w:w="2689" w:type="dxa"/>
          </w:tcPr>
          <w:p w14:paraId="71AE3FC8">
            <w:r>
              <w:t>A61Q19/00</w:t>
            </w:r>
          </w:p>
        </w:tc>
        <w:tc>
          <w:tcPr>
            <w:tcW w:w="5607" w:type="dxa"/>
          </w:tcPr>
          <w:p w14:paraId="44D1E081">
            <w:r>
              <w:fldChar w:fldCharType="begin"/>
            </w:r>
            <w:r>
              <w:instrText xml:space="preserve"> HYPERLINK "https://www.wipo.int/classifications/ipc/en/ITsupport/Version20230101/transformations/ipc/20230101/en/htm/A61Q.htm" \l "1549" </w:instrText>
            </w:r>
            <w:r>
              <w:fldChar w:fldCharType="separate"/>
            </w:r>
            <w:r>
              <w:t>Preparations</w:t>
            </w:r>
            <w:r>
              <w:fldChar w:fldCharType="end"/>
            </w:r>
            <w:r>
              <w:t> for care of the skin</w:t>
            </w:r>
          </w:p>
        </w:tc>
      </w:tr>
      <w:tr w14:paraId="66DECA63">
        <w:tc>
          <w:tcPr>
            <w:tcW w:w="2689" w:type="dxa"/>
            <w:tcBorders>
              <w:bottom w:val="nil"/>
            </w:tcBorders>
          </w:tcPr>
          <w:p w14:paraId="58201DB3">
            <w:r>
              <w:t>A61Q19/08</w:t>
            </w:r>
          </w:p>
        </w:tc>
        <w:tc>
          <w:tcPr>
            <w:tcW w:w="5607" w:type="dxa"/>
            <w:tcBorders>
              <w:bottom w:val="nil"/>
            </w:tcBorders>
          </w:tcPr>
          <w:p w14:paraId="63203D5B">
            <w:r>
              <w:t>Anti-ageing </w:t>
            </w:r>
            <w:r>
              <w:fldChar w:fldCharType="begin"/>
            </w:r>
            <w:r>
              <w:instrText xml:space="preserve"> HYPERLINK "https://www.wipo.int/classifications/ipc/en/ITsupport/Version20230101/transformations/ipc/20230101/en/htm/A61Q.htm" \l "1549" </w:instrText>
            </w:r>
            <w:r>
              <w:fldChar w:fldCharType="separate"/>
            </w:r>
            <w:r>
              <w:t>preparations</w:t>
            </w:r>
            <w:r>
              <w:fldChar w:fldCharType="end"/>
            </w:r>
          </w:p>
        </w:tc>
      </w:tr>
      <w:tr w14:paraId="14E0BBD8">
        <w:tc>
          <w:tcPr>
            <w:tcW w:w="2689" w:type="dxa"/>
            <w:tcBorders>
              <w:bottom w:val="single" w:color="auto" w:sz="8" w:space="0"/>
            </w:tcBorders>
          </w:tcPr>
          <w:p w14:paraId="0C071B40">
            <w:r>
              <w:t>C12R1/645</w:t>
            </w:r>
          </w:p>
        </w:tc>
        <w:tc>
          <w:tcPr>
            <w:tcW w:w="5607" w:type="dxa"/>
            <w:tcBorders>
              <w:bottom w:val="single" w:color="auto" w:sz="8" w:space="0"/>
            </w:tcBorders>
          </w:tcPr>
          <w:p w14:paraId="07AD0D37">
            <w:r>
              <w:t>Fungi</w:t>
            </w:r>
          </w:p>
        </w:tc>
      </w:tr>
    </w:tbl>
    <w:p w14:paraId="2620447E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Note: IPC definitions are sourced from the World Intellectual Property Organization (WIPO)</w:t>
      </w:r>
      <w:r>
        <w:rPr>
          <w:sz w:val="18"/>
          <w:szCs w:val="18"/>
          <w:vertAlign w:val="superscript"/>
        </w:rPr>
        <w:fldChar w:fldCharType="begin"/>
      </w:r>
      <w:r>
        <w:rPr>
          <w:sz w:val="18"/>
          <w:szCs w:val="18"/>
          <w:vertAlign w:val="superscript"/>
        </w:rPr>
        <w:instrText xml:space="preserve"> REF _Ref225717160 \r \h </w:instrText>
      </w:r>
      <w:r>
        <w:rPr>
          <w:sz w:val="24"/>
          <w:vertAlign w:val="superscript"/>
        </w:rPr>
        <w:instrText xml:space="preserve">\#”[0”</w:instrText>
      </w:r>
      <w:r>
        <w:rPr>
          <w:sz w:val="18"/>
          <w:szCs w:val="18"/>
          <w:vertAlign w:val="superscript"/>
        </w:rPr>
        <w:instrText xml:space="preserve">  \* MERGEFORMAT </w:instrText>
      </w:r>
      <w:r>
        <w:rPr>
          <w:sz w:val="18"/>
          <w:szCs w:val="18"/>
          <w:vertAlign w:val="superscript"/>
        </w:rPr>
        <w:fldChar w:fldCharType="separate"/>
      </w:r>
      <w:r>
        <w:rPr>
          <w:sz w:val="18"/>
          <w:szCs w:val="18"/>
          <w:vertAlign w:val="superscript"/>
        </w:rPr>
        <w:t>[46</w:t>
      </w:r>
      <w:r>
        <w:rPr>
          <w:sz w:val="18"/>
          <w:szCs w:val="18"/>
          <w:vertAlign w:val="superscript"/>
        </w:rPr>
        <w:fldChar w:fldCharType="end"/>
      </w:r>
      <w:r>
        <w:rPr>
          <w:sz w:val="18"/>
          <w:szCs w:val="18"/>
          <w:vertAlign w:val="superscript"/>
        </w:rPr>
        <w:t>-</w:t>
      </w:r>
      <w:r>
        <w:rPr>
          <w:sz w:val="18"/>
          <w:szCs w:val="18"/>
          <w:vertAlign w:val="superscript"/>
        </w:rPr>
        <w:fldChar w:fldCharType="begin"/>
      </w:r>
      <w:r>
        <w:rPr>
          <w:sz w:val="18"/>
          <w:szCs w:val="18"/>
          <w:vertAlign w:val="superscript"/>
        </w:rPr>
        <w:instrText xml:space="preserve"> REF _Ref225721161 \r \h </w:instrText>
      </w:r>
      <w:r>
        <w:rPr>
          <w:sz w:val="24"/>
          <w:vertAlign w:val="superscript"/>
        </w:rPr>
        <w:instrText xml:space="preserve">\#”0]”</w:instrText>
      </w:r>
      <w:r>
        <w:rPr>
          <w:sz w:val="18"/>
          <w:szCs w:val="18"/>
          <w:vertAlign w:val="superscript"/>
        </w:rPr>
        <w:instrText xml:space="preserve">  \* MERGEFORMAT </w:instrText>
      </w:r>
      <w:r>
        <w:rPr>
          <w:sz w:val="18"/>
          <w:szCs w:val="18"/>
          <w:vertAlign w:val="superscript"/>
        </w:rPr>
        <w:fldChar w:fldCharType="separate"/>
      </w:r>
      <w:r>
        <w:rPr>
          <w:sz w:val="18"/>
          <w:szCs w:val="18"/>
          <w:vertAlign w:val="superscript"/>
        </w:rPr>
        <w:t>51]</w:t>
      </w:r>
      <w:r>
        <w:rPr>
          <w:sz w:val="18"/>
          <w:szCs w:val="18"/>
          <w:vertAlign w:val="superscript"/>
        </w:rPr>
        <w:fldChar w:fldCharType="end"/>
      </w:r>
    </w:p>
    <w:p w14:paraId="77B86BE7">
      <w:bookmarkStart w:id="33" w:name="_GoBack"/>
      <w:bookmarkEnd w:id="3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alibri Light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ambria Math">
    <w:altName w:val="Kingsoft Math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Kingsoft Math">
    <w:panose1 w:val="02040503050406030204"/>
    <w:charset w:val="00"/>
    <w:family w:val="auto"/>
    <w:pitch w:val="default"/>
    <w:sig w:usb0="80000087" w:usb1="00002068" w:usb2="00000000" w:usb3="00000000" w:csb0="2000019F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2FBA2F"/>
    <w:rsid w:val="FE2FBA2F"/>
    <w:rsid w:val="FFAFB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0" w:semiHidden="0" w:name="header"/>
    <w:lsdException w:uiPriority="99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E54A1" w:themeColor="accent1" w:themeShade="BF"/>
      <w:sz w:val="48"/>
      <w:szCs w:val="48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4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nhideWhenUsed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3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uiPriority w:val="0"/>
    <w:rPr>
      <w:rFonts w:ascii="Times New Roman" w:hAnsi="Times New Roman" w:eastAsia="宋体" w:cs="Times New Roman"/>
    </w:rPr>
  </w:style>
  <w:style w:type="character" w:styleId="10">
    <w:name w:val="Placeholder Text"/>
    <w:basedOn w:val="8"/>
    <w:semiHidden/>
    <w:uiPriority w:val="99"/>
    <w:rPr>
      <w:color w:val="666666"/>
    </w:rPr>
  </w:style>
  <w:style w:type="character" w:customStyle="1" w:styleId="11">
    <w:name w:val="标题 1 字符"/>
    <w:basedOn w:val="8"/>
    <w:link w:val="2"/>
    <w:uiPriority w:val="9"/>
    <w:rPr>
      <w:rFonts w:asciiTheme="majorHAnsi" w:hAnsiTheme="majorHAnsi" w:eastAsiaTheme="majorEastAsia" w:cstheme="majorBidi"/>
      <w:color w:val="2E54A1" w:themeColor="accent1" w:themeShade="BF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Office_12.1.24703.24703_F1E327BC-269C-435d-A152-05C5408002CA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2026-06-25T02:45:00Z</dcterms:created>
  <dc:creator>Tan</dc:creator>
  <cp:lastModifiedBy>Tan</cp:lastModifiedBy>
  <dcterms:modified xsi:type="dcterms:W3CDTF">2026-07-01T15:25:07Z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2052-12.1.24703.24703</vt:lpwstr>
  </property>
  <property fmtid="{D5CDD505-2E9C-101B-9397-08002B2CF9AE}" pid="3" name="ICV">
    <vt:lpwstr>C69AD03F820F1BDF32B53B6AA273AE0D_41</vt:lpwstr>
  </property>
</Properties>
</file>