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82B9F">
      <w:pPr>
        <w:jc w:val="center"/>
        <w:rPr>
          <w:sz w:val="16"/>
          <w:szCs w:val="20"/>
        </w:rPr>
      </w:pPr>
      <w:r>
        <w:rPr>
          <w:rFonts w:ascii="Times New Roman" w:hAnsi="Times New Roman" w:eastAsia="Times New Roman"/>
          <w:b/>
          <w:sz w:val="24"/>
          <w:szCs w:val="20"/>
        </w:rPr>
        <w:t>Supplementary Material 1</w:t>
      </w:r>
      <w:r>
        <w:rPr>
          <w:rFonts w:hint="eastAsia" w:eastAsia="宋体"/>
          <w:b/>
          <w:sz w:val="24"/>
          <w:szCs w:val="20"/>
          <w:lang w:val="en-US" w:eastAsia="zh-CN"/>
        </w:rPr>
        <w:t>-</w:t>
      </w:r>
      <w:r>
        <w:rPr>
          <w:rFonts w:ascii="Times New Roman" w:hAnsi="Times New Roman" w:eastAsia="Times New Roman"/>
          <w:b/>
          <w:sz w:val="24"/>
          <w:szCs w:val="20"/>
        </w:rPr>
        <w:t>Measurement Items and Scoring Scheme</w:t>
      </w:r>
    </w:p>
    <w:p w14:paraId="1ADDB337">
      <w:pPr>
        <w:jc w:val="center"/>
        <w:rPr>
          <w:sz w:val="20"/>
          <w:szCs w:val="22"/>
        </w:rPr>
      </w:pPr>
      <w:r>
        <w:rPr>
          <w:rFonts w:ascii="Times New Roman" w:hAnsi="Times New Roman" w:eastAsia="Times New Roman"/>
          <w:i/>
          <w:sz w:val="20"/>
          <w:szCs w:val="22"/>
        </w:rPr>
        <w:t>Manuscript title: Conversational AI as a Cognitive Scaffold or a Substitute for Thinking: A Dual-Path Model of Cognitive Offloading, Post-Response Deep Processing, and Critical Thinking</w:t>
      </w:r>
    </w:p>
    <w:p w14:paraId="77675621">
      <w:pPr>
        <w:ind w:firstLine="360" w:firstLineChars="200"/>
        <w:rPr>
          <w:sz w:val="18"/>
          <w:szCs w:val="21"/>
        </w:rPr>
      </w:pPr>
      <w:r>
        <w:rPr>
          <w:b w:val="0"/>
          <w:sz w:val="18"/>
          <w:szCs w:val="21"/>
        </w:rPr>
        <w:t xml:space="preserve">This supplementary material provides the full measurement items and scoring scheme used in the questionnaire. </w:t>
      </w:r>
      <w:r>
        <w:rPr>
          <w:sz w:val="18"/>
          <w:szCs w:val="21"/>
        </w:rPr>
        <w:t>All items were measured using a seven-point Likert scale ranging from 1 = strongly disagree to 7 = strongly agree. Higher scores indicate higher levels of the corresponding construct. No item was reverse-coded. Construct scores were calculated by averaging the responses to all items belonging to the same construct.</w:t>
      </w:r>
    </w:p>
    <w:p w14:paraId="056A9980">
      <w:pPr>
        <w:rPr>
          <w:b/>
          <w:bCs/>
          <w:color w:val="0000FF"/>
          <w:sz w:val="20"/>
          <w:szCs w:val="22"/>
        </w:rPr>
      </w:pPr>
      <w:r>
        <w:rPr>
          <w:rFonts w:hint="eastAsia"/>
          <w:b/>
          <w:bCs/>
          <w:color w:val="0000FF"/>
          <w:sz w:val="20"/>
          <w:szCs w:val="22"/>
        </w:rPr>
        <w:t>Scoring scale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9"/>
        <w:gridCol w:w="7409"/>
      </w:tblGrid>
      <w:tr w14:paraId="0A49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shd w:val="clear" w:color="auto" w:fill="D9EAD3"/>
            <w:vAlign w:val="center"/>
          </w:tcPr>
          <w:p w14:paraId="592BA31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Score</w:t>
            </w:r>
          </w:p>
        </w:tc>
        <w:tc>
          <w:tcPr>
            <w:tcW w:w="7409" w:type="dxa"/>
            <w:shd w:val="clear" w:color="auto" w:fill="D9EAD3"/>
            <w:vAlign w:val="center"/>
          </w:tcPr>
          <w:p w14:paraId="1A9EB83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Response option</w:t>
            </w:r>
          </w:p>
        </w:tc>
      </w:tr>
      <w:tr w14:paraId="615D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5604137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1</w:t>
            </w:r>
          </w:p>
        </w:tc>
        <w:tc>
          <w:tcPr>
            <w:tcW w:w="7409" w:type="dxa"/>
            <w:vAlign w:val="center"/>
          </w:tcPr>
          <w:p w14:paraId="072210A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Strongly disagree</w:t>
            </w:r>
          </w:p>
        </w:tc>
      </w:tr>
      <w:tr w14:paraId="0E16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0AE894C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2</w:t>
            </w:r>
          </w:p>
        </w:tc>
        <w:tc>
          <w:tcPr>
            <w:tcW w:w="7409" w:type="dxa"/>
            <w:vAlign w:val="center"/>
          </w:tcPr>
          <w:p w14:paraId="6F2EF0A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Disagree</w:t>
            </w:r>
          </w:p>
        </w:tc>
      </w:tr>
      <w:tr w14:paraId="150F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4AAD3A5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3</w:t>
            </w:r>
          </w:p>
        </w:tc>
        <w:tc>
          <w:tcPr>
            <w:tcW w:w="7409" w:type="dxa"/>
            <w:vAlign w:val="center"/>
          </w:tcPr>
          <w:p w14:paraId="1DFAC49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Somewhat disagree</w:t>
            </w:r>
          </w:p>
        </w:tc>
      </w:tr>
      <w:tr w14:paraId="5246D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79B9672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4</w:t>
            </w:r>
          </w:p>
        </w:tc>
        <w:tc>
          <w:tcPr>
            <w:tcW w:w="7409" w:type="dxa"/>
            <w:vAlign w:val="center"/>
          </w:tcPr>
          <w:p w14:paraId="446342D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Neutral</w:t>
            </w:r>
          </w:p>
        </w:tc>
      </w:tr>
      <w:tr w14:paraId="37BF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43C0BE0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5</w:t>
            </w:r>
          </w:p>
        </w:tc>
        <w:tc>
          <w:tcPr>
            <w:tcW w:w="7409" w:type="dxa"/>
            <w:vAlign w:val="center"/>
          </w:tcPr>
          <w:p w14:paraId="42CD10C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Somewhat agree</w:t>
            </w:r>
          </w:p>
        </w:tc>
      </w:tr>
      <w:tr w14:paraId="721F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7732FC88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6</w:t>
            </w:r>
          </w:p>
        </w:tc>
        <w:tc>
          <w:tcPr>
            <w:tcW w:w="7409" w:type="dxa"/>
            <w:vAlign w:val="center"/>
          </w:tcPr>
          <w:p w14:paraId="6C879B3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Agree</w:t>
            </w:r>
          </w:p>
        </w:tc>
      </w:tr>
      <w:tr w14:paraId="240D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9" w:type="dxa"/>
            <w:vAlign w:val="center"/>
          </w:tcPr>
          <w:p w14:paraId="4FAA86E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7</w:t>
            </w:r>
          </w:p>
        </w:tc>
        <w:tc>
          <w:tcPr>
            <w:tcW w:w="7409" w:type="dxa"/>
            <w:vAlign w:val="center"/>
          </w:tcPr>
          <w:p w14:paraId="13E2F40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1"/>
              </w:rPr>
              <w:t>Strongly agree</w:t>
            </w:r>
          </w:p>
        </w:tc>
      </w:tr>
    </w:tbl>
    <w:p w14:paraId="1E6F52DF">
      <w:pPr>
        <w:rPr>
          <w:b/>
          <w:bCs/>
          <w:color w:val="0000FF"/>
          <w:sz w:val="20"/>
          <w:szCs w:val="22"/>
        </w:rPr>
      </w:pPr>
      <w:r>
        <w:rPr>
          <w:rFonts w:hint="eastAsia"/>
          <w:b/>
          <w:bCs/>
          <w:color w:val="0000FF"/>
          <w:sz w:val="20"/>
          <w:szCs w:val="22"/>
        </w:rPr>
        <w:t>Table S1. Measurement Items and Scoring Scheme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2"/>
        <w:gridCol w:w="2110"/>
        <w:gridCol w:w="8836"/>
        <w:gridCol w:w="936"/>
      </w:tblGrid>
      <w:tr w14:paraId="45F1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382" w:type="dxa"/>
            <w:shd w:val="clear" w:color="auto" w:fill="D9EAD3"/>
            <w:vAlign w:val="top"/>
          </w:tcPr>
          <w:p w14:paraId="35599F2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Construct</w:t>
            </w:r>
          </w:p>
        </w:tc>
        <w:tc>
          <w:tcPr>
            <w:tcW w:w="2110" w:type="dxa"/>
            <w:shd w:val="clear" w:color="auto" w:fill="D9EAD3"/>
            <w:vAlign w:val="top"/>
          </w:tcPr>
          <w:p w14:paraId="57096F6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Code</w:t>
            </w:r>
          </w:p>
        </w:tc>
        <w:tc>
          <w:tcPr>
            <w:tcW w:w="8836" w:type="dxa"/>
            <w:shd w:val="clear" w:color="auto" w:fill="D9EAD3"/>
            <w:vAlign w:val="top"/>
          </w:tcPr>
          <w:p w14:paraId="3E08F20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Measurement item</w:t>
            </w:r>
          </w:p>
        </w:tc>
        <w:tc>
          <w:tcPr>
            <w:tcW w:w="936" w:type="dxa"/>
            <w:shd w:val="clear" w:color="auto" w:fill="D9EAD3"/>
            <w:vAlign w:val="top"/>
          </w:tcPr>
          <w:p w14:paraId="2A74A34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1"/>
              </w:rPr>
              <w:t>Scoring</w:t>
            </w:r>
          </w:p>
        </w:tc>
      </w:tr>
      <w:tr w14:paraId="6EC7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3382" w:type="dxa"/>
            <w:vAlign w:val="top"/>
          </w:tcPr>
          <w:p w14:paraId="0E5C006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Quality of Conversational AI Learning Support</w:t>
            </w:r>
          </w:p>
        </w:tc>
        <w:tc>
          <w:tcPr>
            <w:tcW w:w="2110" w:type="dxa"/>
            <w:vAlign w:val="top"/>
          </w:tcPr>
          <w:p w14:paraId="487D7B0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AIQ1</w:t>
            </w:r>
          </w:p>
        </w:tc>
        <w:tc>
          <w:tcPr>
            <w:tcW w:w="8836" w:type="dxa"/>
            <w:vAlign w:val="top"/>
          </w:tcPr>
          <w:p w14:paraId="007F62F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Conversational AI can provide clear explanations for my learning questions.</w:t>
            </w:r>
          </w:p>
        </w:tc>
        <w:tc>
          <w:tcPr>
            <w:tcW w:w="936" w:type="dxa"/>
            <w:vAlign w:val="top"/>
          </w:tcPr>
          <w:p w14:paraId="6CD3039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864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768C288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Quality of Conversational AI Learning Support</w:t>
            </w:r>
          </w:p>
        </w:tc>
        <w:tc>
          <w:tcPr>
            <w:tcW w:w="2110" w:type="dxa"/>
            <w:vAlign w:val="top"/>
          </w:tcPr>
          <w:p w14:paraId="0DF3063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AIQ2</w:t>
            </w:r>
          </w:p>
        </w:tc>
        <w:tc>
          <w:tcPr>
            <w:tcW w:w="8836" w:type="dxa"/>
            <w:vAlign w:val="top"/>
          </w:tcPr>
          <w:p w14:paraId="2EE5E0A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Conversational AI can provide timely feedback when I encounter learning difficulties.</w:t>
            </w:r>
          </w:p>
        </w:tc>
        <w:tc>
          <w:tcPr>
            <w:tcW w:w="936" w:type="dxa"/>
            <w:vAlign w:val="top"/>
          </w:tcPr>
          <w:p w14:paraId="1EBA4118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0255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180A394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Quality of Conversational AI Learning Support</w:t>
            </w:r>
          </w:p>
        </w:tc>
        <w:tc>
          <w:tcPr>
            <w:tcW w:w="2110" w:type="dxa"/>
            <w:vAlign w:val="top"/>
          </w:tcPr>
          <w:p w14:paraId="6F44382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AIQ3</w:t>
            </w:r>
          </w:p>
        </w:tc>
        <w:tc>
          <w:tcPr>
            <w:tcW w:w="8836" w:type="dxa"/>
            <w:vAlign w:val="top"/>
          </w:tcPr>
          <w:p w14:paraId="2EF4097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Conversational AI can provide follow-up questions or suggestions that help me further understand the learning content.</w:t>
            </w:r>
          </w:p>
        </w:tc>
        <w:tc>
          <w:tcPr>
            <w:tcW w:w="936" w:type="dxa"/>
            <w:vAlign w:val="top"/>
          </w:tcPr>
          <w:p w14:paraId="30CFDBF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48C2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35E8D8B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Quality of Conversational AI Learning Support</w:t>
            </w:r>
          </w:p>
        </w:tc>
        <w:tc>
          <w:tcPr>
            <w:tcW w:w="2110" w:type="dxa"/>
            <w:vAlign w:val="top"/>
          </w:tcPr>
          <w:p w14:paraId="3395BA5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AIQ4</w:t>
            </w:r>
          </w:p>
        </w:tc>
        <w:tc>
          <w:tcPr>
            <w:tcW w:w="8836" w:type="dxa"/>
            <w:vAlign w:val="top"/>
          </w:tcPr>
          <w:p w14:paraId="4066946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Conversational AI can help me organize information and clarify key points during learning.</w:t>
            </w:r>
          </w:p>
        </w:tc>
        <w:tc>
          <w:tcPr>
            <w:tcW w:w="936" w:type="dxa"/>
            <w:vAlign w:val="top"/>
          </w:tcPr>
          <w:p w14:paraId="49D32C0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64C4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30728B8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Quality of Conversational AI Learning Support</w:t>
            </w:r>
          </w:p>
        </w:tc>
        <w:tc>
          <w:tcPr>
            <w:tcW w:w="2110" w:type="dxa"/>
            <w:vAlign w:val="top"/>
          </w:tcPr>
          <w:p w14:paraId="269DE65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AIQ5</w:t>
            </w:r>
          </w:p>
        </w:tc>
        <w:tc>
          <w:tcPr>
            <w:tcW w:w="8836" w:type="dxa"/>
            <w:vAlign w:val="top"/>
          </w:tcPr>
          <w:p w14:paraId="4F1DA41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The interaction with conversational AI is useful for supporting my learning process.</w:t>
            </w:r>
          </w:p>
        </w:tc>
        <w:tc>
          <w:tcPr>
            <w:tcW w:w="936" w:type="dxa"/>
            <w:vAlign w:val="top"/>
          </w:tcPr>
          <w:p w14:paraId="68B054F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79330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1B3F2D2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Scaffolded Cognitive Offloading</w:t>
            </w:r>
          </w:p>
        </w:tc>
        <w:tc>
          <w:tcPr>
            <w:tcW w:w="2110" w:type="dxa"/>
            <w:vAlign w:val="top"/>
          </w:tcPr>
          <w:p w14:paraId="379FF9E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SCO1</w:t>
            </w:r>
          </w:p>
        </w:tc>
        <w:tc>
          <w:tcPr>
            <w:tcW w:w="8836" w:type="dxa"/>
            <w:vAlign w:val="top"/>
          </w:tcPr>
          <w:p w14:paraId="1FB3344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use AI to handle basic tasks such as organizing materials so that I can devote more effort to analysis and judgment.</w:t>
            </w:r>
          </w:p>
        </w:tc>
        <w:tc>
          <w:tcPr>
            <w:tcW w:w="936" w:type="dxa"/>
            <w:vAlign w:val="top"/>
          </w:tcPr>
          <w:p w14:paraId="28DC56A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5C4C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0B635FB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Scaffolded Cognitive Offloading</w:t>
            </w:r>
          </w:p>
        </w:tc>
        <w:tc>
          <w:tcPr>
            <w:tcW w:w="2110" w:type="dxa"/>
            <w:vAlign w:val="top"/>
          </w:tcPr>
          <w:p w14:paraId="5C98664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SCO2</w:t>
            </w:r>
          </w:p>
        </w:tc>
        <w:tc>
          <w:tcPr>
            <w:tcW w:w="8836" w:type="dxa"/>
            <w:vAlign w:val="top"/>
          </w:tcPr>
          <w:p w14:paraId="4D2C76D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use AI to obtain initial explanations or background information before conducting deeper thinking by myself.</w:t>
            </w:r>
          </w:p>
        </w:tc>
        <w:tc>
          <w:tcPr>
            <w:tcW w:w="936" w:type="dxa"/>
            <w:vAlign w:val="top"/>
          </w:tcPr>
          <w:p w14:paraId="1B2E4F4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DFA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7A75C76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Scaffolded Cognitive Offloading</w:t>
            </w:r>
          </w:p>
        </w:tc>
        <w:tc>
          <w:tcPr>
            <w:tcW w:w="2110" w:type="dxa"/>
            <w:vAlign w:val="top"/>
          </w:tcPr>
          <w:p w14:paraId="38683E2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SCO3</w:t>
            </w:r>
          </w:p>
        </w:tc>
        <w:tc>
          <w:tcPr>
            <w:tcW w:w="8836" w:type="dxa"/>
            <w:vAlign w:val="top"/>
          </w:tcPr>
          <w:p w14:paraId="653C04D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helps me reduce repetitive or lower-level cognitive tasks so that I can focus on higher-order learning activities.</w:t>
            </w:r>
          </w:p>
        </w:tc>
        <w:tc>
          <w:tcPr>
            <w:tcW w:w="936" w:type="dxa"/>
            <w:vAlign w:val="top"/>
          </w:tcPr>
          <w:p w14:paraId="48DC875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2D278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147DB29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Scaffolded Cognitive Offloading</w:t>
            </w:r>
          </w:p>
        </w:tc>
        <w:tc>
          <w:tcPr>
            <w:tcW w:w="2110" w:type="dxa"/>
            <w:vAlign w:val="top"/>
          </w:tcPr>
          <w:p w14:paraId="38B043A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SCO4</w:t>
            </w:r>
          </w:p>
        </w:tc>
        <w:tc>
          <w:tcPr>
            <w:tcW w:w="8836" w:type="dxa"/>
            <w:vAlign w:val="top"/>
          </w:tcPr>
          <w:p w14:paraId="2ADA81A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use AI as a support tool to release cognitive resources for comparison, reflection, and evaluation.</w:t>
            </w:r>
          </w:p>
        </w:tc>
        <w:tc>
          <w:tcPr>
            <w:tcW w:w="936" w:type="dxa"/>
            <w:vAlign w:val="top"/>
          </w:tcPr>
          <w:p w14:paraId="4F232D3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0D07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6B9E4D7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Substitutive Cognitive Offloading</w:t>
            </w:r>
          </w:p>
        </w:tc>
        <w:tc>
          <w:tcPr>
            <w:tcW w:w="2110" w:type="dxa"/>
            <w:vAlign w:val="top"/>
          </w:tcPr>
          <w:p w14:paraId="3DB0280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SUCO1</w:t>
            </w:r>
          </w:p>
        </w:tc>
        <w:tc>
          <w:tcPr>
            <w:tcW w:w="8836" w:type="dxa"/>
            <w:vAlign w:val="top"/>
          </w:tcPr>
          <w:p w14:paraId="31913C2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AI provides an answer, I usually no longer further judge whether it is reasonable.</w:t>
            </w:r>
          </w:p>
        </w:tc>
        <w:tc>
          <w:tcPr>
            <w:tcW w:w="936" w:type="dxa"/>
            <w:vAlign w:val="top"/>
          </w:tcPr>
          <w:p w14:paraId="5081836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48922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5766162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Substitutive Cognitive Offloading</w:t>
            </w:r>
          </w:p>
        </w:tc>
        <w:tc>
          <w:tcPr>
            <w:tcW w:w="2110" w:type="dxa"/>
            <w:vAlign w:val="top"/>
          </w:tcPr>
          <w:p w14:paraId="31E9FE9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SUCO2</w:t>
            </w:r>
          </w:p>
        </w:tc>
        <w:tc>
          <w:tcPr>
            <w:tcW w:w="8836" w:type="dxa"/>
            <w:vAlign w:val="top"/>
          </w:tcPr>
          <w:p w14:paraId="6A68838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tend to rely on AI-generated conclusions instead of forming my own judgments.</w:t>
            </w:r>
          </w:p>
        </w:tc>
        <w:tc>
          <w:tcPr>
            <w:tcW w:w="936" w:type="dxa"/>
            <w:vAlign w:val="top"/>
          </w:tcPr>
          <w:p w14:paraId="442D2A2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558C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F2D583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Substitutive Cognitive Offloading</w:t>
            </w:r>
          </w:p>
        </w:tc>
        <w:tc>
          <w:tcPr>
            <w:tcW w:w="2110" w:type="dxa"/>
            <w:vAlign w:val="top"/>
          </w:tcPr>
          <w:p w14:paraId="2F7D1CC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SUCO3</w:t>
            </w:r>
          </w:p>
        </w:tc>
        <w:tc>
          <w:tcPr>
            <w:tcW w:w="8836" w:type="dxa"/>
            <w:vAlign w:val="top"/>
          </w:tcPr>
          <w:p w14:paraId="7E27B05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When AI gives a complete response, I often reduce my own reasoning or argumentation.</w:t>
            </w:r>
          </w:p>
        </w:tc>
        <w:tc>
          <w:tcPr>
            <w:tcW w:w="936" w:type="dxa"/>
            <w:vAlign w:val="top"/>
          </w:tcPr>
          <w:p w14:paraId="6491EEE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399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63D120D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Substitutive Cognitive Offloading</w:t>
            </w:r>
          </w:p>
        </w:tc>
        <w:tc>
          <w:tcPr>
            <w:tcW w:w="2110" w:type="dxa"/>
            <w:vAlign w:val="top"/>
          </w:tcPr>
          <w:p w14:paraId="3AE4E32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SUCO4</w:t>
            </w:r>
          </w:p>
        </w:tc>
        <w:tc>
          <w:tcPr>
            <w:tcW w:w="8836" w:type="dxa"/>
            <w:vAlign w:val="top"/>
          </w:tcPr>
          <w:p w14:paraId="0B9ADBD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sometimes accept AI-generated answers without carefully checking their evidence or logic.</w:t>
            </w:r>
          </w:p>
        </w:tc>
        <w:tc>
          <w:tcPr>
            <w:tcW w:w="936" w:type="dxa"/>
            <w:vAlign w:val="top"/>
          </w:tcPr>
          <w:p w14:paraId="3B643C0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3E0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7BDFE2A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576C0C3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PRDP1</w:t>
            </w:r>
          </w:p>
        </w:tc>
        <w:tc>
          <w:tcPr>
            <w:tcW w:w="8836" w:type="dxa"/>
            <w:vAlign w:val="top"/>
          </w:tcPr>
          <w:p w14:paraId="1390309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further verify whether its viewpoints or evidence are reliable.</w:t>
            </w:r>
          </w:p>
        </w:tc>
        <w:tc>
          <w:tcPr>
            <w:tcW w:w="936" w:type="dxa"/>
            <w:vAlign w:val="top"/>
          </w:tcPr>
          <w:p w14:paraId="74ECC1E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3E9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30CA149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4CB739F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PRDP2</w:t>
            </w:r>
          </w:p>
        </w:tc>
        <w:tc>
          <w:tcPr>
            <w:tcW w:w="8836" w:type="dxa"/>
            <w:vAlign w:val="top"/>
          </w:tcPr>
          <w:p w14:paraId="20A3E5A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compare it with other explanations or sources of information.</w:t>
            </w:r>
          </w:p>
        </w:tc>
        <w:tc>
          <w:tcPr>
            <w:tcW w:w="936" w:type="dxa"/>
            <w:vAlign w:val="top"/>
          </w:tcPr>
          <w:p w14:paraId="506E0EF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15076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E1B176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5B0C73E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PRDP3</w:t>
            </w:r>
          </w:p>
        </w:tc>
        <w:tc>
          <w:tcPr>
            <w:tcW w:w="8836" w:type="dxa"/>
            <w:vAlign w:val="top"/>
          </w:tcPr>
          <w:p w14:paraId="6A72C7F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question claims that lack sufficient evidence or logical support.</w:t>
            </w:r>
          </w:p>
        </w:tc>
        <w:tc>
          <w:tcPr>
            <w:tcW w:w="936" w:type="dxa"/>
            <w:vAlign w:val="top"/>
          </w:tcPr>
          <w:p w14:paraId="7BE96AE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E62B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0E31FB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18AA13F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PRDP4</w:t>
            </w:r>
          </w:p>
        </w:tc>
        <w:tc>
          <w:tcPr>
            <w:tcW w:w="8836" w:type="dxa"/>
            <w:vAlign w:val="top"/>
          </w:tcPr>
          <w:p w14:paraId="5753EC7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integrate useful information from AI with my own prior knowledge.</w:t>
            </w:r>
          </w:p>
        </w:tc>
        <w:tc>
          <w:tcPr>
            <w:tcW w:w="936" w:type="dxa"/>
            <w:vAlign w:val="top"/>
          </w:tcPr>
          <w:p w14:paraId="584BDFE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4516E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8FAECC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1018E4C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PRDP5</w:t>
            </w:r>
          </w:p>
        </w:tc>
        <w:tc>
          <w:tcPr>
            <w:tcW w:w="8836" w:type="dxa"/>
            <w:vAlign w:val="top"/>
          </w:tcPr>
          <w:p w14:paraId="4325DBC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reflect on whether my original understanding needs to be adjusted.</w:t>
            </w:r>
          </w:p>
        </w:tc>
        <w:tc>
          <w:tcPr>
            <w:tcW w:w="936" w:type="dxa"/>
            <w:vAlign w:val="top"/>
          </w:tcPr>
          <w:p w14:paraId="5FC3072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0C43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71E99EC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Post-Response Deep Processing</w:t>
            </w:r>
          </w:p>
        </w:tc>
        <w:tc>
          <w:tcPr>
            <w:tcW w:w="2110" w:type="dxa"/>
            <w:vAlign w:val="top"/>
          </w:tcPr>
          <w:p w14:paraId="1938D18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PRDP6</w:t>
            </w:r>
          </w:p>
        </w:tc>
        <w:tc>
          <w:tcPr>
            <w:tcW w:w="8836" w:type="dxa"/>
            <w:vAlign w:val="top"/>
          </w:tcPr>
          <w:p w14:paraId="2A3CF87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After receiving an AI response, I revise my initial judgment or solution when necessary.</w:t>
            </w:r>
          </w:p>
        </w:tc>
        <w:tc>
          <w:tcPr>
            <w:tcW w:w="936" w:type="dxa"/>
            <w:vAlign w:val="top"/>
          </w:tcPr>
          <w:p w14:paraId="1A02DD9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4556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20B24D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Evaluation Literacy</w:t>
            </w:r>
          </w:p>
        </w:tc>
        <w:tc>
          <w:tcPr>
            <w:tcW w:w="2110" w:type="dxa"/>
            <w:vAlign w:val="top"/>
          </w:tcPr>
          <w:p w14:paraId="61D8ABA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AEL1</w:t>
            </w:r>
          </w:p>
        </w:tc>
        <w:tc>
          <w:tcPr>
            <w:tcW w:w="8836" w:type="dxa"/>
            <w:vAlign w:val="top"/>
          </w:tcPr>
          <w:p w14:paraId="0186EF2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understand that AI-generated responses may contain errors, biases, or unsupported claims.</w:t>
            </w:r>
          </w:p>
        </w:tc>
        <w:tc>
          <w:tcPr>
            <w:tcW w:w="936" w:type="dxa"/>
            <w:vAlign w:val="top"/>
          </w:tcPr>
          <w:p w14:paraId="627F88F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35F1C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7E2C544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Evaluation Literacy</w:t>
            </w:r>
          </w:p>
        </w:tc>
        <w:tc>
          <w:tcPr>
            <w:tcW w:w="2110" w:type="dxa"/>
            <w:vAlign w:val="top"/>
          </w:tcPr>
          <w:p w14:paraId="6BAD53E8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AEL2</w:t>
            </w:r>
          </w:p>
        </w:tc>
        <w:tc>
          <w:tcPr>
            <w:tcW w:w="8836" w:type="dxa"/>
            <w:vAlign w:val="top"/>
          </w:tcPr>
          <w:p w14:paraId="1F1FC62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identify possible errors, biases, or uncertainties in AI responses.</w:t>
            </w:r>
          </w:p>
        </w:tc>
        <w:tc>
          <w:tcPr>
            <w:tcW w:w="936" w:type="dxa"/>
            <w:vAlign w:val="top"/>
          </w:tcPr>
          <w:p w14:paraId="74FCCD8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5CB8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00B7382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Evaluation Literacy</w:t>
            </w:r>
          </w:p>
        </w:tc>
        <w:tc>
          <w:tcPr>
            <w:tcW w:w="2110" w:type="dxa"/>
            <w:vAlign w:val="top"/>
          </w:tcPr>
          <w:p w14:paraId="61F88ED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AEL3</w:t>
            </w:r>
          </w:p>
        </w:tc>
        <w:tc>
          <w:tcPr>
            <w:tcW w:w="8836" w:type="dxa"/>
            <w:vAlign w:val="top"/>
          </w:tcPr>
          <w:p w14:paraId="12803B3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judge whether the evidence provided by AI is credible and relevant.</w:t>
            </w:r>
          </w:p>
        </w:tc>
        <w:tc>
          <w:tcPr>
            <w:tcW w:w="936" w:type="dxa"/>
            <w:vAlign w:val="top"/>
          </w:tcPr>
          <w:p w14:paraId="1B60776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7338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363DB646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Evaluation Literacy</w:t>
            </w:r>
          </w:p>
        </w:tc>
        <w:tc>
          <w:tcPr>
            <w:tcW w:w="2110" w:type="dxa"/>
            <w:vAlign w:val="top"/>
          </w:tcPr>
          <w:p w14:paraId="7FE5300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AEL4</w:t>
            </w:r>
          </w:p>
        </w:tc>
        <w:tc>
          <w:tcPr>
            <w:tcW w:w="8836" w:type="dxa"/>
            <w:vAlign w:val="top"/>
          </w:tcPr>
          <w:p w14:paraId="7186E08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verify AI-generated information by comparing it with other reliable sources.</w:t>
            </w:r>
          </w:p>
        </w:tc>
        <w:tc>
          <w:tcPr>
            <w:tcW w:w="936" w:type="dxa"/>
            <w:vAlign w:val="top"/>
          </w:tcPr>
          <w:p w14:paraId="1582CF1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5F259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1947D5E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AI Evaluation Literacy</w:t>
            </w:r>
          </w:p>
        </w:tc>
        <w:tc>
          <w:tcPr>
            <w:tcW w:w="2110" w:type="dxa"/>
            <w:vAlign w:val="top"/>
          </w:tcPr>
          <w:p w14:paraId="79FDF79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AEL5</w:t>
            </w:r>
          </w:p>
        </w:tc>
        <w:tc>
          <w:tcPr>
            <w:tcW w:w="8836" w:type="dxa"/>
            <w:vAlign w:val="top"/>
          </w:tcPr>
          <w:p w14:paraId="58A1FF4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remain cautious when using AI-generated responses for learning or decision-making.</w:t>
            </w:r>
          </w:p>
        </w:tc>
        <w:tc>
          <w:tcPr>
            <w:tcW w:w="936" w:type="dxa"/>
            <w:vAlign w:val="top"/>
          </w:tcPr>
          <w:p w14:paraId="5EC0EAA9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1D96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38554B8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06B0B23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CT1</w:t>
            </w:r>
          </w:p>
        </w:tc>
        <w:tc>
          <w:tcPr>
            <w:tcW w:w="8836" w:type="dxa"/>
            <w:vAlign w:val="top"/>
          </w:tcPr>
          <w:p w14:paraId="75192E2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When facing different viewpoints, I compare their evidence and logical basis.</w:t>
            </w:r>
          </w:p>
        </w:tc>
        <w:tc>
          <w:tcPr>
            <w:tcW w:w="936" w:type="dxa"/>
            <w:vAlign w:val="top"/>
          </w:tcPr>
          <w:p w14:paraId="02A6901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7CBA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1989D6F4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2FFC1288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CT2</w:t>
            </w:r>
          </w:p>
        </w:tc>
        <w:tc>
          <w:tcPr>
            <w:tcW w:w="8836" w:type="dxa"/>
            <w:vAlign w:val="top"/>
          </w:tcPr>
          <w:p w14:paraId="46413A4B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analyze whether an argument is logically consistent.</w:t>
            </w:r>
          </w:p>
        </w:tc>
        <w:tc>
          <w:tcPr>
            <w:tcW w:w="936" w:type="dxa"/>
            <w:vAlign w:val="top"/>
          </w:tcPr>
          <w:p w14:paraId="35C487A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6764F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0FEB22FD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70FA956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CT3</w:t>
            </w:r>
          </w:p>
        </w:tc>
        <w:tc>
          <w:tcPr>
            <w:tcW w:w="8836" w:type="dxa"/>
            <w:vAlign w:val="top"/>
          </w:tcPr>
          <w:p w14:paraId="2DA04515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evaluate the credibility and relevance of information before accepting it.</w:t>
            </w:r>
          </w:p>
        </w:tc>
        <w:tc>
          <w:tcPr>
            <w:tcW w:w="936" w:type="dxa"/>
            <w:vAlign w:val="top"/>
          </w:tcPr>
          <w:p w14:paraId="704B5168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6CC9B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E474FFF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21443412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CT4</w:t>
            </w:r>
          </w:p>
        </w:tc>
        <w:tc>
          <w:tcPr>
            <w:tcW w:w="8836" w:type="dxa"/>
            <w:vAlign w:val="top"/>
          </w:tcPr>
          <w:p w14:paraId="448FF1E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identify weaknesses, assumptions, or unsupported claims in an explanation.</w:t>
            </w:r>
          </w:p>
        </w:tc>
        <w:tc>
          <w:tcPr>
            <w:tcW w:w="936" w:type="dxa"/>
            <w:vAlign w:val="top"/>
          </w:tcPr>
          <w:p w14:paraId="10DBAA4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249FA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4998D67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2F7B7423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CT5</w:t>
            </w:r>
          </w:p>
        </w:tc>
        <w:tc>
          <w:tcPr>
            <w:tcW w:w="8836" w:type="dxa"/>
            <w:vAlign w:val="top"/>
          </w:tcPr>
          <w:p w14:paraId="172607B0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revise my views when new evidence shows that my original judgment may be incomplete or inaccurate.</w:t>
            </w:r>
          </w:p>
        </w:tc>
        <w:tc>
          <w:tcPr>
            <w:tcW w:w="936" w:type="dxa"/>
            <w:vAlign w:val="top"/>
          </w:tcPr>
          <w:p w14:paraId="47A7598E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  <w:tr w14:paraId="62C8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82" w:type="dxa"/>
            <w:vAlign w:val="top"/>
          </w:tcPr>
          <w:p w14:paraId="2A6FF721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Critical Thinking</w:t>
            </w:r>
          </w:p>
        </w:tc>
        <w:tc>
          <w:tcPr>
            <w:tcW w:w="2110" w:type="dxa"/>
            <w:vAlign w:val="top"/>
          </w:tcPr>
          <w:p w14:paraId="35267177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CT6</w:t>
            </w:r>
          </w:p>
        </w:tc>
        <w:tc>
          <w:tcPr>
            <w:tcW w:w="8836" w:type="dxa"/>
            <w:vAlign w:val="top"/>
          </w:tcPr>
          <w:p w14:paraId="06D49F9A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I can use evidence and reasoning to form my own conclusions when solving learning problems.</w:t>
            </w:r>
          </w:p>
        </w:tc>
        <w:tc>
          <w:tcPr>
            <w:tcW w:w="936" w:type="dxa"/>
            <w:vAlign w:val="top"/>
          </w:tcPr>
          <w:p w14:paraId="5C99F2DC">
            <w:pPr>
              <w:spacing w:after="0" w:line="240" w:lineRule="auto"/>
              <w:jc w:val="center"/>
              <w:rPr>
                <w:sz w:val="18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1"/>
              </w:rPr>
              <w:t>1–7</w:t>
            </w:r>
          </w:p>
        </w:tc>
      </w:tr>
    </w:tbl>
    <w:p w14:paraId="36E6B34E">
      <w:pPr>
        <w:jc w:val="both"/>
        <w:rPr>
          <w:b/>
          <w:bCs/>
          <w:color w:val="0000FF"/>
          <w:sz w:val="21"/>
          <w:szCs w:val="24"/>
        </w:rPr>
      </w:pPr>
      <w:r>
        <w:rPr>
          <w:rFonts w:hint="eastAsia"/>
          <w:b/>
          <w:bCs/>
          <w:color w:val="0000FF"/>
          <w:sz w:val="21"/>
          <w:szCs w:val="24"/>
        </w:rPr>
        <w:t>Scoring instructions</w:t>
      </w:r>
    </w:p>
    <w:p w14:paraId="715C062B">
      <w:pPr>
        <w:ind w:firstLine="260" w:firstLineChars="200"/>
        <w:jc w:val="both"/>
        <w:rPr>
          <w:sz w:val="13"/>
          <w:szCs w:val="16"/>
        </w:rPr>
      </w:pPr>
      <w:r>
        <w:rPr>
          <w:sz w:val="13"/>
          <w:szCs w:val="16"/>
        </w:rPr>
        <w:t>For each construct, the final score was calculated as the mean of its corresponding items. Specifically, AIQ was calculated as the mean of AIQ1-AIQ5; SCO was calculated as the mean of SCO1-SCO4; SUCO was calculated as the mean of SUCO1-SUCO4; PRDP was calculated as the mean of PRDP1-PRDP6; AEL was calculated as the mean of AEL1-AEL5; and CT was calculated as the mean of CT1-CT6. Higher AIQ scores indicate higher perceived quality of conversational AI learning support. Higher SCO scores indicate a higher level of scaffolded cognitive offloading. Higher SUCO scores indicate a higher level of substitutive cognitive offloading. Higher PRDP scores indicate a higher level of post-response deep processing. Higher AEL scores indicate a higher level of AI evaluation literacy. Higher CT scores indicate a higher level of critical thinking in learning contexts.</w:t>
      </w:r>
      <w:bookmarkStart w:id="0" w:name="_GoBack"/>
      <w:bookmarkEnd w:id="0"/>
    </w:p>
    <w:sectPr>
      <w:pgSz w:w="16834" w:h="11909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B511B"/>
    <w:rsid w:val="2961404A"/>
    <w:rsid w:val="335A2B4F"/>
    <w:rsid w:val="555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6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2026-06-05T03:00:00Z</dcterms:created>
  <dc:creator>干净的桔梗</dc:creator>
  <cp:lastModifiedBy>干净的桔梗</cp:lastModifiedBy>
  <dcterms:modified xsi:type="dcterms:W3CDTF">2026-06-05T03:07:26Z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F15B565561154C53AC6CFD8988ED99E6_11</vt:lpwstr>
  </property>
  <property fmtid="{D5CDD505-2E9C-101B-9397-08002B2CF9AE}" pid="4" name="KSOTemplateDocerSaveRecord">
    <vt:lpwstr>eyJoZGlkIjoiZjZiNzQ3NTc3YTRhMjZhYzllNTg5NjQ5ZTUwNTI0MmQiLCJ1c2VySWQiOiI0MDczOTk0MDUifQ==</vt:lpwstr>
  </property>
</Properties>
</file>