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54B94" w14:textId="77777777" w:rsidR="00B52D26" w:rsidRDefault="00000000">
      <w:pPr>
        <w:spacing w:after="100"/>
        <w:jc w:val="center"/>
      </w:pPr>
      <w:r>
        <w:rPr>
          <w:rFonts w:ascii="Arial" w:eastAsia="Arial" w:hAnsi="Arial" w:cs="Arial"/>
          <w:b/>
          <w:bCs/>
          <w:sz w:val="24"/>
          <w:szCs w:val="24"/>
        </w:rPr>
        <w:t>CONSORT 2010 Extension for Pilot and Feasibility Trials — Checklist</w:t>
      </w:r>
    </w:p>
    <w:p w14:paraId="5081397E" w14:textId="77777777" w:rsidR="00B52D26" w:rsidRDefault="00000000">
      <w:pPr>
        <w:spacing w:after="60"/>
        <w:jc w:val="center"/>
      </w:pPr>
      <w:r>
        <w:rPr>
          <w:rFonts w:ascii="Arial" w:eastAsia="Arial" w:hAnsi="Arial" w:cs="Arial"/>
          <w:sz w:val="18"/>
          <w:szCs w:val="18"/>
        </w:rPr>
        <w:t>Manuscript: Effects of Combined Myofascial Release and Structured Eye Exercises on Shooting Accuracy and Neck Pain in Pistol Shooters: A Randomised Pilot Study</w:t>
      </w:r>
    </w:p>
    <w:p w14:paraId="0887709E" w14:textId="43A126C0" w:rsidR="00B52D26" w:rsidRDefault="00000000">
      <w:pPr>
        <w:spacing w:after="60"/>
        <w:jc w:val="center"/>
      </w:pPr>
      <w:r>
        <w:rPr>
          <w:rFonts w:ascii="Arial" w:eastAsia="Arial" w:hAnsi="Arial" w:cs="Arial"/>
          <w:sz w:val="18"/>
          <w:szCs w:val="18"/>
        </w:rPr>
        <w:t xml:space="preserve"> CTRI Registration: CTRI/2026/06/113052 | Recruitment: 1 November 2025 – 1 February 2026</w:t>
      </w:r>
    </w:p>
    <w:p w14:paraId="4EF808B5" w14:textId="77777777" w:rsidR="00B52D26" w:rsidRDefault="00000000">
      <w:pPr>
        <w:spacing w:after="200"/>
        <w:jc w:val="center"/>
      </w:pPr>
      <w:r>
        <w:rPr>
          <w:rFonts w:ascii="Arial" w:eastAsia="Arial" w:hAnsi="Arial" w:cs="Arial"/>
          <w:sz w:val="18"/>
          <w:szCs w:val="18"/>
        </w:rPr>
        <w:t>Target journal: Pilot and Feasibility Studies (BioMed Central/Springer Nature, ISSN 2055-5784)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2200"/>
        <w:gridCol w:w="7000"/>
        <w:gridCol w:w="2800"/>
        <w:gridCol w:w="2798"/>
      </w:tblGrid>
      <w:tr w:rsidR="00B52D26" w14:paraId="3A93472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72E125" w14:textId="77777777" w:rsidR="00B52D26" w:rsidRDefault="00000000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3416AA" w14:textId="77777777" w:rsidR="00B52D26" w:rsidRDefault="00000000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Section/Topic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5669E0" w14:textId="77777777" w:rsidR="00B52D26" w:rsidRDefault="00000000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CONSORT 2010 Extension for Pilot &amp; Feasibility Trials — Checklist Item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28826E" w14:textId="77777777" w:rsidR="00B52D26" w:rsidRDefault="00000000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Location in Manuscript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207773" w14:textId="77777777" w:rsidR="00B52D26" w:rsidRDefault="00000000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Reported (Yes/No/N/A)</w:t>
            </w:r>
          </w:p>
        </w:tc>
      </w:tr>
      <w:tr w:rsidR="00B52D26" w14:paraId="0B3D60B5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1E5F5E" w14:textId="77777777" w:rsidR="00B52D26" w:rsidRDefault="00000000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TITLE &amp; ABSTRACT</w:t>
            </w:r>
          </w:p>
        </w:tc>
      </w:tr>
      <w:tr w:rsidR="00B52D26" w14:paraId="3BEAAD4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B3C523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1a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9EB133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Title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00B112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Identification as a randomised pilot or feasibility trial in the title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95B437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Title page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2F700E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0470F69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05DDEC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1b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1F86DE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Abstract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85CE35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Structured summary including, as applicable: trial design, methods, results, and conclusions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44C61C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Abstract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70E795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12D863C8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B04F1F" w14:textId="77777777" w:rsidR="00B52D26" w:rsidRDefault="00000000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INTRODUCTION</w:t>
            </w:r>
          </w:p>
        </w:tc>
      </w:tr>
      <w:tr w:rsidR="00B52D26" w14:paraId="3EB1391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78AB87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2a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59128A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Background &amp; objectives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291054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Scientific background and explanation of rationale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6411F9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Introduction (line 17)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1264C8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2A7C211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E787BD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2b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4F1E79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Background &amp; objectives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50E65E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Specific objectives or research questions for the pilot or feasibility trial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A278E4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Introduction (line 25)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04AD61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0DA193F1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0ECB7E" w14:textId="77777777" w:rsidR="00B52D26" w:rsidRDefault="00000000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METHODS</w:t>
            </w:r>
          </w:p>
        </w:tc>
      </w:tr>
      <w:tr w:rsidR="00B52D26" w14:paraId="4D9A486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B53F13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416A0E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Trial design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8E9717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Description of pilot or feasibility trial design (such as parallel, crossover, factorial) including allocation ratio and any framework (such as internal pilot)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473ECC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Methods – Study Design (line 29)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40F23F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19ACB70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D9933B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4a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F20E28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Participants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15F88F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Eligibility criteria for participants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ED7299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Methods – Participants (line 33)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521998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4B75C1B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F68D71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4b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9CF23B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Participants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059488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Settings and locations where the data were collected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1FE9BE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Methods – Study Design (line 29)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56EAAD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0A48D31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9585A2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34973B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Interventions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9A842E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CDB912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Methods – Interventions (lines 41–47)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41B1A6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178773B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D62200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6a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E316E7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Outcomes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F2A6B9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Completely defined pre-specified primary and secondary outcome measures, including how and when they were assessed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F2E0C0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Methods – Outcome Measures (lines 49–53)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A4DB8C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4C64D5C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6FC006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6b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268005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Outcomes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0A117D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Any changes to trial outcomes after the trial commenced, with reasons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4DC1CC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Not applicable – no changes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10A3B2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</w:tr>
      <w:tr w:rsidR="00B52D26" w14:paraId="01ED6BD6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6A25A2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7a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3298BC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Sample size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1A38D0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How sample size was determined and, where applicable, explanation of any interim analyses and stopping guidelines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027F91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Methods – Study Design (line 29)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E4CF31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598367A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4EACD7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7b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495B25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Sample size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3A7D43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For externally pilot or feasibility trials, if applicable, explanation of whether and how it is possible to assess a sample size calculation for a future definitive trial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E4544B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Methods – Study Design &amp; Results – Feasibility Outcomes (lines 29, 61)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82C318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074A254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2D50A2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8a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7B2932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Randomisation – sequence generation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E854E8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Method used to generate the random allocation sequence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0E17C8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Methods – Randomisation and Allocation (line 37)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B322C8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506B81D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85E239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8b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448A16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Randomisation – sequence generation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723E9D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Type of randomisation; details of any restriction (such as blocking and block sizes)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D8F7F6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Methods – Randomisation and Allocation (line 37)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AD538F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3E43E41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602C48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8F9B93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Allocation concealment mechanism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5032F0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BF078A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Methods – Randomisation and Allocation (line 37)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91179E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12FD741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92EC99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8B8F0A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Implementation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FB23DC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9B95BA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Methods – Randomisation and Allocation (line 37)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CBBC24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53D29A16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5A727D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11a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E6F5BC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Blinding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6DFC58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76AE03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Methods – Randomisation and Allocation (line 37)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FE6E18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6332944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6E1223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11b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BAA1E2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Blinding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E1146C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If relevant, description of the similarity of interventions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D94B5A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Methods – Randomisation and Allocation (line 37)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2C868C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6CFEA01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70604F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12a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2B86B9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Statistical methods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DC40BF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Statistical methods used to compare groups for primary and secondary outcomes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ACBB8C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Methods – Statistical Analysis (line 55)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A3D3BD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6FBF15F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50BFE3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12b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DE5B61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Statistical methods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647215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Methods for additional analyses, such as subgroup analyses and adjusted analyses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793AF1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Not applicable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D6E294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</w:tr>
      <w:tr w:rsidR="00B52D26" w14:paraId="03B84199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BB7D07" w14:textId="77777777" w:rsidR="00B52D26" w:rsidRDefault="00000000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RESULTS</w:t>
            </w:r>
          </w:p>
        </w:tc>
      </w:tr>
      <w:tr w:rsidR="00B52D26" w14:paraId="28524C66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B94C12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13a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A81EF0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Participant flow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B7B335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62BFCF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Results – Participant Flow &amp; Fig. 1 (line 65)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6553F1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4AA861C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49A4AA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13b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3F1621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Participant flow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40B9F1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For each group, losses and exclusions after randomisation, together with reasons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2A371A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Results – Participant Flow &amp; Fig. 1 (line 65)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90D782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2FF3D64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BB068D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14a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F7161A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Recruitment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17DD35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Dates defining the periods of recruitment and follow-up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8DF42D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Methods – Participants (line 33; dates: 1 November 2025 – 1 February 2026)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DD257C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2B1B41A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70E9B1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14b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C1FB19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Recruitment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CAD914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Why the trial ended or was stopped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F6BCCA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Not applicable – completed as planned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B57A21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</w:tr>
      <w:tr w:rsidR="00B52D26" w14:paraId="6047887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B221F2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15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CD13EE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Baseline data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829B8D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A table showing baseline demographic and clinical characteristics for each group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966770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Results – Table 1 (line 69)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0AE6DC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56B8EBF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4A6770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16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6F0E5A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Numbers analysed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86644A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C263AB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Results – Participant Flow (line 65)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766978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3463CF4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417EF6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17a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B04C20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Outcomes and estimation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6560A3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390E1A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Results – Tables 1–3 (lines 69–101)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DEE0D3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2E8FD9F6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139B59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17b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3BAD41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Outcomes and estimation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725D46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For binary outcomes, presentation of both absolute and relative effect sizes is recommended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7104ED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Not applicable – no binary outcomes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D697F1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</w:tr>
      <w:tr w:rsidR="00B52D26" w14:paraId="688418A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A97667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18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302490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Ancillary analyses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F7654D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F635A1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Not applicable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745F99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</w:tr>
      <w:tr w:rsidR="00B52D26" w14:paraId="4FA05DB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B338C8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19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961BBC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Harms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B2D54A" w14:textId="77777777" w:rsidR="00B52D26" w:rsidRDefault="00000000"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All important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harms or unintended effects in each group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AD3122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Results – Feasibility Outcomes (line 61; no adverse events reported)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429022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1A0D3FF7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371429" w14:textId="77777777" w:rsidR="00B52D26" w:rsidRDefault="00000000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DISCUSSION</w:t>
            </w:r>
          </w:p>
        </w:tc>
      </w:tr>
      <w:tr w:rsidR="00B52D26" w14:paraId="2F0386E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5B9CC2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20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997088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Limitations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7ED1C6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Trial limitations, addressing sources of potential bias, imprecision, and, if relevant, multiplicity of analyses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424D88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Discussion – Limitations (line 116)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A52183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071472B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5AACAD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21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9F2623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Generalisability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86FCE2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Generalisability (external validity, applicability) of the trial findings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A040CA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Discussion (line 106)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E28BA7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39266246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80AECB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22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BE67F5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Interpretation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A6DD0D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Interpretation consistent with results, balancing benefits and harms, and considering other relevant evidence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7AF44C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Discussion (lines 106–119)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FAD767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39F2088E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94DD14" w14:textId="77777777" w:rsidR="00B52D26" w:rsidRDefault="00000000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OTHER INFORMATION</w:t>
            </w:r>
          </w:p>
        </w:tc>
      </w:tr>
      <w:tr w:rsidR="00B52D26" w14:paraId="59915836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3F0395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23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79365C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Trial registration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2728FD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Registration number and name of trial registry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5C22E9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 xml:space="preserve">Abstract (CTRI/2026/06/113052); </w:t>
            </w: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Methods – Study Design (line 29)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B43CE7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Yes</w:t>
            </w:r>
          </w:p>
        </w:tc>
      </w:tr>
      <w:tr w:rsidR="00B52D26" w14:paraId="7EFB305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F1F7D8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24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BDE658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Protocol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3AA5C0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Where the full trial protocol can be accessed, if available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F559D1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Available from corresponding author on request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838110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1A224A5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7B027B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25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1AE00E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Funding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125BD8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Sources of funding and other support (such as supply of drugs); role of funders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5A3062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Declarations – Funding (line 132; no funding received)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FEDAF2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B52D26" w14:paraId="3768ADFA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8B7A19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26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D7E047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Ethics and consent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C403C6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Ethical approval and participant consent procedures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D17FB2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Methods – Study Design (line 29); Ethical Approval (line 140)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1CB56C" w14:textId="77777777" w:rsidR="00B52D26" w:rsidRDefault="00000000"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</w:tbl>
    <w:p w14:paraId="45E71D12" w14:textId="77777777" w:rsidR="00B52D26" w:rsidRDefault="00000000">
      <w:pPr>
        <w:spacing w:before="160"/>
      </w:pPr>
      <w:r>
        <w:rPr>
          <w:rFonts w:ascii="Arial" w:eastAsia="Arial" w:hAnsi="Arial" w:cs="Arial"/>
          <w:i/>
          <w:iCs/>
          <w:sz w:val="16"/>
          <w:szCs w:val="16"/>
        </w:rPr>
        <w:t>Note: This checklist follows the CONSORT 2010 extension for randomised pilot and feasibility trials (Eldridge et al., BMJ 2016;355:i5239). Items specific to pilot/feasibility trials are included as Items 7b and 26. N/A = not applicable to this study.</w:t>
      </w:r>
    </w:p>
    <w:sectPr w:rsidR="00B52D26"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8457C"/>
    <w:multiLevelType w:val="hybridMultilevel"/>
    <w:tmpl w:val="B432866A"/>
    <w:lvl w:ilvl="0" w:tplc="FDB2271C">
      <w:start w:val="1"/>
      <w:numFmt w:val="bullet"/>
      <w:lvlText w:val="●"/>
      <w:lvlJc w:val="left"/>
      <w:pPr>
        <w:ind w:left="720" w:hanging="360"/>
      </w:pPr>
    </w:lvl>
    <w:lvl w:ilvl="1" w:tplc="AB7072B6">
      <w:start w:val="1"/>
      <w:numFmt w:val="bullet"/>
      <w:lvlText w:val="○"/>
      <w:lvlJc w:val="left"/>
      <w:pPr>
        <w:ind w:left="1440" w:hanging="360"/>
      </w:pPr>
    </w:lvl>
    <w:lvl w:ilvl="2" w:tplc="1BD660B0">
      <w:start w:val="1"/>
      <w:numFmt w:val="bullet"/>
      <w:lvlText w:val="■"/>
      <w:lvlJc w:val="left"/>
      <w:pPr>
        <w:ind w:left="2160" w:hanging="360"/>
      </w:pPr>
    </w:lvl>
    <w:lvl w:ilvl="3" w:tplc="AB6A9216">
      <w:start w:val="1"/>
      <w:numFmt w:val="bullet"/>
      <w:lvlText w:val="●"/>
      <w:lvlJc w:val="left"/>
      <w:pPr>
        <w:ind w:left="2880" w:hanging="360"/>
      </w:pPr>
    </w:lvl>
    <w:lvl w:ilvl="4" w:tplc="B8647CB2">
      <w:start w:val="1"/>
      <w:numFmt w:val="bullet"/>
      <w:lvlText w:val="○"/>
      <w:lvlJc w:val="left"/>
      <w:pPr>
        <w:ind w:left="3600" w:hanging="360"/>
      </w:pPr>
    </w:lvl>
    <w:lvl w:ilvl="5" w:tplc="5A1440D6">
      <w:start w:val="1"/>
      <w:numFmt w:val="bullet"/>
      <w:lvlText w:val="■"/>
      <w:lvlJc w:val="left"/>
      <w:pPr>
        <w:ind w:left="4320" w:hanging="360"/>
      </w:pPr>
    </w:lvl>
    <w:lvl w:ilvl="6" w:tplc="C76626F6">
      <w:start w:val="1"/>
      <w:numFmt w:val="bullet"/>
      <w:lvlText w:val="●"/>
      <w:lvlJc w:val="left"/>
      <w:pPr>
        <w:ind w:left="5040" w:hanging="360"/>
      </w:pPr>
    </w:lvl>
    <w:lvl w:ilvl="7" w:tplc="1F161210">
      <w:start w:val="1"/>
      <w:numFmt w:val="bullet"/>
      <w:lvlText w:val="●"/>
      <w:lvlJc w:val="left"/>
      <w:pPr>
        <w:ind w:left="5760" w:hanging="360"/>
      </w:pPr>
    </w:lvl>
    <w:lvl w:ilvl="8" w:tplc="6F465984">
      <w:start w:val="1"/>
      <w:numFmt w:val="bullet"/>
      <w:lvlText w:val="●"/>
      <w:lvlJc w:val="left"/>
      <w:pPr>
        <w:ind w:left="6480" w:hanging="360"/>
      </w:pPr>
    </w:lvl>
  </w:abstractNum>
  <w:num w:numId="1" w16cid:durableId="843490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D26"/>
    <w:rsid w:val="001F2119"/>
    <w:rsid w:val="00B52D26"/>
    <w:rsid w:val="00E5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2FAAE"/>
  <w15:docId w15:val="{B1B9E33A-664B-48DD-B8F0-313522AD3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999</Words>
  <Characters>5698</Characters>
  <Application>Microsoft Office Word</Application>
  <DocSecurity>0</DocSecurity>
  <Lines>47</Lines>
  <Paragraphs>13</Paragraphs>
  <ScaleCrop>false</ScaleCrop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Atul Wadhwa</cp:lastModifiedBy>
  <cp:revision>2</cp:revision>
  <dcterms:created xsi:type="dcterms:W3CDTF">2026-06-27T03:43:00Z</dcterms:created>
  <dcterms:modified xsi:type="dcterms:W3CDTF">2026-06-29T15:14:00Z</dcterms:modified>
</cp:coreProperties>
</file>