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1B4A" w14:textId="77777777" w:rsidR="00234AC6" w:rsidRDefault="00234AC6" w:rsidP="00234AC6">
      <w:pPr>
        <w:widowControl/>
        <w:spacing w:before="160" w:after="8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en-US"/>
        </w:rPr>
        <w:t>Supplementary Figure 1. Within-case comparison between stable and pre-hypotension windows.</w:t>
      </w:r>
    </w:p>
    <w:p w14:paraId="6037A918" w14:textId="77777777" w:rsidR="00234AC6" w:rsidRDefault="00234AC6" w:rsidP="00234AC6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The stable control window was defined as T0 -15 to -10 min, and the pre-hypotension window was defined as T0 -5 to -0.5 min. The strict analysis retained cases with little hypotension during the stable window. Compared with the stable window, the pre-hypotension window showed lower MAP, lower BIS, and a higher BIS &lt;40 time proportion.</w:t>
      </w:r>
    </w:p>
    <w:p w14:paraId="525ED4EF" w14:textId="77777777" w:rsidR="00234AC6" w:rsidRDefault="00234AC6" w:rsidP="00234AC6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en-US"/>
        </w:rPr>
        <w:drawing>
          <wp:inline distT="0" distB="0" distL="114300" distR="114300" wp14:anchorId="5CB7F453" wp14:editId="1824FDBB">
            <wp:extent cx="5440680" cy="4546600"/>
            <wp:effectExtent l="0" t="0" r="0" b="10160"/>
            <wp:docPr id="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4546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1BBF26" w14:textId="77777777" w:rsidR="00234AC6" w:rsidRDefault="00234AC6" w:rsidP="00234AC6">
      <w:pPr>
        <w:keepNext/>
        <w:keepLines/>
        <w:spacing w:before="480" w:line="276" w:lineRule="auto"/>
        <w:outlineLvl w:val="0"/>
        <w:rPr>
          <w:rFonts w:ascii="Times New Roman" w:eastAsia="SimSun" w:hAnsi="Times New Roman" w:cs="Times New Roman"/>
          <w:b/>
          <w:bCs/>
          <w:color w:val="366091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366091"/>
          <w:sz w:val="24"/>
          <w:lang w:eastAsia="en-US"/>
        </w:rPr>
        <w:t>Supplementary tables</w:t>
      </w:r>
    </w:p>
    <w:p w14:paraId="1280E4FB" w14:textId="77777777" w:rsidR="00234AC6" w:rsidRDefault="00234AC6" w:rsidP="00234AC6">
      <w:pPr>
        <w:widowControl/>
        <w:spacing w:before="160" w:after="8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en-US"/>
        </w:rPr>
        <w:t>Supplementary Table 1. MAP &lt;65 time proportion across BIS &lt;40 exposure groups.</w:t>
      </w:r>
    </w:p>
    <w:p w14:paraId="75DD324B" w14:textId="77777777" w:rsidR="00234AC6" w:rsidRDefault="00234AC6" w:rsidP="00234AC6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BIS &lt;40 exposure groups were defined as 0%, &gt;0% to 10%, 10% to 30%, and &gt;=30% of valid BIS monitoring time. Values summarize the MAP &lt;65 time proportion across exposure groups.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75"/>
        <w:gridCol w:w="1235"/>
        <w:gridCol w:w="1635"/>
        <w:gridCol w:w="1635"/>
        <w:gridCol w:w="1635"/>
        <w:gridCol w:w="1635"/>
      </w:tblGrid>
      <w:tr w:rsidR="00234AC6" w14:paraId="06094647" w14:textId="77777777" w:rsidTr="003158B9">
        <w:trPr>
          <w:jc w:val="center"/>
        </w:trPr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DF6187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BIS &lt;40 exposure group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D62AB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EFFCD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Mean MAP &lt;65 time, %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9858D4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Median MAP &lt;65 time, %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94926F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Q1, %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288DD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Q3, %</w:t>
            </w:r>
          </w:p>
        </w:tc>
      </w:tr>
      <w:tr w:rsidR="00234AC6" w14:paraId="4541C56E" w14:textId="77777777" w:rsidTr="003158B9">
        <w:trPr>
          <w:jc w:val="center"/>
        </w:trPr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D9C9E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0%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3F1B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FD064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16.989742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66A8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17.586712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9147E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10.888202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80762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23.871650</w:t>
            </w:r>
          </w:p>
        </w:tc>
      </w:tr>
      <w:tr w:rsidR="00234AC6" w14:paraId="256A39BF" w14:textId="77777777" w:rsidTr="003158B9">
        <w:trPr>
          <w:jc w:val="center"/>
        </w:trPr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3FF23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&gt;0% to 10%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B047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215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7FC3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11.536874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03846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7.147777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FC172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3.505832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10E69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14.992990</w:t>
            </w:r>
          </w:p>
        </w:tc>
      </w:tr>
      <w:tr w:rsidR="00234AC6" w14:paraId="01344BF9" w14:textId="77777777" w:rsidTr="003158B9">
        <w:trPr>
          <w:jc w:val="center"/>
        </w:trPr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360B8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10% to 30%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65549E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288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C271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10.131983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2544CC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5.503376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D27F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2.008889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3111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14.134290</w:t>
            </w:r>
          </w:p>
        </w:tc>
      </w:tr>
      <w:tr w:rsidR="00234AC6" w14:paraId="31EF64A8" w14:textId="77777777" w:rsidTr="003158B9">
        <w:trPr>
          <w:jc w:val="center"/>
        </w:trPr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3390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&gt;=30%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C02D9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883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A0FF6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7.628408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73B3B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4.168275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C25962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1.198715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BDFA3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9.342790</w:t>
            </w:r>
          </w:p>
        </w:tc>
      </w:tr>
    </w:tbl>
    <w:p w14:paraId="47F53ED9" w14:textId="77777777" w:rsidR="00234AC6" w:rsidRDefault="00234AC6" w:rsidP="00234AC6">
      <w:pPr>
        <w:widowControl/>
        <w:spacing w:before="160" w:after="8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en-US"/>
        </w:rPr>
        <w:t>Supplementary Table 2. Complete cohort flow and case inclusion.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375"/>
        <w:gridCol w:w="2048"/>
        <w:gridCol w:w="2383"/>
        <w:gridCol w:w="2544"/>
      </w:tblGrid>
      <w:tr w:rsidR="00234AC6" w14:paraId="47691A85" w14:textId="77777777" w:rsidTr="003158B9">
        <w:trPr>
          <w:jc w:val="center"/>
        </w:trPr>
        <w:tc>
          <w:tcPr>
            <w:tcW w:w="36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8DF0E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Step</w:t>
            </w:r>
          </w:p>
        </w:tc>
        <w:tc>
          <w:tcPr>
            <w:tcW w:w="36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11D5DC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36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460E1E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Excluded or not included</w:t>
            </w:r>
          </w:p>
        </w:tc>
        <w:tc>
          <w:tcPr>
            <w:tcW w:w="36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893C1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Description</w:t>
            </w:r>
          </w:p>
        </w:tc>
      </w:tr>
      <w:tr w:rsidR="00234AC6" w14:paraId="265177EA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B3E2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All VitalDB surgical cases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B3B5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6,388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20AA7C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39392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All surgical cases available in the VitalDB database.</w:t>
            </w:r>
          </w:p>
        </w:tc>
      </w:tr>
      <w:tr w:rsidR="00234AC6" w14:paraId="6DFACF67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72061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Prescreened eligible cases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5FFE57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2,103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D179C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4,285 did not meet prespecified screening criteria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6FAAD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Noncardiac general anesthesia cases with surgical duration &gt;2 h.</w:t>
            </w:r>
          </w:p>
        </w:tc>
      </w:tr>
      <w:tr w:rsidR="00234AC6" w14:paraId="48F49E8A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F38A9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with complete BIS and invasive arterial pressure tracks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17C91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1,428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8A978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675 did not have complete BIS and invasive arterial pressure tracks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E4E36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with BIS/BIS, ART_SBP, ART_MBP, and ART_DBP tracks.</w:t>
            </w:r>
          </w:p>
        </w:tc>
      </w:tr>
      <w:tr w:rsidR="00234AC6" w14:paraId="3E833819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72EFD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included after signal quality control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817E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1,394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6991B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34 were excluded after signal quality control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081E67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remaining after excluding short or physiologically implausible BIS/MAP recordings.</w:t>
            </w:r>
          </w:p>
        </w:tc>
      </w:tr>
      <w:tr w:rsidR="00234AC6" w14:paraId="53820411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BF963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included in adjusted complete-case models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6B30C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1,380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3BAFD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 had missing covariate data for adjusted regression models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D4B71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with complete covariate data for the primary adjusted regression models.</w:t>
            </w:r>
          </w:p>
        </w:tc>
      </w:tr>
      <w:tr w:rsidR="00234AC6" w14:paraId="552859A1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E2D7E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included in event-aligned analysis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220B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1,050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2F191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344 did not have a qualified first hypotension event or sufficient peri-event BIS/MAP data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E1D80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with a qualified first MAP &lt;65 mmHg event lasting at least 60 s and sufficient peri-event BIS/MAP data.</w:t>
            </w:r>
          </w:p>
        </w:tc>
      </w:tr>
      <w:tr w:rsidR="00234AC6" w14:paraId="7076CB51" w14:textId="77777777" w:rsidTr="003158B9">
        <w:trPr>
          <w:jc w:val="center"/>
        </w:trPr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036955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included in strict within-case paired-window analysis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C8E5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729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1C61E3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321 did not meet the strict within-case paired-window criteria</w:t>
            </w:r>
          </w:p>
        </w:tc>
        <w:tc>
          <w:tcPr>
            <w:tcW w:w="36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41E9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Cases retained for strict within-case comparison between the stable control and pre-hypotension windows.</w:t>
            </w:r>
          </w:p>
        </w:tc>
      </w:tr>
    </w:tbl>
    <w:p w14:paraId="1862C64F" w14:textId="77777777" w:rsidR="00234AC6" w:rsidRDefault="00234AC6" w:rsidP="00234AC6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The prescreened eligible cohort was defined as noncardiac general anesthesia cases with surgical duration &gt;2 h. Adjusted complete-case models and event-aligned analyses were both derived from the quality-controlled cohort and should be interpreted as separate analytic subsets.</w:t>
      </w:r>
    </w:p>
    <w:p w14:paraId="205E7D1F" w14:textId="77777777" w:rsidR="00234AC6" w:rsidRDefault="00234AC6" w:rsidP="00234AC6">
      <w:pPr>
        <w:widowControl/>
        <w:spacing w:before="160" w:after="8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en-US"/>
        </w:rPr>
        <w:lastRenderedPageBreak/>
        <w:t>Supplementary Table 3. RECORD reporting checklist for the present study.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26"/>
        <w:gridCol w:w="3025"/>
        <w:gridCol w:w="3099"/>
      </w:tblGrid>
      <w:tr w:rsidR="00234AC6" w14:paraId="19660CF1" w14:textId="77777777" w:rsidTr="003158B9">
        <w:trPr>
          <w:jc w:val="center"/>
        </w:trPr>
        <w:tc>
          <w:tcPr>
            <w:tcW w:w="4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F2DF7B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RECORD-related domain</w:t>
            </w:r>
          </w:p>
        </w:tc>
        <w:tc>
          <w:tcPr>
            <w:tcW w:w="4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746DFD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How it was addressed in this study</w:t>
            </w:r>
          </w:p>
        </w:tc>
        <w:tc>
          <w:tcPr>
            <w:tcW w:w="4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AC69DD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Manuscript location</w:t>
            </w:r>
          </w:p>
        </w:tc>
      </w:tr>
      <w:tr w:rsidR="00234AC6" w14:paraId="0EB71E12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0B423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Study design and data source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F8B29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The study was described as a retrospective observational database study using the publicly available VitalDB database.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E9218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Abstract; Methods: Data source and ethical considerations</w:t>
            </w:r>
          </w:p>
        </w:tc>
      </w:tr>
      <w:tr w:rsidR="00234AC6" w14:paraId="509B4B7E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09419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Data access and database description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6791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The VitalDB database, case information table, and track list were described. Data were obtained through the VitalDB API.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00B13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Methods: Data source and study cohort</w:t>
            </w:r>
          </w:p>
        </w:tc>
      </w:tr>
      <w:tr w:rsidR="00234AC6" w14:paraId="67A8A14B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AC09AC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Participant selection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FBF0B7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The screened case identifiers, cases with complete BIS and arterial pressure tracks, cases after signal quality control, and complete-case model sample were reported.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4E5F3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Methods: Quality control; Results; Supplementary Table 2</w:t>
            </w:r>
          </w:p>
        </w:tc>
      </w:tr>
      <w:tr w:rsidR="00234AC6" w14:paraId="559737BC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4096E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Exposure and outcome definitions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B1CC1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BIS &lt;40 exposure, MAP &lt;65 hypotension burden, substantial hypotension burden, hypotension onset T0, and within-case windows were explicitly defined.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AC7FE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Methods: Signal processing; Event-aligned analysis; Within-case analysis</w:t>
            </w:r>
          </w:p>
        </w:tc>
      </w:tr>
      <w:tr w:rsidR="00234AC6" w14:paraId="2942C85D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4206A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Data cleaning and signal quality control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0723D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Physiologic range filters, monitoring-duration requirements, and exclusion of implausible arterial pressure records were described.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F5E44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Methods: Signal processing and quality control</w:t>
            </w:r>
          </w:p>
        </w:tc>
      </w:tr>
      <w:tr w:rsidR="00234AC6" w14:paraId="2C5CFCF6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0D727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Handling of missing data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C776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Complete-case samples were reported for adjusted regression models.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AC704D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Methods: Covariates; Results</w:t>
            </w:r>
          </w:p>
        </w:tc>
      </w:tr>
      <w:tr w:rsidR="00234AC6" w14:paraId="061A9067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12BA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Statistical methods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D5998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Case-level correlation, regression models, sensitivity analysis, event-aligned analysis, and within-case paired-window analysis were described.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0091E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Methods: Statistical analysis</w:t>
            </w:r>
          </w:p>
        </w:tc>
      </w:tr>
      <w:tr w:rsidR="00234AC6" w14:paraId="03D06179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22845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Flow of participants/cases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3C4EB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The number of screened cases, complete-track cases,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quality-controlled cases, and complete-case models was reported.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53433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>Results; Supplementary Table 2</w:t>
            </w:r>
          </w:p>
        </w:tc>
      </w:tr>
      <w:tr w:rsidR="00234AC6" w14:paraId="104136E3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8035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Data availability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637FE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The source database is publicly available through VitalDB. Derived analytic datasets and code can be made available upon reasonable request, depending on journal policy.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FED515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Data availability statement</w:t>
            </w:r>
          </w:p>
        </w:tc>
      </w:tr>
      <w:tr w:rsidR="00234AC6" w14:paraId="5FD16EDF" w14:textId="77777777" w:rsidTr="003158B9">
        <w:trPr>
          <w:jc w:val="center"/>
        </w:trPr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E3550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Interpretation and limitations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4251C7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Residual confounding, signal artifacts, time-varying clinical interventions, and lack of external validation were discussed.</w:t>
            </w:r>
          </w:p>
        </w:tc>
        <w:tc>
          <w:tcPr>
            <w:tcW w:w="4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47FD6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Discussion: Limitations</w:t>
            </w:r>
          </w:p>
        </w:tc>
      </w:tr>
    </w:tbl>
    <w:p w14:paraId="00975707" w14:textId="77777777" w:rsidR="00234AC6" w:rsidRDefault="00234AC6" w:rsidP="00234AC6">
      <w:pPr>
        <w:widowControl/>
        <w:spacing w:before="160" w:after="8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en-US"/>
        </w:rPr>
        <w:t>Supplementary Table 4. Extended adjustment models including intraoperative management variables.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292"/>
        <w:gridCol w:w="1312"/>
        <w:gridCol w:w="1312"/>
        <w:gridCol w:w="1205"/>
        <w:gridCol w:w="1234"/>
        <w:gridCol w:w="965"/>
        <w:gridCol w:w="1065"/>
        <w:gridCol w:w="965"/>
      </w:tblGrid>
      <w:tr w:rsidR="00234AC6" w14:paraId="3200AB82" w14:textId="77777777" w:rsidTr="003158B9">
        <w:trPr>
          <w:jc w:val="center"/>
        </w:trPr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25E3E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163AEE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Outcome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DF8991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Exposure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AD2FA1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Effect measure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0916EC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Estimate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C110A3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95% CI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A7F9D6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P value</w:t>
            </w:r>
          </w:p>
        </w:tc>
        <w:tc>
          <w:tcPr>
            <w:tcW w:w="18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283832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N</w:t>
            </w:r>
          </w:p>
        </w:tc>
      </w:tr>
      <w:tr w:rsidR="00234AC6" w14:paraId="633BFC1A" w14:textId="77777777" w:rsidTr="003158B9">
        <w:trPr>
          <w:jc w:val="center"/>
        </w:trPr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06FC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Extended logistic regression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8DA93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MAP &lt;65 time proportion &gt;=10%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A1A77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BIS &lt;40 time proportion per 10% increase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1EC6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Adjusted OR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F5F38C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0.883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CFF14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0.836 to 0.933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22651A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&lt;0.001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D7130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1,199</w:t>
            </w:r>
          </w:p>
        </w:tc>
      </w:tr>
      <w:tr w:rsidR="00234AC6" w14:paraId="35590497" w14:textId="77777777" w:rsidTr="003158B9">
        <w:trPr>
          <w:jc w:val="center"/>
        </w:trPr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435E1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Extended linear regression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7D80BC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MAP &lt;65 time proportion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060BF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BIS &lt;40 time proportion per 10% increase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C5EE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Adjusted beta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E24DE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-0.505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D3DD1B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-0.716 to -0.294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61925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&lt;0.001</w:t>
            </w:r>
          </w:p>
        </w:tc>
        <w:tc>
          <w:tcPr>
            <w:tcW w:w="18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8F6D1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1,199</w:t>
            </w:r>
          </w:p>
        </w:tc>
      </w:tr>
    </w:tbl>
    <w:p w14:paraId="3311EAA6" w14:textId="77777777" w:rsidR="00234AC6" w:rsidRDefault="00234AC6" w:rsidP="00234AC6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t>Extended models additionally adjusted for operation duration, estimated blood loss, intraoperative crystalloid and colloid volume, red blood cell transfusion, fresh frozen plasma transfusion, ephedrine dose, and phenylephrine dose. BIS &lt;40 exposure was modeled per 10% increase in valid monitoring time.</w:t>
      </w:r>
    </w:p>
    <w:p w14:paraId="5163BB52" w14:textId="77777777" w:rsidR="00234AC6" w:rsidRDefault="00234AC6" w:rsidP="00234AC6">
      <w:pPr>
        <w:widowControl/>
        <w:spacing w:before="160" w:after="8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b/>
          <w:kern w:val="0"/>
          <w:sz w:val="24"/>
          <w:lang w:eastAsia="en-US"/>
        </w:rPr>
        <w:t>Supplementary Table 5. Bootstrap internal validation of the main adjusted logistic model.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89"/>
        <w:gridCol w:w="1327"/>
        <w:gridCol w:w="1619"/>
        <w:gridCol w:w="1619"/>
        <w:gridCol w:w="1603"/>
        <w:gridCol w:w="1693"/>
      </w:tblGrid>
      <w:tr w:rsidR="00234AC6" w14:paraId="24B5C066" w14:textId="77777777" w:rsidTr="003158B9">
        <w:trPr>
          <w:jc w:val="center"/>
        </w:trPr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160A88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9F0A21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N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45E3F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Bootstrap samples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B04A96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Bootstrap median OR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2A4311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95% bootstrap interval</w:t>
            </w:r>
          </w:p>
        </w:tc>
        <w:tc>
          <w:tcPr>
            <w:tcW w:w="2400" w:type="dxa"/>
            <w:shd w:val="clear" w:color="auto" w:fill="D9EAD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5BED92" w14:textId="77777777" w:rsidR="00234AC6" w:rsidRDefault="00234AC6" w:rsidP="003158B9">
            <w:pPr>
              <w:widowControl/>
              <w:jc w:val="center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Proportion OR &lt;1</w:t>
            </w:r>
          </w:p>
        </w:tc>
      </w:tr>
      <w:tr w:rsidR="00234AC6" w14:paraId="3D723560" w14:textId="77777777" w:rsidTr="003158B9">
        <w:trPr>
          <w:jc w:val="center"/>
        </w:trPr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2D208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Main adjusted logistic model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6079F6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1,380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3B259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DF453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0.885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A2CE85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0.844 to 0.928</w:t>
            </w:r>
          </w:p>
        </w:tc>
        <w:tc>
          <w:tcPr>
            <w:tcW w:w="240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D9B143" w14:textId="77777777" w:rsidR="00234AC6" w:rsidRDefault="00234AC6" w:rsidP="003158B9">
            <w:pPr>
              <w:widowControl/>
              <w:jc w:val="left"/>
              <w:rPr>
                <w:rFonts w:eastAsia="Times New Roman"/>
                <w:sz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100%</w:t>
            </w:r>
          </w:p>
        </w:tc>
      </w:tr>
    </w:tbl>
    <w:p w14:paraId="61767C24" w14:textId="77777777" w:rsidR="00234AC6" w:rsidRDefault="00234AC6" w:rsidP="00234AC6">
      <w:pPr>
        <w:widowControl/>
        <w:spacing w:after="160" w:line="276" w:lineRule="auto"/>
        <w:jc w:val="left"/>
        <w:rPr>
          <w:rFonts w:ascii="Times New Roman" w:eastAsia="Times New Roman" w:hAnsi="Times New Roman" w:cs="Times New Roman"/>
          <w:kern w:val="0"/>
          <w:sz w:val="24"/>
          <w:lang w:eastAsia="en-US"/>
        </w:rPr>
      </w:pPr>
      <w:r>
        <w:rPr>
          <w:rFonts w:ascii="Times New Roman" w:eastAsia="Times New Roman" w:hAnsi="Times New Roman" w:cs="Times New Roman"/>
          <w:kern w:val="0"/>
          <w:sz w:val="24"/>
          <w:lang w:eastAsia="en-US"/>
        </w:rPr>
        <w:lastRenderedPageBreak/>
        <w:t>Bootstrap validation was performed using 1000 resamples with replacement. The table reports the bootstrap median odds ratio, percentile-based 95% bootstrap interval, and the proportion of bootstrap estimates with OR &lt;1.</w:t>
      </w:r>
    </w:p>
    <w:p w14:paraId="198549DF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14:paraId="296FACDB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</w:p>
    <w:p w14:paraId="3C4713EB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</w:p>
    <w:p w14:paraId="0DD3E75B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</w:p>
    <w:p w14:paraId="155F3E64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first author：Shenao Xi</w:t>
      </w:r>
    </w:p>
    <w:p w14:paraId="01E93BE1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Conceptualization，writing-original draft</w:t>
      </w:r>
    </w:p>
    <w:p w14:paraId="6BAAC708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Co-corresponding author：Xingyu Wang</w:t>
      </w:r>
    </w:p>
    <w:p w14:paraId="11A262C4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Study design and co-revising the manuscript</w:t>
      </w:r>
    </w:p>
    <w:p w14:paraId="1DB3B021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corresponding author：Huiyu Luo</w:t>
      </w:r>
    </w:p>
    <w:p w14:paraId="11789AF0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Finalizing the manuscript for submission</w:t>
      </w:r>
    </w:p>
    <w:p w14:paraId="5ADC9E76" w14:textId="77777777" w:rsidR="00234AC6" w:rsidRDefault="00234AC6" w:rsidP="00234AC6">
      <w:pPr>
        <w:rPr>
          <w:rFonts w:ascii="Times New Roman" w:hAnsi="Times New Roman" w:cs="Times New Roman"/>
          <w:sz w:val="24"/>
        </w:rPr>
      </w:pPr>
    </w:p>
    <w:p w14:paraId="5641E76E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C6"/>
    <w:rsid w:val="00195413"/>
    <w:rsid w:val="00234AC6"/>
    <w:rsid w:val="003A03A7"/>
    <w:rsid w:val="003D0186"/>
    <w:rsid w:val="007278E4"/>
    <w:rsid w:val="00816CD0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06123"/>
  <w15:chartTrackingRefBased/>
  <w15:docId w15:val="{3A3BE153-982F-4021-8F19-3CCBB8FE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AC6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AC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AC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AC6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AC6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AC6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AC6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AC6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AC6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AC6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AC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34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AC6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34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AC6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34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AC6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34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AC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A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uiPriority w:val="59"/>
    <w:qFormat/>
    <w:rsid w:val="00234AC6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939</Words>
  <Characters>5357</Characters>
  <Application>Microsoft Office Word</Application>
  <DocSecurity>0</DocSecurity>
  <Lines>44</Lines>
  <Paragraphs>12</Paragraphs>
  <ScaleCrop>false</ScaleCrop>
  <Company>Springer Nature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2026-07-30T17:11:00Z</dcterms:created>
  <dcterms:modified xsi:type="dcterms:W3CDTF">2026-07-30T17:12:00Z</dcterms:modified>
</cp:coreProperties>
</file>