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AA6CF">
      <w:pPr>
        <w:pStyle w:val="2"/>
        <w:framePr w:hSpace="180" w:wrap="around" w:vAnchor="text" w:hAnchor="page" w:x="2770" w:y="165"/>
        <w:snapToGrid w:val="0"/>
        <w:spacing w:after="0" w:line="240" w:lineRule="auto"/>
        <w:ind w:left="0" w:leftChars="0" w:right="0" w:rightChars="0" w:firstLine="0" w:firstLineChars="0"/>
        <w:jc w:val="center"/>
        <w:rPr>
          <w:rFonts w:hint="eastAsia" w:ascii="Times New Roman" w:hAnsi="Times New Roman" w:eastAsiaTheme="minorEastAsia"/>
          <w:b/>
          <w:i w:val="0"/>
          <w:sz w:val="16"/>
          <w:lang w:eastAsia="zh-CN"/>
        </w:rPr>
      </w:pPr>
      <w:r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Regression validation of socioeconomic polarization in physical activity</w:t>
      </w:r>
    </w:p>
    <w:tbl>
      <w:tblPr>
        <w:tblStyle w:val="4"/>
        <w:tblpPr w:leftFromText="180" w:rightFromText="180" w:vertAnchor="text" w:horzAnchor="page" w:tblpX="1944" w:tblpY="418"/>
        <w:tblOverlap w:val="never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1168"/>
        <w:gridCol w:w="1397"/>
        <w:gridCol w:w="1397"/>
        <w:gridCol w:w="1192"/>
      </w:tblGrid>
      <w:tr w14:paraId="1AFFF95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36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05A8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Model / Outcome comparison</w:t>
            </w:r>
          </w:p>
        </w:tc>
        <w:tc>
          <w:tcPr>
            <w:tcW w:w="116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C2DB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0-99% FPL</w:t>
            </w:r>
          </w:p>
        </w:tc>
        <w:tc>
          <w:tcPr>
            <w:tcW w:w="13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C14C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100-199% FPL</w:t>
            </w:r>
          </w:p>
        </w:tc>
        <w:tc>
          <w:tcPr>
            <w:tcW w:w="13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DCC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200-399% FPL</w:t>
            </w:r>
          </w:p>
        </w:tc>
        <w:tc>
          <w:tcPr>
            <w:tcW w:w="11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7BBF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400%+ FPL</w:t>
            </w:r>
          </w:p>
        </w:tc>
      </w:tr>
      <w:tr w14:paraId="02B7EB6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BC64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Extreme physical activity logistic model: 0 days or every day vs 1-6 days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0CC7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4A09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4A9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C93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</w:tr>
      <w:tr w14:paraId="147EF23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7B4D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OR (95% CI)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8C46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1.43 (1.23-1.66)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8FBC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1.11 (0.99-1.25)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4B4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1.04 (0.95-1.13)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900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Reference</w:t>
            </w:r>
          </w:p>
        </w:tc>
      </w:tr>
      <w:tr w14:paraId="455BF6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B5D0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 value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845C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7003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0.079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EEA2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0.398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70F7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—</w:t>
            </w:r>
          </w:p>
        </w:tc>
      </w:tr>
      <w:tr w14:paraId="25D57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AE50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Multinomial logistic model: 0 days vs 1-6 days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8BA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843A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A6BE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E2D4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</w:tr>
      <w:tr w14:paraId="46028F0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632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RRR (95% CI)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662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1.80 (1.45-2.24)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28C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1.43 (1.18-1.74)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C4E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1.29 (1.11-1.49)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9A9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Reference</w:t>
            </w:r>
          </w:p>
        </w:tc>
      </w:tr>
      <w:tr w14:paraId="2270B77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363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 value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09E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95B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C537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361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—</w:t>
            </w:r>
          </w:p>
        </w:tc>
      </w:tr>
      <w:tr w14:paraId="2EAA76C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A0BA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Multinomial logistic model: Every day vs 1-6 days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AE302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8FCA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C90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B22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</w:p>
        </w:tc>
      </w:tr>
      <w:tr w14:paraId="4264F77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F36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RRR (95% CI)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8E8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1.30 (1.09-1.55)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16F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0.99 (0.88-1.13)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206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0.95 (0.86-1.04)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DA07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Reference</w:t>
            </w:r>
          </w:p>
        </w:tc>
      </w:tr>
      <w:tr w14:paraId="6B496B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2D6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 value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6B8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0.004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585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0.933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2400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0.256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6EF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—</w:t>
            </w:r>
          </w:p>
        </w:tc>
      </w:tr>
    </w:tbl>
    <w:p w14:paraId="537B6F3C">
      <w:r>
        <w:rPr>
          <w:rFonts w:ascii="Times New Roman" w:hAnsi="Times New Roman" w:eastAsia="Times New Roman"/>
          <w:sz w:val="16"/>
        </w:rPr>
        <w:t>Notes. OR = odds ratio; RRR = relative risk ratio; CI = confidence interval; FPL = federal poverty level. All models used multiple imputation and accounted for the complex survey design. Models adjusted for age, sex, race/ethnicity, caregiver education, family structure, and current health insurance coverage.</w:t>
      </w:r>
    </w:p>
    <w:p w14:paraId="316B4DD8">
      <w:pPr>
        <w:tabs>
          <w:tab w:val="left" w:pos="731"/>
        </w:tabs>
        <w:bidi w:val="0"/>
        <w:jc w:val="center"/>
        <w:rPr>
          <w:lang w:val="en-US" w:eastAsia="zh-CN"/>
        </w:rPr>
      </w:pPr>
    </w:p>
    <w:p w14:paraId="483CB40A">
      <w:pPr>
        <w:pStyle w:val="2"/>
        <w:jc w:val="center"/>
        <w:rPr>
          <w:rFonts w:hint="eastAsia" w:eastAsia="宋体"/>
          <w:lang w:eastAsia="zh-CN"/>
        </w:rPr>
      </w:pPr>
      <w:r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Age-stratified associations between household poverty level and zero-day physical activity</w:t>
      </w:r>
    </w:p>
    <w:tbl>
      <w:tblPr>
        <w:tblStyle w:val="4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548"/>
        <w:gridCol w:w="848"/>
        <w:gridCol w:w="1761"/>
        <w:gridCol w:w="848"/>
        <w:gridCol w:w="1761"/>
        <w:gridCol w:w="849"/>
      </w:tblGrid>
      <w:tr w14:paraId="2A8F047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874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Subgroup</w:t>
            </w:r>
          </w:p>
        </w:tc>
        <w:tc>
          <w:tcPr>
            <w:tcW w:w="15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3C2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0-99% FPL OR</w:t>
            </w:r>
          </w:p>
          <w:p w14:paraId="657197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(95% CI)</w:t>
            </w:r>
          </w:p>
        </w:tc>
        <w:tc>
          <w:tcPr>
            <w:tcW w:w="8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E81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P value</w:t>
            </w:r>
          </w:p>
        </w:tc>
        <w:tc>
          <w:tcPr>
            <w:tcW w:w="17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791C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100-199% FPL OR</w:t>
            </w:r>
          </w:p>
          <w:p w14:paraId="5DAEA2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(95% CI)</w:t>
            </w:r>
          </w:p>
        </w:tc>
        <w:tc>
          <w:tcPr>
            <w:tcW w:w="84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31E2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P value</w:t>
            </w:r>
          </w:p>
        </w:tc>
        <w:tc>
          <w:tcPr>
            <w:tcW w:w="17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968A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200-399% FPL OR</w:t>
            </w:r>
          </w:p>
          <w:p w14:paraId="2894C82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(95% CI)</w:t>
            </w:r>
          </w:p>
        </w:tc>
        <w:tc>
          <w:tcPr>
            <w:tcW w:w="84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3EA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P value</w:t>
            </w:r>
          </w:p>
        </w:tc>
      </w:tr>
      <w:tr w14:paraId="3630BEC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BA1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5"/>
              </w:rPr>
              <w:t>Age group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08F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5AE6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115A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0480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DDE4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BE52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</w:p>
        </w:tc>
      </w:tr>
      <w:tr w14:paraId="34BF55E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6835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6-11 years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7E6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2.24 (1.49-3.37)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EBE9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&lt;0.001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D02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2.44 (1.73-3.45)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7633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&lt;0.001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1C7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1.51 (1.15-1.98)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3E1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0.003</w:t>
            </w:r>
          </w:p>
        </w:tc>
      </w:tr>
      <w:tr w14:paraId="4D89841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5D0D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12-17 years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8AE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1.54 (1.22-1.93)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7594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&lt;0.001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7C6A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1.13 (0.90-1.40)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B250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0.287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B7A7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1.25 (1.06-1.48)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B90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5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5"/>
              </w:rPr>
              <w:t>0.008</w:t>
            </w:r>
          </w:p>
        </w:tc>
      </w:tr>
    </w:tbl>
    <w:p w14:paraId="0B30777C">
      <w:pPr>
        <w:rPr>
          <w:rFonts w:hint="eastAsia" w:ascii="Times New Roman" w:hAnsi="Times New Roman" w:eastAsia="Times New Roman"/>
          <w:sz w:val="16"/>
        </w:rPr>
      </w:pPr>
      <w:r>
        <w:rPr>
          <w:rFonts w:ascii="Times New Roman" w:hAnsi="Times New Roman" w:eastAsia="Times New Roman"/>
          <w:sz w:val="16"/>
        </w:rPr>
        <w:t xml:space="preserve">Notes. </w:t>
      </w:r>
      <w:r>
        <w:rPr>
          <w:rFonts w:hint="eastAsia" w:ascii="Times New Roman" w:hAnsi="Times New Roman" w:eastAsia="Times New Roman"/>
          <w:sz w:val="16"/>
        </w:rPr>
        <w:t>Values are odds ratios (ORs) and 95% confidence intervals (CIs) from survey-weighted logistic regression models for zero-day 60-min physical activity. Models were estimated separately for children aged 6–11 years and adolescents aged 12–17 years. Household poverty level was defined relative to the federal poverty level (FPL), with ≥400% FPL as the reference group. Models adjusted for age, sex, race/ethnicity, caregiver education, family structure, and current health insurance coverage. Analyses incorporated NSCH child-level sampling weights, strata, and primary sampling units, and estimates were combined across the NSCH multiply imputed poverty files using Rubin’s rules. P values are two-sided. *P &lt; 0.05, **P &lt; 0.01, ***P &lt; 0.001.</w:t>
      </w:r>
    </w:p>
    <w:p w14:paraId="66997E29">
      <w:pPr>
        <w:rPr>
          <w:rFonts w:hint="eastAsia" w:ascii="Times New Roman" w:hAnsi="Times New Roman" w:eastAsia="Times New Roman"/>
          <w:sz w:val="16"/>
          <w:lang w:val="en-US" w:eastAsia="zh-CN"/>
        </w:rPr>
      </w:pPr>
    </w:p>
    <w:p w14:paraId="3BBEF341">
      <w:pPr>
        <w:pStyle w:val="2"/>
        <w:jc w:val="center"/>
        <w:rPr>
          <w:rFonts w:hint="eastAsia" w:eastAsia="宋体"/>
          <w:lang w:eastAsia="zh-CN"/>
        </w:rPr>
      </w:pPr>
      <w:r>
        <w:t xml:space="preserve">Table S 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Sequential models for poverty-related zero-day physical activity</w:t>
      </w:r>
    </w:p>
    <w:tbl>
      <w:tblPr>
        <w:tblStyle w:val="4"/>
        <w:tblW w:w="852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1269"/>
        <w:gridCol w:w="792"/>
        <w:gridCol w:w="1269"/>
        <w:gridCol w:w="792"/>
        <w:gridCol w:w="1269"/>
        <w:gridCol w:w="792"/>
      </w:tblGrid>
      <w:tr w14:paraId="6C7BC5A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9D30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Variables</w:t>
            </w:r>
          </w:p>
        </w:tc>
        <w:tc>
          <w:tcPr>
            <w:tcW w:w="126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3795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 xml:space="preserve">Model 1 OR </w:t>
            </w:r>
          </w:p>
          <w:p w14:paraId="4567C3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(95% CI)</w:t>
            </w:r>
          </w:p>
        </w:tc>
        <w:tc>
          <w:tcPr>
            <w:tcW w:w="7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E2D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P value</w:t>
            </w:r>
          </w:p>
        </w:tc>
        <w:tc>
          <w:tcPr>
            <w:tcW w:w="126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0B68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 xml:space="preserve">Model 2 OR </w:t>
            </w:r>
          </w:p>
          <w:p w14:paraId="22AF3E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(95% CI)</w:t>
            </w:r>
          </w:p>
        </w:tc>
        <w:tc>
          <w:tcPr>
            <w:tcW w:w="7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08B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P value</w:t>
            </w:r>
          </w:p>
        </w:tc>
        <w:tc>
          <w:tcPr>
            <w:tcW w:w="126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F74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/>
                <w:b/>
                <w:i w:val="0"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 xml:space="preserve">Model 3 OR </w:t>
            </w:r>
          </w:p>
          <w:p w14:paraId="75DC07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(95% CI)</w:t>
            </w:r>
          </w:p>
        </w:tc>
        <w:tc>
          <w:tcPr>
            <w:tcW w:w="7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D9EAF7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DBCF6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b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P value</w:t>
            </w:r>
          </w:p>
        </w:tc>
      </w:tr>
      <w:tr w14:paraId="229AC5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08F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Household poverty level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714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D7B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B0D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C287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8E2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04E6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</w:tr>
      <w:tr w14:paraId="6ECC4A3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DE72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400%+ FPL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B9F9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C30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9A10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B838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A693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Reference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400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</w:tr>
      <w:tr w14:paraId="17C830C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2B3E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0-99% FPL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5B09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1.70 (1.38-2.10)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FF4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041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1.64 (1.32-2.04)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8345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1D615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1.30 (1.04-1.63)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D07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0.023</w:t>
            </w:r>
          </w:p>
        </w:tc>
      </w:tr>
      <w:tr w14:paraId="216196C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BDA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100-199% FPL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B523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1.44 (1.19-1.74)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71A2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47D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1.36 (1.11-1.65)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0B4F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7426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1.08 (0.88-1.32)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3F7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0.452</w:t>
            </w:r>
          </w:p>
        </w:tc>
      </w:tr>
      <w:tr w14:paraId="635DE5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7D10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200-399% FPL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BEB8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1.30 (1.13-1.50)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24A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1269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1.26 (1.09-1.46)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E13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97E7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1.05 (0.91-1.22)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5CC3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0.511</w:t>
            </w:r>
          </w:p>
        </w:tc>
      </w:tr>
      <w:tr w14:paraId="57455F0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D8F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Community environment factors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E8A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17A7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A54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769A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4C9E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66CF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</w:pPr>
          </w:p>
        </w:tc>
      </w:tr>
      <w:tr w14:paraId="1CD63B1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091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Neighborhood unsafe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4EC0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5AD4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4C60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1.53 (1.19-1.96)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4EB0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1BE2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1.37 (1.06-1.78)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65D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0.017</w:t>
            </w:r>
          </w:p>
        </w:tc>
      </w:tr>
      <w:tr w14:paraId="0FF3EB1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FC09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School unsafe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F0F1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ADE1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1B7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1.50 (1.19-1.88)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717F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3CC0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1.26 (0.98-1.61)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D805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0.070</w:t>
            </w:r>
          </w:p>
        </w:tc>
      </w:tr>
      <w:tr w14:paraId="575D1A2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BC3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No park or playground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7482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5C97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2874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1.00 (0.87-1.15)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A368D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0.983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4A52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1.01 (0.88-1.17)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5DD4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0.877</w:t>
            </w:r>
          </w:p>
        </w:tc>
      </w:tr>
      <w:tr w14:paraId="4EE1D6D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05DE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No recreation center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446D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C8A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B195F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1.36 (1.19-1.55)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018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3C7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1.27 (1.11-1.45)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46A9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0.001</w:t>
            </w:r>
          </w:p>
        </w:tc>
      </w:tr>
      <w:tr w14:paraId="3CE5C4E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841E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Behavioral opportunity factors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03A1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04F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8539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7468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2B8A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E869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</w:p>
        </w:tc>
      </w:tr>
      <w:tr w14:paraId="0BF58F2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D15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No sports team or sports lessons in past 12 months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1C1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C0AD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E8CB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23C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BE43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5.12 (4.48-5.84)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7A6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</w:tr>
      <w:tr w14:paraId="7403A7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34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FA0C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High screen time, &gt;=3 hours/day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CD53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DEB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34EC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BBB0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—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19EA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1.98 (1.72-2.27)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73A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Times New Roman"/>
                <w:sz w:val="14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4"/>
              </w:rPr>
              <w:t>&lt;0.001</w:t>
            </w:r>
          </w:p>
        </w:tc>
      </w:tr>
    </w:tbl>
    <w:p w14:paraId="7023E3B4">
      <w:r>
        <w:rPr>
          <w:rFonts w:ascii="Times New Roman" w:hAnsi="Times New Roman" w:eastAsia="Times New Roman"/>
          <w:sz w:val="16"/>
        </w:rPr>
        <w:t>Notes. OR = odds ratio; CI = confidence interval; FPL = federal poverty level. The outcome was reporting 0 days of at least 60 minutes of physical activity during the past week. All models used multiple imputation and accounted for the complex survey design. Model 1 adjusted for age, sex, race/ethnicity, caregiver education, family structure, and current health insurance coverage. Model 2 additionally adjusted for neighborhood safety, school safety, park/playground availability, and recreation center availability. Model 3 additionally adjusted for sports team/sports lessons participation and screen time.</w:t>
      </w:r>
    </w:p>
    <w:p w14:paraId="26BAF775">
      <w:pPr>
        <w:tabs>
          <w:tab w:val="left" w:pos="731"/>
        </w:tabs>
        <w:bidi w:val="0"/>
        <w:jc w:val="center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13140"/>
    <w:rsid w:val="34784F8C"/>
    <w:rsid w:val="4A8920D8"/>
    <w:rsid w:val="64B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4c663b5-abd0-41cc-8c5e-c4a72a88c5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2026-05-30T05:47:00Z</dcterms:created>
  <dc:creator>黄黄</dc:creator>
  <cp:lastModifiedBy>黄黄</cp:lastModifiedBy>
  <dcterms:modified xsi:type="dcterms:W3CDTF">2026-05-30T06:23:30Z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9FEED1151AD94BAAA1D0B2CB7819BB4A_11</vt:lpwstr>
  </property>
  <property fmtid="{D5CDD505-2E9C-101B-9397-08002B2CF9AE}" pid="4" name="KSOTemplateDocerSaveRecord">
    <vt:lpwstr>eyJoZGlkIjoiOTJmMWZmMzBlZTcxMTliNDhjZmVmYmI2ZmExMWI2MzIiLCJ1c2VySWQiOiI2NjYwNjU4MzgifQ==</vt:lpwstr>
  </property>
</Properties>
</file>