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90C49" w14:textId="77777777" w:rsidR="00CF6EC9" w:rsidRPr="00CF6EC9" w:rsidRDefault="00CF6EC9" w:rsidP="00CF6EC9">
      <w:pPr>
        <w:pStyle w:val="Heading1"/>
        <w:rPr>
          <w:rFonts w:ascii="Times New Roman" w:hAnsi="Times New Roman" w:cs="Times New Roman"/>
        </w:rPr>
      </w:pPr>
      <w:bookmarkStart w:id="0" w:name="representative-code-tree"/>
      <w:r w:rsidRPr="00CF6EC9">
        <w:rPr>
          <w:rFonts w:ascii="Times New Roman" w:hAnsi="Times New Roman" w:cs="Times New Roman"/>
        </w:rPr>
        <w:t>Representative Code Tree</w:t>
      </w:r>
    </w:p>
    <w:p w14:paraId="529925D5" w14:textId="77777777" w:rsidR="00CF6EC9" w:rsidRPr="00CF6EC9" w:rsidRDefault="00CF6EC9" w:rsidP="00CF6EC9">
      <w:pPr>
        <w:pStyle w:val="Heading2"/>
        <w:spacing w:before="240" w:after="240"/>
        <w:rPr>
          <w:rFonts w:ascii="Times New Roman" w:hAnsi="Times New Roman" w:cs="Times New Roman"/>
        </w:rPr>
      </w:pPr>
      <w:bookmarkStart w:id="1" w:name="rheumatoid-arthritis"/>
      <w:r w:rsidRPr="00CF6EC9">
        <w:rPr>
          <w:rFonts w:ascii="Times New Roman" w:hAnsi="Times New Roman" w:cs="Times New Roman"/>
        </w:rPr>
        <w:t>3.1 Rheumatoid Arthritis</w:t>
      </w:r>
    </w:p>
    <w:p w14:paraId="584D49FF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2" w:name="Xab93762a9961bc15e4780370ae0f3ee463a7121"/>
      <w:r w:rsidRPr="00CF6EC9">
        <w:rPr>
          <w:rFonts w:ascii="Times New Roman" w:hAnsi="Times New Roman" w:cs="Times New Roman"/>
        </w:rPr>
        <w:t xml:space="preserve">3.1.1 </w:t>
      </w:r>
      <w:proofErr w:type="spellStart"/>
      <w:r w:rsidRPr="00CF6EC9">
        <w:rPr>
          <w:rFonts w:ascii="Times New Roman" w:hAnsi="Times New Roman" w:cs="Times New Roman"/>
        </w:rPr>
        <w:t>Āmavāta</w:t>
      </w:r>
      <w:proofErr w:type="spellEnd"/>
      <w:r w:rsidRPr="00CF6EC9">
        <w:rPr>
          <w:rFonts w:ascii="Times New Roman" w:hAnsi="Times New Roman" w:cs="Times New Roman"/>
        </w:rPr>
        <w:t xml:space="preserve"> and </w:t>
      </w:r>
      <w:proofErr w:type="spellStart"/>
      <w:r w:rsidRPr="00CF6EC9">
        <w:rPr>
          <w:rFonts w:ascii="Times New Roman" w:hAnsi="Times New Roman" w:cs="Times New Roman"/>
        </w:rPr>
        <w:t>Vātarakta</w:t>
      </w:r>
      <w:proofErr w:type="spellEnd"/>
      <w:r w:rsidRPr="00CF6EC9">
        <w:rPr>
          <w:rFonts w:ascii="Times New Roman" w:hAnsi="Times New Roman" w:cs="Times New Roman"/>
        </w:rPr>
        <w:t xml:space="preserve"> as the central diagnostic divergence</w:t>
      </w:r>
    </w:p>
    <w:p w14:paraId="281CB1E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Ayurveda Diagnosis - </w:t>
      </w:r>
      <w:proofErr w:type="spellStart"/>
      <w:r w:rsidRPr="00CF6EC9">
        <w:rPr>
          <w:rFonts w:ascii="Times New Roman" w:hAnsi="Times New Roman" w:cs="Times New Roman"/>
        </w:rPr>
        <w:t>Āmavāta</w:t>
      </w:r>
      <w:proofErr w:type="spellEnd"/>
    </w:p>
    <w:p w14:paraId="6FE0A9F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Ayurveda Diagnosis - </w:t>
      </w:r>
      <w:proofErr w:type="spellStart"/>
      <w:r w:rsidRPr="00CF6EC9">
        <w:rPr>
          <w:rFonts w:ascii="Times New Roman" w:hAnsi="Times New Roman" w:cs="Times New Roman"/>
        </w:rPr>
        <w:t>Vātarakta</w:t>
      </w:r>
      <w:proofErr w:type="spellEnd"/>
    </w:p>
    <w:p w14:paraId="18E5C03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Differential diagnosis between </w:t>
      </w:r>
      <w:proofErr w:type="spellStart"/>
      <w:r w:rsidRPr="00CF6EC9">
        <w:rPr>
          <w:rFonts w:ascii="Times New Roman" w:hAnsi="Times New Roman" w:cs="Times New Roman"/>
        </w:rPr>
        <w:t>Āmavāta</w:t>
      </w:r>
      <w:proofErr w:type="spellEnd"/>
      <w:r w:rsidRPr="00CF6EC9">
        <w:rPr>
          <w:rFonts w:ascii="Times New Roman" w:hAnsi="Times New Roman" w:cs="Times New Roman"/>
        </w:rPr>
        <w:t xml:space="preserve"> and </w:t>
      </w:r>
      <w:proofErr w:type="spellStart"/>
      <w:r w:rsidRPr="00CF6EC9">
        <w:rPr>
          <w:rFonts w:ascii="Times New Roman" w:hAnsi="Times New Roman" w:cs="Times New Roman"/>
        </w:rPr>
        <w:t>Vātarakta</w:t>
      </w:r>
      <w:proofErr w:type="spellEnd"/>
    </w:p>
    <w:p w14:paraId="410C33D5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Diagnostic reasoning based on menopausal onset</w:t>
      </w:r>
    </w:p>
    <w:p w14:paraId="0C2D4627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Gambhīra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avasthā</w:t>
      </w:r>
      <w:proofErr w:type="spellEnd"/>
      <w:r w:rsidRPr="00CF6EC9">
        <w:rPr>
          <w:rFonts w:ascii="Times New Roman" w:hAnsi="Times New Roman" w:cs="Times New Roman"/>
        </w:rPr>
        <w:t xml:space="preserve"> interpretation</w:t>
      </w:r>
    </w:p>
    <w:p w14:paraId="3FE8FC7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Divergence in Ayurvedic nosology</w:t>
      </w:r>
    </w:p>
    <w:p w14:paraId="682B3BB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Digestion-</w:t>
      </w:r>
      <w:proofErr w:type="spellStart"/>
      <w:r w:rsidRPr="00CF6EC9">
        <w:rPr>
          <w:rFonts w:ascii="Times New Roman" w:hAnsi="Times New Roman" w:cs="Times New Roman"/>
        </w:rPr>
        <w:t>centred</w:t>
      </w:r>
      <w:proofErr w:type="spellEnd"/>
      <w:r w:rsidRPr="00CF6EC9">
        <w:rPr>
          <w:rFonts w:ascii="Times New Roman" w:hAnsi="Times New Roman" w:cs="Times New Roman"/>
        </w:rPr>
        <w:t xml:space="preserve"> versus Rakta-</w:t>
      </w:r>
      <w:proofErr w:type="spellStart"/>
      <w:r w:rsidRPr="00CF6EC9">
        <w:rPr>
          <w:rFonts w:ascii="Times New Roman" w:hAnsi="Times New Roman" w:cs="Times New Roman"/>
        </w:rPr>
        <w:t>centred</w:t>
      </w:r>
      <w:proofErr w:type="spellEnd"/>
      <w:r w:rsidRPr="00CF6EC9">
        <w:rPr>
          <w:rFonts w:ascii="Times New Roman" w:hAnsi="Times New Roman" w:cs="Times New Roman"/>
        </w:rPr>
        <w:t xml:space="preserve"> pathology</w:t>
      </w:r>
    </w:p>
    <w:p w14:paraId="5D9E1845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3" w:name="samprāpti-varied-explanations-of-āma"/>
      <w:bookmarkEnd w:id="2"/>
      <w:r w:rsidRPr="00CF6EC9">
        <w:rPr>
          <w:rFonts w:ascii="Times New Roman" w:hAnsi="Times New Roman" w:cs="Times New Roman"/>
        </w:rPr>
        <w:t xml:space="preserve">3.1.2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: varied explanations of </w:t>
      </w: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</w:p>
    <w:p w14:paraId="1515EB88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  <w:r w:rsidRPr="00CF6EC9">
        <w:rPr>
          <w:rFonts w:ascii="Times New Roman" w:hAnsi="Times New Roman" w:cs="Times New Roman"/>
        </w:rPr>
        <w:t xml:space="preserve"> as impaired acid-alkaline balance</w:t>
      </w:r>
    </w:p>
    <w:p w14:paraId="04F9796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  <w:r w:rsidRPr="00CF6EC9">
        <w:rPr>
          <w:rFonts w:ascii="Times New Roman" w:hAnsi="Times New Roman" w:cs="Times New Roman"/>
        </w:rPr>
        <w:t xml:space="preserve"> linked to calcium deficiency</w:t>
      </w:r>
    </w:p>
    <w:p w14:paraId="71B42D3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  <w:r w:rsidRPr="00CF6EC9">
        <w:rPr>
          <w:rFonts w:ascii="Times New Roman" w:hAnsi="Times New Roman" w:cs="Times New Roman"/>
        </w:rPr>
        <w:t xml:space="preserve"> linked to citrullination</w:t>
      </w:r>
    </w:p>
    <w:p w14:paraId="2836FF3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Psychological contribution to </w:t>
      </w: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</w:p>
    <w:p w14:paraId="60EA3E18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Systemic versus gastrointestinal </w:t>
      </w: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</w:p>
    <w:p w14:paraId="155CF96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Joint-</w:t>
      </w:r>
      <w:proofErr w:type="spellStart"/>
      <w:r w:rsidRPr="00CF6EC9">
        <w:rPr>
          <w:rFonts w:ascii="Times New Roman" w:hAnsi="Times New Roman" w:cs="Times New Roman"/>
        </w:rPr>
        <w:t>localised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</w:p>
    <w:p w14:paraId="2AD7F63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Pitta </w:t>
      </w:r>
      <w:proofErr w:type="spellStart"/>
      <w:r w:rsidRPr="00CF6EC9">
        <w:rPr>
          <w:rFonts w:ascii="Times New Roman" w:hAnsi="Times New Roman" w:cs="Times New Roman"/>
        </w:rPr>
        <w:t>lakṣaṇa</w:t>
      </w:r>
      <w:proofErr w:type="spellEnd"/>
      <w:r w:rsidRPr="00CF6EC9">
        <w:rPr>
          <w:rFonts w:ascii="Times New Roman" w:hAnsi="Times New Roman" w:cs="Times New Roman"/>
        </w:rPr>
        <w:t xml:space="preserve"> interpreted as </w:t>
      </w: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</w:p>
    <w:p w14:paraId="3A0CD4F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Apāna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Vāta</w:t>
      </w:r>
      <w:proofErr w:type="spellEnd"/>
      <w:r w:rsidRPr="00CF6EC9">
        <w:rPr>
          <w:rFonts w:ascii="Times New Roman" w:hAnsi="Times New Roman" w:cs="Times New Roman"/>
        </w:rPr>
        <w:t xml:space="preserve"> contributing to </w:t>
      </w: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  <w:r w:rsidRPr="00CF6EC9">
        <w:rPr>
          <w:rFonts w:ascii="Times New Roman" w:hAnsi="Times New Roman" w:cs="Times New Roman"/>
        </w:rPr>
        <w:t xml:space="preserve"> formation</w:t>
      </w:r>
    </w:p>
    <w:p w14:paraId="195240A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Critique of literal </w:t>
      </w:r>
      <w:proofErr w:type="spellStart"/>
      <w:r w:rsidRPr="00CF6EC9">
        <w:rPr>
          <w:rFonts w:ascii="Times New Roman" w:hAnsi="Times New Roman" w:cs="Times New Roman"/>
        </w:rPr>
        <w:t>Āma</w:t>
      </w:r>
      <w:proofErr w:type="spellEnd"/>
      <w:r w:rsidRPr="00CF6EC9">
        <w:rPr>
          <w:rFonts w:ascii="Times New Roman" w:hAnsi="Times New Roman" w:cs="Times New Roman"/>
        </w:rPr>
        <w:t xml:space="preserve"> interpretation</w:t>
      </w:r>
    </w:p>
    <w:p w14:paraId="0386058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Integration of biomedical physiology into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</w:p>
    <w:p w14:paraId="478DF55D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4" w:name="varying-interpretations-of-agni"/>
      <w:bookmarkEnd w:id="3"/>
      <w:r w:rsidRPr="00CF6EC9">
        <w:rPr>
          <w:rFonts w:ascii="Times New Roman" w:hAnsi="Times New Roman" w:cs="Times New Roman"/>
        </w:rPr>
        <w:t>3.1.3 Varying interpretations of Agni</w:t>
      </w:r>
    </w:p>
    <w:p w14:paraId="2C0ABFE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Jaṭharāgni</w:t>
      </w:r>
      <w:proofErr w:type="spellEnd"/>
      <w:r w:rsidRPr="00CF6EC9">
        <w:rPr>
          <w:rFonts w:ascii="Times New Roman" w:hAnsi="Times New Roman" w:cs="Times New Roman"/>
        </w:rPr>
        <w:t xml:space="preserve"> as central regulator</w:t>
      </w:r>
    </w:p>
    <w:p w14:paraId="3371204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CF6EC9">
        <w:rPr>
          <w:rFonts w:ascii="Times New Roman" w:hAnsi="Times New Roman" w:cs="Times New Roman"/>
        </w:rPr>
        <w:t>Microbiome</w:t>
      </w:r>
      <w:proofErr w:type="gramEnd"/>
      <w:r w:rsidRPr="00CF6EC9">
        <w:rPr>
          <w:rFonts w:ascii="Times New Roman" w:hAnsi="Times New Roman" w:cs="Times New Roman"/>
        </w:rPr>
        <w:t xml:space="preserve"> as parallel to Agni</w:t>
      </w:r>
    </w:p>
    <w:p w14:paraId="15F09E2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Dhātvagni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māndya</w:t>
      </w:r>
      <w:proofErr w:type="spellEnd"/>
    </w:p>
    <w:p w14:paraId="4AEF63B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Tissue-level indigestion</w:t>
      </w:r>
    </w:p>
    <w:p w14:paraId="5CD1CD8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Agni reinterpretation through biomedical analogies</w:t>
      </w:r>
    </w:p>
    <w:p w14:paraId="77C7AB81" w14:textId="77777777" w:rsidR="00CF6EC9" w:rsidRPr="00CF6EC9" w:rsidRDefault="00CF6EC9" w:rsidP="00CF6EC9">
      <w:pPr>
        <w:rPr>
          <w:rFonts w:ascii="Times New Roman" w:hAnsi="Times New Roman" w:cs="Times New Roman"/>
        </w:rPr>
      </w:pPr>
    </w:p>
    <w:p w14:paraId="420B7BC9" w14:textId="77777777" w:rsidR="00CF6EC9" w:rsidRPr="00CF6EC9" w:rsidRDefault="00CF6EC9" w:rsidP="00CF6EC9">
      <w:pPr>
        <w:pStyle w:val="Heading2"/>
        <w:spacing w:before="240" w:after="240"/>
        <w:rPr>
          <w:rFonts w:ascii="Times New Roman" w:hAnsi="Times New Roman" w:cs="Times New Roman"/>
        </w:rPr>
      </w:pPr>
      <w:bookmarkStart w:id="5" w:name="diabetes-mellitus"/>
      <w:bookmarkEnd w:id="1"/>
      <w:bookmarkEnd w:id="4"/>
      <w:r w:rsidRPr="00CF6EC9">
        <w:rPr>
          <w:rFonts w:ascii="Times New Roman" w:hAnsi="Times New Roman" w:cs="Times New Roman"/>
        </w:rPr>
        <w:t>3.2 Diabetes Mellitus</w:t>
      </w:r>
    </w:p>
    <w:p w14:paraId="4D9894AD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6" w:name="X9cab2f7fc2c874413d62258a49e0f767d23610b"/>
      <w:r w:rsidRPr="00CF6EC9">
        <w:rPr>
          <w:rFonts w:ascii="Times New Roman" w:hAnsi="Times New Roman" w:cs="Times New Roman"/>
        </w:rPr>
        <w:t xml:space="preserve">3.2.1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 as implicit and experiential reasoning</w:t>
      </w:r>
    </w:p>
    <w:p w14:paraId="718C95B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 as subconscious reasoning</w:t>
      </w:r>
    </w:p>
    <w:p w14:paraId="3957E09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lastRenderedPageBreak/>
        <w:t>Experience-based intuitive diagnosis</w:t>
      </w:r>
    </w:p>
    <w:p w14:paraId="7B502F0F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Time constraints in OPD practice</w:t>
      </w:r>
    </w:p>
    <w:p w14:paraId="4E2A5EB7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Symptom-based </w:t>
      </w:r>
      <w:proofErr w:type="spellStart"/>
      <w:r w:rsidRPr="00CF6EC9">
        <w:rPr>
          <w:rFonts w:ascii="Times New Roman" w:hAnsi="Times New Roman" w:cs="Times New Roman"/>
        </w:rPr>
        <w:t>doṣa</w:t>
      </w:r>
      <w:proofErr w:type="spellEnd"/>
      <w:r w:rsidRPr="00CF6EC9">
        <w:rPr>
          <w:rFonts w:ascii="Times New Roman" w:hAnsi="Times New Roman" w:cs="Times New Roman"/>
        </w:rPr>
        <w:t xml:space="preserve"> assessment</w:t>
      </w:r>
    </w:p>
    <w:p w14:paraId="4A806D85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Tacit clinical reasoning</w:t>
      </w:r>
    </w:p>
    <w:p w14:paraId="3BF65564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7" w:name="Xaaa71e3733800ac72a0b6b3600b6e4b0ec12541"/>
      <w:bookmarkEnd w:id="6"/>
      <w:r w:rsidRPr="00CF6EC9">
        <w:rPr>
          <w:rFonts w:ascii="Times New Roman" w:hAnsi="Times New Roman" w:cs="Times New Roman"/>
        </w:rPr>
        <w:t>3.2.2 Negotiating classical logic and biomedical information</w:t>
      </w:r>
    </w:p>
    <w:p w14:paraId="7436C181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 as central Ayurvedic logic</w:t>
      </w:r>
    </w:p>
    <w:p w14:paraId="73AA6C71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 as physician-constructed narrative</w:t>
      </w:r>
    </w:p>
    <w:p w14:paraId="6C0F318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Resistance to insulin-deficiency framing</w:t>
      </w:r>
    </w:p>
    <w:p w14:paraId="1DECA38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Rejection of laboratory investigations in diagnosis</w:t>
      </w:r>
    </w:p>
    <w:p w14:paraId="1A491EAC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HbA1c as documentation tool</w:t>
      </w:r>
    </w:p>
    <w:p w14:paraId="022A76A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Biomedical tests for patient confidence</w:t>
      </w:r>
    </w:p>
    <w:p w14:paraId="32172AD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Distinction between diagnosis and outcome measurement</w:t>
      </w:r>
    </w:p>
    <w:p w14:paraId="3DD3D7E5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8" w:name="X819422c98667dfe7e33a9de2bc58da5ea9bf5be"/>
      <w:bookmarkEnd w:id="7"/>
      <w:r w:rsidRPr="00CF6EC9">
        <w:rPr>
          <w:rFonts w:ascii="Times New Roman" w:hAnsi="Times New Roman" w:cs="Times New Roman"/>
        </w:rPr>
        <w:t>3.2.3 Pragmatic adaptation and selective biomedical integration</w:t>
      </w:r>
    </w:p>
    <w:p w14:paraId="030E4FD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Vāta</w:t>
      </w:r>
      <w:proofErr w:type="spellEnd"/>
      <w:r w:rsidRPr="00CF6EC9">
        <w:rPr>
          <w:rFonts w:ascii="Times New Roman" w:hAnsi="Times New Roman" w:cs="Times New Roman"/>
        </w:rPr>
        <w:t xml:space="preserve"> involvement in diabetic neuropathy</w:t>
      </w:r>
    </w:p>
    <w:p w14:paraId="571A01A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Srotas</w:t>
      </w:r>
      <w:proofErr w:type="spellEnd"/>
      <w:r w:rsidRPr="00CF6EC9">
        <w:rPr>
          <w:rFonts w:ascii="Times New Roman" w:hAnsi="Times New Roman" w:cs="Times New Roman"/>
        </w:rPr>
        <w:t xml:space="preserve"> involvement in nervous pathology</w:t>
      </w:r>
    </w:p>
    <w:p w14:paraId="1BBDA0D6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Microangiopathy interpreted through Ayurveda</w:t>
      </w:r>
    </w:p>
    <w:p w14:paraId="54CFFB5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Demyelination and degeneration as treatment guides</w:t>
      </w:r>
    </w:p>
    <w:p w14:paraId="49E960D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Biomedical pathology guiding Ayurvedic therapeutics</w:t>
      </w:r>
    </w:p>
    <w:p w14:paraId="1935E397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Clinical pragmatism in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 construction</w:t>
      </w:r>
    </w:p>
    <w:p w14:paraId="4368E18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Hybrid biomedical-Ayurvedic reasoning</w:t>
      </w:r>
    </w:p>
    <w:p w14:paraId="29A02746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9" w:name="X0c111bbcf9ac23cc9114a81a3f716ada9e67276"/>
      <w:bookmarkEnd w:id="8"/>
      <w:r w:rsidRPr="00CF6EC9">
        <w:rPr>
          <w:rFonts w:ascii="Times New Roman" w:hAnsi="Times New Roman" w:cs="Times New Roman"/>
        </w:rPr>
        <w:t>3.2.4 Textual interpretation and historical contextualization</w:t>
      </w:r>
    </w:p>
    <w:p w14:paraId="000F6341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Symptom-based interpretation of </w:t>
      </w:r>
      <w:proofErr w:type="spellStart"/>
      <w:r w:rsidRPr="00CF6EC9">
        <w:rPr>
          <w:rFonts w:ascii="Times New Roman" w:hAnsi="Times New Roman" w:cs="Times New Roman"/>
        </w:rPr>
        <w:t>Prameha</w:t>
      </w:r>
      <w:proofErr w:type="spellEnd"/>
    </w:p>
    <w:p w14:paraId="695F5847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Historical contextualization of Vasti</w:t>
      </w:r>
    </w:p>
    <w:p w14:paraId="09CA875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Classical anatomical limitations</w:t>
      </w:r>
    </w:p>
    <w:p w14:paraId="39B608A4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Expectation of future biomedical validation</w:t>
      </w:r>
    </w:p>
    <w:p w14:paraId="177649B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Interpretive reading of Ayurvedic texts</w:t>
      </w:r>
    </w:p>
    <w:p w14:paraId="2FF74FB8" w14:textId="77777777" w:rsidR="00CF6EC9" w:rsidRPr="00CF6EC9" w:rsidRDefault="00CF6EC9" w:rsidP="00CF6EC9">
      <w:pPr>
        <w:rPr>
          <w:rFonts w:ascii="Times New Roman" w:hAnsi="Times New Roman" w:cs="Times New Roman"/>
        </w:rPr>
      </w:pPr>
    </w:p>
    <w:p w14:paraId="3DBA15F1" w14:textId="77777777" w:rsidR="00CF6EC9" w:rsidRPr="00CF6EC9" w:rsidRDefault="00CF6EC9" w:rsidP="00CF6EC9">
      <w:pPr>
        <w:pStyle w:val="Heading2"/>
        <w:spacing w:before="240" w:after="240"/>
        <w:rPr>
          <w:rFonts w:ascii="Times New Roman" w:hAnsi="Times New Roman" w:cs="Times New Roman"/>
        </w:rPr>
      </w:pPr>
      <w:bookmarkStart w:id="10" w:name="crohns-disease"/>
      <w:bookmarkEnd w:id="5"/>
      <w:bookmarkEnd w:id="9"/>
      <w:r w:rsidRPr="00CF6EC9">
        <w:rPr>
          <w:rFonts w:ascii="Times New Roman" w:hAnsi="Times New Roman" w:cs="Times New Roman"/>
        </w:rPr>
        <w:t>3.3 Crohn’s Disease</w:t>
      </w:r>
    </w:p>
    <w:p w14:paraId="26E89F0F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11" w:name="X9787ce7ac15021196ed6cbe8e6f3d89a03bcf69"/>
      <w:r w:rsidRPr="00CF6EC9">
        <w:rPr>
          <w:rFonts w:ascii="Times New Roman" w:hAnsi="Times New Roman" w:cs="Times New Roman"/>
        </w:rPr>
        <w:t>3.3.1 Divergent alignment with biomedical categories</w:t>
      </w:r>
    </w:p>
    <w:p w14:paraId="452ADA7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Diagnostic uncertainty in modern diagnosis</w:t>
      </w:r>
    </w:p>
    <w:p w14:paraId="180CD7A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Irritable bowel syndrome interpretation</w:t>
      </w:r>
    </w:p>
    <w:p w14:paraId="3FBA379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Ulcerative colitis interpretation</w:t>
      </w:r>
    </w:p>
    <w:p w14:paraId="65F3D42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Crohn’s disease versus infective colitis</w:t>
      </w:r>
    </w:p>
    <w:p w14:paraId="561FBC41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Prognosis-oriented diagnostic reasoning</w:t>
      </w:r>
    </w:p>
    <w:p w14:paraId="1A85F7C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lastRenderedPageBreak/>
        <w:t>Therapeutic independence from biomedical labels</w:t>
      </w:r>
    </w:p>
    <w:p w14:paraId="207EA7C4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Distinction between autoimmune and infective pathology</w:t>
      </w:r>
    </w:p>
    <w:p w14:paraId="35F6DF53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12" w:name="grahaṇī-as-a-unifying-ayurvedic-category"/>
      <w:bookmarkEnd w:id="11"/>
      <w:r w:rsidRPr="00CF6EC9">
        <w:rPr>
          <w:rFonts w:ascii="Times New Roman" w:hAnsi="Times New Roman" w:cs="Times New Roman"/>
        </w:rPr>
        <w:t xml:space="preserve">3.3.2 </w:t>
      </w:r>
      <w:proofErr w:type="spellStart"/>
      <w:r w:rsidRPr="00CF6EC9">
        <w:rPr>
          <w:rFonts w:ascii="Times New Roman" w:hAnsi="Times New Roman" w:cs="Times New Roman"/>
        </w:rPr>
        <w:t>Grahaṇī</w:t>
      </w:r>
      <w:proofErr w:type="spellEnd"/>
      <w:r w:rsidRPr="00CF6EC9">
        <w:rPr>
          <w:rFonts w:ascii="Times New Roman" w:hAnsi="Times New Roman" w:cs="Times New Roman"/>
        </w:rPr>
        <w:t xml:space="preserve"> as a unifying Ayurvedic category</w:t>
      </w:r>
    </w:p>
    <w:p w14:paraId="5AE233D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Grahaṇī</w:t>
      </w:r>
      <w:proofErr w:type="spellEnd"/>
      <w:r w:rsidRPr="00CF6EC9">
        <w:rPr>
          <w:rFonts w:ascii="Times New Roman" w:hAnsi="Times New Roman" w:cs="Times New Roman"/>
        </w:rPr>
        <w:t xml:space="preserve"> diagnosis</w:t>
      </w:r>
    </w:p>
    <w:p w14:paraId="32EAA966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Pittādhika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Grahaṇī</w:t>
      </w:r>
      <w:proofErr w:type="spellEnd"/>
    </w:p>
    <w:p w14:paraId="6F718B0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Tridoṣaja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Grahaṇī</w:t>
      </w:r>
      <w:proofErr w:type="spellEnd"/>
    </w:p>
    <w:p w14:paraId="71EFE86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Vātapittaja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Grahaṇī</w:t>
      </w:r>
      <w:proofErr w:type="spellEnd"/>
    </w:p>
    <w:p w14:paraId="1BB4B016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Sannipāta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Grahaṇī</w:t>
      </w:r>
      <w:proofErr w:type="spellEnd"/>
    </w:p>
    <w:p w14:paraId="7DD3F3A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Saṅgrahaṇī</w:t>
      </w:r>
      <w:proofErr w:type="spellEnd"/>
      <w:r w:rsidRPr="00CF6EC9">
        <w:rPr>
          <w:rFonts w:ascii="Times New Roman" w:hAnsi="Times New Roman" w:cs="Times New Roman"/>
        </w:rPr>
        <w:t xml:space="preserve"> interpretation</w:t>
      </w:r>
    </w:p>
    <w:p w14:paraId="47379906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Pravāhika</w:t>
      </w:r>
      <w:proofErr w:type="spellEnd"/>
      <w:r w:rsidRPr="00CF6EC9">
        <w:rPr>
          <w:rFonts w:ascii="Times New Roman" w:hAnsi="Times New Roman" w:cs="Times New Roman"/>
        </w:rPr>
        <w:t xml:space="preserve"> differential diagnosis</w:t>
      </w:r>
    </w:p>
    <w:p w14:paraId="3AF6541F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Doṣa</w:t>
      </w:r>
      <w:proofErr w:type="spellEnd"/>
      <w:r w:rsidRPr="00CF6EC9">
        <w:rPr>
          <w:rFonts w:ascii="Times New Roman" w:hAnsi="Times New Roman" w:cs="Times New Roman"/>
        </w:rPr>
        <w:t>-dominant therapeutic reasoning</w:t>
      </w:r>
    </w:p>
    <w:p w14:paraId="1705F40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Reluctance toward fixed disease naming</w:t>
      </w:r>
    </w:p>
    <w:p w14:paraId="5A70081C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13" w:name="divergent-constructions-of-samprāpti"/>
      <w:bookmarkEnd w:id="12"/>
      <w:r w:rsidRPr="00CF6EC9">
        <w:rPr>
          <w:rFonts w:ascii="Times New Roman" w:hAnsi="Times New Roman" w:cs="Times New Roman"/>
        </w:rPr>
        <w:t xml:space="preserve">3.3.3 Divergent constructions of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</w:p>
    <w:p w14:paraId="16F40A44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Classical </w:t>
      </w:r>
      <w:proofErr w:type="spellStart"/>
      <w:r w:rsidRPr="00CF6EC9">
        <w:rPr>
          <w:rFonts w:ascii="Times New Roman" w:hAnsi="Times New Roman" w:cs="Times New Roman"/>
        </w:rPr>
        <w:t>Grahaṇī</w:t>
      </w:r>
      <w:proofErr w:type="spellEnd"/>
      <w:r w:rsidRPr="00CF6EC9">
        <w:rPr>
          <w:rFonts w:ascii="Times New Roman" w:hAnsi="Times New Roman" w:cs="Times New Roman"/>
        </w:rPr>
        <w:t xml:space="preserve"> pathogenesis</w:t>
      </w:r>
    </w:p>
    <w:p w14:paraId="2B3AA25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Junk food </w:t>
      </w:r>
      <w:proofErr w:type="gramStart"/>
      <w:r w:rsidRPr="00CF6EC9">
        <w:rPr>
          <w:rFonts w:ascii="Times New Roman" w:hAnsi="Times New Roman" w:cs="Times New Roman"/>
        </w:rPr>
        <w:t>as</w:t>
      </w:r>
      <w:proofErr w:type="gramEnd"/>
      <w:r w:rsidRPr="00CF6EC9">
        <w:rPr>
          <w:rFonts w:ascii="Times New Roman" w:hAnsi="Times New Roman" w:cs="Times New Roman"/>
        </w:rPr>
        <w:t xml:space="preserve"> causative factor</w:t>
      </w:r>
    </w:p>
    <w:p w14:paraId="037333C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Dynamic nature of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</w:p>
    <w:p w14:paraId="759563E1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Inability to objectively assess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</w:p>
    <w:p w14:paraId="7F2596BC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Mandāgni</w:t>
      </w:r>
      <w:proofErr w:type="spellEnd"/>
      <w:r w:rsidRPr="00CF6EC9">
        <w:rPr>
          <w:rFonts w:ascii="Times New Roman" w:hAnsi="Times New Roman" w:cs="Times New Roman"/>
        </w:rPr>
        <w:t xml:space="preserve"> and mala </w:t>
      </w:r>
      <w:proofErr w:type="spellStart"/>
      <w:r w:rsidRPr="00CF6EC9">
        <w:rPr>
          <w:rFonts w:ascii="Times New Roman" w:hAnsi="Times New Roman" w:cs="Times New Roman"/>
        </w:rPr>
        <w:t>sañcaya</w:t>
      </w:r>
      <w:proofErr w:type="spellEnd"/>
    </w:p>
    <w:p w14:paraId="6014AEF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Udāvarta</w:t>
      </w:r>
      <w:proofErr w:type="spellEnd"/>
      <w:r w:rsidRPr="00CF6EC9">
        <w:rPr>
          <w:rFonts w:ascii="Times New Roman" w:hAnsi="Times New Roman" w:cs="Times New Roman"/>
        </w:rPr>
        <w:t xml:space="preserve"> and Agni suppression</w:t>
      </w:r>
    </w:p>
    <w:p w14:paraId="148A3A7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Pañcabhāutikāgni</w:t>
      </w:r>
      <w:proofErr w:type="spellEnd"/>
      <w:r w:rsidRPr="00CF6EC9">
        <w:rPr>
          <w:rFonts w:ascii="Times New Roman" w:hAnsi="Times New Roman" w:cs="Times New Roman"/>
        </w:rPr>
        <w:t xml:space="preserve"> dysfunction</w:t>
      </w:r>
    </w:p>
    <w:p w14:paraId="15F29CB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Dūṣīviṣa</w:t>
      </w:r>
      <w:proofErr w:type="spellEnd"/>
      <w:r w:rsidRPr="00CF6EC9">
        <w:rPr>
          <w:rFonts w:ascii="Times New Roman" w:hAnsi="Times New Roman" w:cs="Times New Roman"/>
        </w:rPr>
        <w:t xml:space="preserve"> interpretation</w:t>
      </w:r>
    </w:p>
    <w:p w14:paraId="1771C62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Rasa-</w:t>
      </w:r>
      <w:proofErr w:type="spellStart"/>
      <w:r w:rsidRPr="00CF6EC9">
        <w:rPr>
          <w:rFonts w:ascii="Times New Roman" w:hAnsi="Times New Roman" w:cs="Times New Roman"/>
        </w:rPr>
        <w:t>kṣaya</w:t>
      </w:r>
      <w:proofErr w:type="spellEnd"/>
      <w:r w:rsidRPr="00CF6EC9">
        <w:rPr>
          <w:rFonts w:ascii="Times New Roman" w:hAnsi="Times New Roman" w:cs="Times New Roman"/>
        </w:rPr>
        <w:t xml:space="preserve"> and Rakta-</w:t>
      </w:r>
      <w:proofErr w:type="spellStart"/>
      <w:r w:rsidRPr="00CF6EC9">
        <w:rPr>
          <w:rFonts w:ascii="Times New Roman" w:hAnsi="Times New Roman" w:cs="Times New Roman"/>
        </w:rPr>
        <w:t>kṣaya</w:t>
      </w:r>
      <w:proofErr w:type="spellEnd"/>
    </w:p>
    <w:p w14:paraId="02CBCB8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Fermentation and putrefaction analogies</w:t>
      </w:r>
    </w:p>
    <w:p w14:paraId="5F4C534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Psychological questioning in diagnosis</w:t>
      </w:r>
    </w:p>
    <w:p w14:paraId="0E22FAE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Rejection of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 understanding</w:t>
      </w:r>
    </w:p>
    <w:p w14:paraId="6F010872" w14:textId="77777777" w:rsidR="00CF6EC9" w:rsidRPr="00CF6EC9" w:rsidRDefault="00CF6EC9" w:rsidP="00CF6EC9">
      <w:pPr>
        <w:rPr>
          <w:rFonts w:ascii="Times New Roman" w:hAnsi="Times New Roman" w:cs="Times New Roman"/>
        </w:rPr>
      </w:pPr>
    </w:p>
    <w:p w14:paraId="15AE0004" w14:textId="77777777" w:rsidR="00CF6EC9" w:rsidRPr="00CF6EC9" w:rsidRDefault="00CF6EC9" w:rsidP="00CF6EC9">
      <w:pPr>
        <w:pStyle w:val="Heading2"/>
        <w:spacing w:before="240" w:after="240"/>
        <w:rPr>
          <w:rFonts w:ascii="Times New Roman" w:hAnsi="Times New Roman" w:cs="Times New Roman"/>
        </w:rPr>
      </w:pPr>
      <w:bookmarkStart w:id="14" w:name="dengue-fever"/>
      <w:bookmarkEnd w:id="10"/>
      <w:bookmarkEnd w:id="13"/>
      <w:r w:rsidRPr="00CF6EC9">
        <w:rPr>
          <w:rFonts w:ascii="Times New Roman" w:hAnsi="Times New Roman" w:cs="Times New Roman"/>
        </w:rPr>
        <w:t>3.4 Dengue Fever</w:t>
      </w:r>
    </w:p>
    <w:p w14:paraId="4F436402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15" w:name="divergent-ayurvedic-diagnostic-framing"/>
      <w:r w:rsidRPr="00CF6EC9">
        <w:rPr>
          <w:rFonts w:ascii="Times New Roman" w:hAnsi="Times New Roman" w:cs="Times New Roman"/>
        </w:rPr>
        <w:t>3.4.1 Divergent Ayurvedic diagnostic framing</w:t>
      </w:r>
    </w:p>
    <w:p w14:paraId="6760704C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Viṣama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Jvara</w:t>
      </w:r>
      <w:proofErr w:type="spellEnd"/>
      <w:r w:rsidRPr="00CF6EC9">
        <w:rPr>
          <w:rFonts w:ascii="Times New Roman" w:hAnsi="Times New Roman" w:cs="Times New Roman"/>
        </w:rPr>
        <w:t xml:space="preserve"> diagnosis</w:t>
      </w:r>
    </w:p>
    <w:p w14:paraId="79C1101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Asādhya</w:t>
      </w:r>
      <w:proofErr w:type="spellEnd"/>
      <w:r w:rsidRPr="00CF6EC9">
        <w:rPr>
          <w:rFonts w:ascii="Times New Roman" w:hAnsi="Times New Roman" w:cs="Times New Roman"/>
        </w:rPr>
        <w:t xml:space="preserve"> and Kṛcchrasādhya interpretation</w:t>
      </w:r>
    </w:p>
    <w:p w14:paraId="7E922AB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Raktapitta</w:t>
      </w:r>
      <w:proofErr w:type="spellEnd"/>
      <w:r w:rsidRPr="00CF6EC9">
        <w:rPr>
          <w:rFonts w:ascii="Times New Roman" w:hAnsi="Times New Roman" w:cs="Times New Roman"/>
        </w:rPr>
        <w:t xml:space="preserve"> diagnosis</w:t>
      </w:r>
    </w:p>
    <w:p w14:paraId="487CFCA7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Adhoga-Raktapitta</w:t>
      </w:r>
      <w:proofErr w:type="spellEnd"/>
      <w:r w:rsidRPr="00CF6EC9">
        <w:rPr>
          <w:rFonts w:ascii="Times New Roman" w:hAnsi="Times New Roman" w:cs="Times New Roman"/>
        </w:rPr>
        <w:t xml:space="preserve"> classification</w:t>
      </w:r>
    </w:p>
    <w:p w14:paraId="7DF5749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Prognosis-based therapeutic caution</w:t>
      </w:r>
    </w:p>
    <w:p w14:paraId="4C86FAE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Bleeding-</w:t>
      </w:r>
      <w:proofErr w:type="spellStart"/>
      <w:r w:rsidRPr="00CF6EC9">
        <w:rPr>
          <w:rFonts w:ascii="Times New Roman" w:hAnsi="Times New Roman" w:cs="Times New Roman"/>
        </w:rPr>
        <w:t>centred</w:t>
      </w:r>
      <w:proofErr w:type="spellEnd"/>
      <w:r w:rsidRPr="00CF6EC9">
        <w:rPr>
          <w:rFonts w:ascii="Times New Roman" w:hAnsi="Times New Roman" w:cs="Times New Roman"/>
        </w:rPr>
        <w:t xml:space="preserve"> diagnostic reasoning</w:t>
      </w:r>
    </w:p>
    <w:p w14:paraId="71556548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Tridoṣaja</w:t>
      </w:r>
      <w:proofErr w:type="spellEnd"/>
      <w:r w:rsidRPr="00CF6EC9">
        <w:rPr>
          <w:rFonts w:ascii="Times New Roman" w:hAnsi="Times New Roman" w:cs="Times New Roman"/>
        </w:rPr>
        <w:t xml:space="preserve"> interpretation of fever</w:t>
      </w:r>
    </w:p>
    <w:p w14:paraId="741B7FC7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16" w:name="X4cee2f72c397f75fc38a3730e1ea034a478766b"/>
      <w:bookmarkEnd w:id="15"/>
      <w:r w:rsidRPr="00CF6EC9">
        <w:rPr>
          <w:rFonts w:ascii="Times New Roman" w:hAnsi="Times New Roman" w:cs="Times New Roman"/>
        </w:rPr>
        <w:lastRenderedPageBreak/>
        <w:t xml:space="preserve">3.4.2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  <w:r w:rsidRPr="00CF6EC9">
        <w:rPr>
          <w:rFonts w:ascii="Times New Roman" w:hAnsi="Times New Roman" w:cs="Times New Roman"/>
        </w:rPr>
        <w:t xml:space="preserve">: </w:t>
      </w:r>
      <w:proofErr w:type="spellStart"/>
      <w:r w:rsidRPr="00CF6EC9">
        <w:rPr>
          <w:rFonts w:ascii="Times New Roman" w:hAnsi="Times New Roman" w:cs="Times New Roman"/>
        </w:rPr>
        <w:t>Tridoṣic</w:t>
      </w:r>
      <w:proofErr w:type="spellEnd"/>
      <w:r w:rsidRPr="00CF6EC9">
        <w:rPr>
          <w:rFonts w:ascii="Times New Roman" w:hAnsi="Times New Roman" w:cs="Times New Roman"/>
        </w:rPr>
        <w:t xml:space="preserve"> model versus uncertainty</w:t>
      </w:r>
    </w:p>
    <w:p w14:paraId="5E01E29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Āgantuka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kāraṇa</w:t>
      </w:r>
      <w:proofErr w:type="spellEnd"/>
      <w:r w:rsidRPr="00CF6EC9">
        <w:rPr>
          <w:rFonts w:ascii="Times New Roman" w:hAnsi="Times New Roman" w:cs="Times New Roman"/>
        </w:rPr>
        <w:t xml:space="preserve"> interpretation</w:t>
      </w:r>
    </w:p>
    <w:p w14:paraId="095F7B7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Doṣa-vaiṣamya</w:t>
      </w:r>
      <w:proofErr w:type="spellEnd"/>
      <w:r w:rsidRPr="00CF6EC9">
        <w:rPr>
          <w:rFonts w:ascii="Times New Roman" w:hAnsi="Times New Roman" w:cs="Times New Roman"/>
        </w:rPr>
        <w:t xml:space="preserve"> in infectious disease</w:t>
      </w:r>
    </w:p>
    <w:p w14:paraId="2F10B40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Tridoṣaja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</w:p>
    <w:p w14:paraId="2ED6B5E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Pitta-Rakta predominance</w:t>
      </w:r>
    </w:p>
    <w:p w14:paraId="7E0C2398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Conceptual uncertainty in dengue </w:t>
      </w:r>
      <w:proofErr w:type="spellStart"/>
      <w:r w:rsidRPr="00CF6EC9">
        <w:rPr>
          <w:rFonts w:ascii="Times New Roman" w:hAnsi="Times New Roman" w:cs="Times New Roman"/>
        </w:rPr>
        <w:t>Samprāpti</w:t>
      </w:r>
      <w:proofErr w:type="spellEnd"/>
    </w:p>
    <w:p w14:paraId="32BE7A87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Difficulty integrating viral pathology into Ayurveda</w:t>
      </w:r>
    </w:p>
    <w:p w14:paraId="506F4DB5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17" w:name="X1a36fbb47419d3a78e922c528e056280c031472"/>
      <w:bookmarkEnd w:id="16"/>
      <w:r w:rsidRPr="00CF6EC9">
        <w:rPr>
          <w:rFonts w:ascii="Times New Roman" w:hAnsi="Times New Roman" w:cs="Times New Roman"/>
        </w:rPr>
        <w:t xml:space="preserve">3.4.3 </w:t>
      </w:r>
      <w:proofErr w:type="spellStart"/>
      <w:r w:rsidRPr="00CF6EC9">
        <w:rPr>
          <w:rFonts w:ascii="Times New Roman" w:hAnsi="Times New Roman" w:cs="Times New Roman"/>
        </w:rPr>
        <w:t>Doṣa</w:t>
      </w:r>
      <w:proofErr w:type="spellEnd"/>
      <w:r w:rsidRPr="00CF6EC9">
        <w:rPr>
          <w:rFonts w:ascii="Times New Roman" w:hAnsi="Times New Roman" w:cs="Times New Roman"/>
        </w:rPr>
        <w:t xml:space="preserve"> predominance and interpretive emphasis</w:t>
      </w:r>
    </w:p>
    <w:p w14:paraId="5904E93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Predominance of Pitta and Rakta</w:t>
      </w:r>
    </w:p>
    <w:p w14:paraId="2C74330F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Pitta-</w:t>
      </w:r>
      <w:proofErr w:type="spellStart"/>
      <w:r w:rsidRPr="00CF6EC9">
        <w:rPr>
          <w:rFonts w:ascii="Times New Roman" w:hAnsi="Times New Roman" w:cs="Times New Roman"/>
        </w:rPr>
        <w:t>Vāta</w:t>
      </w:r>
      <w:proofErr w:type="spellEnd"/>
      <w:r w:rsidRPr="00CF6EC9">
        <w:rPr>
          <w:rFonts w:ascii="Times New Roman" w:hAnsi="Times New Roman" w:cs="Times New Roman"/>
        </w:rPr>
        <w:t xml:space="preserve"> involvement</w:t>
      </w:r>
    </w:p>
    <w:p w14:paraId="00D789E4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Rakta as a </w:t>
      </w:r>
      <w:proofErr w:type="spellStart"/>
      <w:r w:rsidRPr="00CF6EC9">
        <w:rPr>
          <w:rFonts w:ascii="Times New Roman" w:hAnsi="Times New Roman" w:cs="Times New Roman"/>
        </w:rPr>
        <w:t>Doṣa</w:t>
      </w:r>
      <w:proofErr w:type="spellEnd"/>
    </w:p>
    <w:p w14:paraId="67D18F3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Raktapitta-śāmaka</w:t>
      </w:r>
      <w:proofErr w:type="spellEnd"/>
      <w:r w:rsidRPr="00CF6EC9">
        <w:rPr>
          <w:rFonts w:ascii="Times New Roman" w:hAnsi="Times New Roman" w:cs="Times New Roman"/>
        </w:rPr>
        <w:t xml:space="preserve"> treatment principle</w:t>
      </w:r>
    </w:p>
    <w:p w14:paraId="6D705BA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Systemic versus localized interpretive framing</w:t>
      </w:r>
    </w:p>
    <w:p w14:paraId="0A798BE3" w14:textId="77777777" w:rsidR="00CF6EC9" w:rsidRPr="00CF6EC9" w:rsidRDefault="00CF6EC9" w:rsidP="00CF6EC9">
      <w:pPr>
        <w:rPr>
          <w:rFonts w:ascii="Times New Roman" w:hAnsi="Times New Roman" w:cs="Times New Roman"/>
        </w:rPr>
      </w:pPr>
    </w:p>
    <w:p w14:paraId="73F83224" w14:textId="77777777" w:rsidR="00CF6EC9" w:rsidRPr="00CF6EC9" w:rsidRDefault="00CF6EC9" w:rsidP="00CF6EC9">
      <w:pPr>
        <w:pStyle w:val="Heading2"/>
        <w:spacing w:before="240" w:after="240"/>
        <w:rPr>
          <w:rFonts w:ascii="Times New Roman" w:hAnsi="Times New Roman" w:cs="Times New Roman"/>
        </w:rPr>
      </w:pPr>
      <w:bookmarkStart w:id="18" w:name="hypertension"/>
      <w:bookmarkEnd w:id="14"/>
      <w:bookmarkEnd w:id="17"/>
      <w:r w:rsidRPr="00CF6EC9">
        <w:rPr>
          <w:rFonts w:ascii="Times New Roman" w:hAnsi="Times New Roman" w:cs="Times New Roman"/>
        </w:rPr>
        <w:t>3.5 Hypertension</w:t>
      </w:r>
    </w:p>
    <w:p w14:paraId="13A89581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19" w:name="psychosomatic-versus-somatic-models"/>
      <w:r w:rsidRPr="00CF6EC9">
        <w:rPr>
          <w:rFonts w:ascii="Times New Roman" w:hAnsi="Times New Roman" w:cs="Times New Roman"/>
        </w:rPr>
        <w:t>3.5.1 Psychosomatic versus somatic models</w:t>
      </w:r>
    </w:p>
    <w:p w14:paraId="457C243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Pittaja</w:t>
      </w:r>
      <w:proofErr w:type="spellEnd"/>
      <w:r w:rsidRPr="00CF6EC9">
        <w:rPr>
          <w:rFonts w:ascii="Times New Roman" w:hAnsi="Times New Roman" w:cs="Times New Roman"/>
        </w:rPr>
        <w:t xml:space="preserve"> Moha diagnosis</w:t>
      </w:r>
    </w:p>
    <w:p w14:paraId="4687491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Anxiety-</w:t>
      </w:r>
      <w:proofErr w:type="spellStart"/>
      <w:r w:rsidRPr="00CF6EC9">
        <w:rPr>
          <w:rFonts w:ascii="Times New Roman" w:hAnsi="Times New Roman" w:cs="Times New Roman"/>
        </w:rPr>
        <w:t>centred</w:t>
      </w:r>
      <w:proofErr w:type="spellEnd"/>
      <w:r w:rsidRPr="00CF6EC9">
        <w:rPr>
          <w:rFonts w:ascii="Times New Roman" w:hAnsi="Times New Roman" w:cs="Times New Roman"/>
        </w:rPr>
        <w:t xml:space="preserve"> interpretation</w:t>
      </w:r>
    </w:p>
    <w:p w14:paraId="4F0B1C9E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Śiraśūla</w:t>
      </w:r>
      <w:proofErr w:type="spellEnd"/>
      <w:r w:rsidRPr="00CF6EC9">
        <w:rPr>
          <w:rFonts w:ascii="Times New Roman" w:hAnsi="Times New Roman" w:cs="Times New Roman"/>
        </w:rPr>
        <w:t xml:space="preserve"> diagnosis</w:t>
      </w:r>
    </w:p>
    <w:p w14:paraId="7855B482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Udāna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Vāyu</w:t>
      </w:r>
      <w:proofErr w:type="spellEnd"/>
      <w:r w:rsidRPr="00CF6EC9">
        <w:rPr>
          <w:rFonts w:ascii="Times New Roman" w:hAnsi="Times New Roman" w:cs="Times New Roman"/>
        </w:rPr>
        <w:t xml:space="preserve"> dysfunction</w:t>
      </w:r>
    </w:p>
    <w:p w14:paraId="0AFADAA3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Psychological versus cardiovascular framing</w:t>
      </w:r>
    </w:p>
    <w:p w14:paraId="54A258FC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Oja-</w:t>
      </w:r>
      <w:proofErr w:type="spellStart"/>
      <w:r w:rsidRPr="00CF6EC9">
        <w:rPr>
          <w:rFonts w:ascii="Times New Roman" w:hAnsi="Times New Roman" w:cs="Times New Roman"/>
        </w:rPr>
        <w:t>kṣaya</w:t>
      </w:r>
      <w:proofErr w:type="spellEnd"/>
      <w:r w:rsidRPr="00CF6EC9">
        <w:rPr>
          <w:rFonts w:ascii="Times New Roman" w:hAnsi="Times New Roman" w:cs="Times New Roman"/>
        </w:rPr>
        <w:t xml:space="preserve"> in chronic stress</w:t>
      </w:r>
    </w:p>
    <w:p w14:paraId="733C971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Somatic versus psychosomatic pathology</w:t>
      </w:r>
    </w:p>
    <w:p w14:paraId="767DE5A9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20" w:name="divergence-on-the-role-of-ojas"/>
      <w:bookmarkEnd w:id="19"/>
      <w:r w:rsidRPr="00CF6EC9">
        <w:rPr>
          <w:rFonts w:ascii="Times New Roman" w:hAnsi="Times New Roman" w:cs="Times New Roman"/>
        </w:rPr>
        <w:t>3.5.2 Divergence on the role of Ojas</w:t>
      </w:r>
    </w:p>
    <w:p w14:paraId="56E0722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Oja-</w:t>
      </w:r>
      <w:proofErr w:type="spellStart"/>
      <w:r w:rsidRPr="00CF6EC9">
        <w:rPr>
          <w:rFonts w:ascii="Times New Roman" w:hAnsi="Times New Roman" w:cs="Times New Roman"/>
        </w:rPr>
        <w:t>duṣṭi</w:t>
      </w:r>
      <w:proofErr w:type="spellEnd"/>
      <w:r w:rsidRPr="00CF6EC9">
        <w:rPr>
          <w:rFonts w:ascii="Times New Roman" w:hAnsi="Times New Roman" w:cs="Times New Roman"/>
        </w:rPr>
        <w:t xml:space="preserve"> as pathogenic factor</w:t>
      </w:r>
    </w:p>
    <w:p w14:paraId="7B889324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Ojas in prognosis only</w:t>
      </w:r>
    </w:p>
    <w:p w14:paraId="4181BCC5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Ojas and therapeutic planning</w:t>
      </w:r>
    </w:p>
    <w:p w14:paraId="2933B29A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Variability in conceptual use of Ojas</w:t>
      </w:r>
    </w:p>
    <w:p w14:paraId="3F577A0A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21" w:name="Xf5a16135030d5d193fc4abae29456b8a4981e45"/>
      <w:bookmarkEnd w:id="20"/>
      <w:r w:rsidRPr="00CF6EC9">
        <w:rPr>
          <w:rFonts w:ascii="Times New Roman" w:hAnsi="Times New Roman" w:cs="Times New Roman"/>
        </w:rPr>
        <w:t>3.5.3 Philosophical reinterpretation of Ayurvedic theory</w:t>
      </w:r>
    </w:p>
    <w:p w14:paraId="19F19F09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Doṣas</w:t>
      </w:r>
      <w:proofErr w:type="spellEnd"/>
      <w:r w:rsidRPr="00CF6EC9">
        <w:rPr>
          <w:rFonts w:ascii="Times New Roman" w:hAnsi="Times New Roman" w:cs="Times New Roman"/>
        </w:rPr>
        <w:t xml:space="preserve"> as theoretical constructs</w:t>
      </w:r>
    </w:p>
    <w:p w14:paraId="656EE818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Critique of literal </w:t>
      </w:r>
      <w:proofErr w:type="spellStart"/>
      <w:r w:rsidRPr="00CF6EC9">
        <w:rPr>
          <w:rFonts w:ascii="Times New Roman" w:hAnsi="Times New Roman" w:cs="Times New Roman"/>
        </w:rPr>
        <w:t>Doṣa</w:t>
      </w:r>
      <w:proofErr w:type="spellEnd"/>
      <w:r w:rsidRPr="00CF6EC9">
        <w:rPr>
          <w:rFonts w:ascii="Times New Roman" w:hAnsi="Times New Roman" w:cs="Times New Roman"/>
        </w:rPr>
        <w:t xml:space="preserve"> ontology</w:t>
      </w:r>
    </w:p>
    <w:p w14:paraId="6ACADA06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Āvaraṇa</w:t>
      </w:r>
      <w:proofErr w:type="spellEnd"/>
      <w:r w:rsidRPr="00CF6EC9">
        <w:rPr>
          <w:rFonts w:ascii="Times New Roman" w:hAnsi="Times New Roman" w:cs="Times New Roman"/>
        </w:rPr>
        <w:t xml:space="preserve"> as heuristic explanation</w:t>
      </w:r>
    </w:p>
    <w:p w14:paraId="031B1B4F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Internal critique of Ayurvedic theory</w:t>
      </w:r>
    </w:p>
    <w:p w14:paraId="41F35461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lastRenderedPageBreak/>
        <w:t>Utility versus ontological validity</w:t>
      </w:r>
    </w:p>
    <w:p w14:paraId="2EF8ED4D" w14:textId="77777777" w:rsidR="00CF6EC9" w:rsidRPr="00CF6EC9" w:rsidRDefault="00CF6EC9" w:rsidP="00CF6EC9">
      <w:pPr>
        <w:pStyle w:val="Heading3"/>
        <w:spacing w:before="240" w:after="240"/>
        <w:rPr>
          <w:rFonts w:ascii="Times New Roman" w:hAnsi="Times New Roman" w:cs="Times New Roman"/>
        </w:rPr>
      </w:pPr>
      <w:bookmarkStart w:id="22" w:name="ayurvedic-versus-biomedical-framing"/>
      <w:bookmarkEnd w:id="21"/>
      <w:r w:rsidRPr="00CF6EC9">
        <w:rPr>
          <w:rFonts w:ascii="Times New Roman" w:hAnsi="Times New Roman" w:cs="Times New Roman"/>
        </w:rPr>
        <w:t>3.5.4 Ayurvedic versus biomedical framing</w:t>
      </w:r>
    </w:p>
    <w:p w14:paraId="1EB46835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Hypertension not an Ayurvedic diagnosis</w:t>
      </w:r>
    </w:p>
    <w:p w14:paraId="0A0E8CC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Biomedical diagnosis accepted pragmatically</w:t>
      </w:r>
    </w:p>
    <w:p w14:paraId="6B3C5C40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Hyperaldosteronism interpreted through </w:t>
      </w:r>
      <w:proofErr w:type="spellStart"/>
      <w:r w:rsidRPr="00CF6EC9">
        <w:rPr>
          <w:rFonts w:ascii="Times New Roman" w:hAnsi="Times New Roman" w:cs="Times New Roman"/>
        </w:rPr>
        <w:t>Āvaraṇa</w:t>
      </w:r>
      <w:proofErr w:type="spellEnd"/>
    </w:p>
    <w:p w14:paraId="05AC03E8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F6EC9">
        <w:rPr>
          <w:rFonts w:ascii="Times New Roman" w:hAnsi="Times New Roman" w:cs="Times New Roman"/>
        </w:rPr>
        <w:t>Pittāvṛta</w:t>
      </w:r>
      <w:proofErr w:type="spellEnd"/>
      <w:r w:rsidRPr="00CF6EC9">
        <w:rPr>
          <w:rFonts w:ascii="Times New Roman" w:hAnsi="Times New Roman" w:cs="Times New Roman"/>
        </w:rPr>
        <w:t xml:space="preserve"> </w:t>
      </w:r>
      <w:proofErr w:type="spellStart"/>
      <w:r w:rsidRPr="00CF6EC9">
        <w:rPr>
          <w:rFonts w:ascii="Times New Roman" w:hAnsi="Times New Roman" w:cs="Times New Roman"/>
        </w:rPr>
        <w:t>Vāta</w:t>
      </w:r>
      <w:proofErr w:type="spellEnd"/>
      <w:r w:rsidRPr="00CF6EC9">
        <w:rPr>
          <w:rFonts w:ascii="Times New Roman" w:hAnsi="Times New Roman" w:cs="Times New Roman"/>
        </w:rPr>
        <w:t xml:space="preserve"> interpretation</w:t>
      </w:r>
    </w:p>
    <w:p w14:paraId="331E8A1D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 xml:space="preserve">Hormonal disorders mapped to </w:t>
      </w:r>
      <w:proofErr w:type="spellStart"/>
      <w:r w:rsidRPr="00CF6EC9">
        <w:rPr>
          <w:rFonts w:ascii="Times New Roman" w:hAnsi="Times New Roman" w:cs="Times New Roman"/>
        </w:rPr>
        <w:t>Vāyu</w:t>
      </w:r>
      <w:proofErr w:type="spellEnd"/>
      <w:r w:rsidRPr="00CF6EC9">
        <w:rPr>
          <w:rFonts w:ascii="Times New Roman" w:hAnsi="Times New Roman" w:cs="Times New Roman"/>
        </w:rPr>
        <w:t xml:space="preserve"> pathology</w:t>
      </w:r>
    </w:p>
    <w:p w14:paraId="35A5422B" w14:textId="77777777" w:rsidR="00CF6EC9" w:rsidRPr="00CF6EC9" w:rsidRDefault="00CF6EC9" w:rsidP="00CF6EC9">
      <w:pPr>
        <w:pStyle w:val="Compact"/>
        <w:numPr>
          <w:ilvl w:val="0"/>
          <w:numId w:val="1"/>
        </w:numPr>
        <w:rPr>
          <w:rFonts w:ascii="Times New Roman" w:hAnsi="Times New Roman" w:cs="Times New Roman"/>
        </w:rPr>
      </w:pPr>
      <w:r w:rsidRPr="00CF6EC9">
        <w:rPr>
          <w:rFonts w:ascii="Times New Roman" w:hAnsi="Times New Roman" w:cs="Times New Roman"/>
        </w:rPr>
        <w:t>Conceptual inconsistency in biomedical translation</w:t>
      </w:r>
      <w:bookmarkEnd w:id="0"/>
      <w:bookmarkEnd w:id="18"/>
      <w:bookmarkEnd w:id="22"/>
    </w:p>
    <w:p w14:paraId="38C8677B" w14:textId="77777777" w:rsidR="00DF3B8D" w:rsidRPr="00CF6EC9" w:rsidRDefault="00DF3B8D">
      <w:pPr>
        <w:rPr>
          <w:rFonts w:ascii="Times New Roman" w:hAnsi="Times New Roman" w:cs="Times New Roman"/>
        </w:rPr>
      </w:pPr>
    </w:p>
    <w:sectPr w:rsidR="00DF3B8D" w:rsidRPr="00CF6EC9" w:rsidSect="00CF6EC9">
      <w:footnotePr>
        <w:numRestart w:val="eachSect"/>
      </w:footnotePr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E03E3B3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36365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E7"/>
    <w:rsid w:val="00206462"/>
    <w:rsid w:val="003571D9"/>
    <w:rsid w:val="00357BE7"/>
    <w:rsid w:val="006052A2"/>
    <w:rsid w:val="00720137"/>
    <w:rsid w:val="0073634E"/>
    <w:rsid w:val="007C670C"/>
    <w:rsid w:val="00824A9F"/>
    <w:rsid w:val="009508E9"/>
    <w:rsid w:val="009C4B1B"/>
    <w:rsid w:val="00B16B52"/>
    <w:rsid w:val="00B2797C"/>
    <w:rsid w:val="00BE28E2"/>
    <w:rsid w:val="00C973E1"/>
    <w:rsid w:val="00CF6EC9"/>
    <w:rsid w:val="00DF3B8D"/>
    <w:rsid w:val="00F8322D"/>
    <w:rsid w:val="00FD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6917"/>
  <w15:chartTrackingRefBased/>
  <w15:docId w15:val="{E5D5B2D2-4112-4CBA-B99E-536E8D8F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EC9"/>
    <w:pPr>
      <w:spacing w:after="200" w:line="240" w:lineRule="auto"/>
    </w:pPr>
    <w:rPr>
      <w:kern w:val="0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4A9F"/>
    <w:pPr>
      <w:keepNext/>
      <w:keepLines/>
      <w:spacing w:beforeLines="100" w:before="40" w:afterLines="100" w:after="0" w:line="288" w:lineRule="atLeast"/>
      <w:outlineLvl w:val="1"/>
    </w:pPr>
    <w:rPr>
      <w:rFonts w:eastAsiaTheme="majorEastAsia" w:cstheme="majorBidi"/>
      <w:b/>
      <w:color w:val="000000" w:themeColor="text1"/>
      <w:szCs w:val="23"/>
      <w:lang w:bidi="hi-I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24A9F"/>
    <w:pPr>
      <w:keepNext/>
      <w:keepLines/>
      <w:spacing w:beforeLines="100" w:before="40" w:afterLines="100" w:after="0" w:line="288" w:lineRule="atLeast"/>
      <w:outlineLvl w:val="2"/>
    </w:pPr>
    <w:rPr>
      <w:rFonts w:eastAsiaTheme="majorEastAsia" w:cstheme="majorBidi"/>
      <w:b/>
      <w:i/>
      <w:szCs w:val="21"/>
      <w:lang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4A9F"/>
    <w:rPr>
      <w:rFonts w:ascii="Times New Roman" w:eastAsiaTheme="majorEastAsia" w:hAnsi="Times New Roman" w:cstheme="majorBidi"/>
      <w:b/>
      <w:color w:val="000000" w:themeColor="text1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24A9F"/>
    <w:rPr>
      <w:rFonts w:ascii="Times New Roman" w:eastAsiaTheme="majorEastAsia" w:hAnsi="Times New Roman" w:cstheme="majorBidi"/>
      <w:b/>
      <w:i/>
    </w:rPr>
  </w:style>
  <w:style w:type="paragraph" w:styleId="TOC1">
    <w:name w:val="toc 1"/>
    <w:basedOn w:val="Normal"/>
    <w:next w:val="Normal"/>
    <w:autoRedefine/>
    <w:uiPriority w:val="39"/>
    <w:unhideWhenUsed/>
    <w:rsid w:val="007C670C"/>
    <w:pPr>
      <w:spacing w:before="120" w:after="120"/>
    </w:pPr>
    <w:rPr>
      <w:rFonts w:ascii="Century Schoolbook" w:hAnsi="Century Schoolbook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57BE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BE7"/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BE7"/>
    <w:rPr>
      <w:rFonts w:eastAsiaTheme="majorEastAsia" w:cstheme="majorBidi"/>
      <w:color w:val="0F4761" w:themeColor="accent1" w:themeShade="BF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BE7"/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BE7"/>
    <w:rPr>
      <w:rFonts w:eastAsiaTheme="majorEastAsia" w:cstheme="majorBidi"/>
      <w:color w:val="595959" w:themeColor="text1" w:themeTint="A6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BE7"/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BE7"/>
    <w:rPr>
      <w:rFonts w:eastAsiaTheme="majorEastAsia" w:cstheme="majorBidi"/>
      <w:color w:val="272727" w:themeColor="text1" w:themeTint="D8"/>
      <w:szCs w:val="24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357B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BE7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BE7"/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357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BE7"/>
    <w:rPr>
      <w:rFonts w:ascii="Times New Roman" w:hAnsi="Times New Roman"/>
      <w:i/>
      <w:iCs/>
      <w:color w:val="404040" w:themeColor="text1" w:themeTint="BF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57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BE7"/>
    <w:rPr>
      <w:rFonts w:ascii="Times New Roman" w:hAnsi="Times New Roman"/>
      <w:i/>
      <w:iCs/>
      <w:color w:val="0F4761" w:themeColor="accent1" w:themeShade="BF"/>
      <w:szCs w:val="24"/>
      <w:lang w:bidi="ar-SA"/>
    </w:rPr>
  </w:style>
  <w:style w:type="character" w:styleId="IntenseReference">
    <w:name w:val="Intense Reference"/>
    <w:basedOn w:val="DefaultParagraphFont"/>
    <w:uiPriority w:val="32"/>
    <w:qFormat/>
    <w:rsid w:val="00357BE7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CF6EC9"/>
    <w:pPr>
      <w:spacing w:before="36" w:after="36"/>
    </w:pPr>
  </w:style>
  <w:style w:type="paragraph" w:styleId="BodyText">
    <w:name w:val="Body Text"/>
    <w:basedOn w:val="Normal"/>
    <w:link w:val="BodyTextChar"/>
    <w:uiPriority w:val="99"/>
    <w:semiHidden/>
    <w:unhideWhenUsed/>
    <w:rsid w:val="00CF6E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6EC9"/>
    <w:rPr>
      <w:kern w:val="0"/>
      <w:szCs w:val="24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Patwardhan</dc:creator>
  <cp:keywords/>
  <dc:description/>
  <cp:lastModifiedBy>Kishor Patwardhan</cp:lastModifiedBy>
  <cp:revision>2</cp:revision>
  <dcterms:created xsi:type="dcterms:W3CDTF">2026-05-12T09:54:00Z</dcterms:created>
  <dcterms:modified xsi:type="dcterms:W3CDTF">2026-05-12T09:55:00Z</dcterms:modified>
</cp:coreProperties>
</file>