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AAC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315" w:afterLines="100" w:afterAutospacing="0" w:line="360" w:lineRule="auto"/>
        <w:textAlignment w:val="auto"/>
        <w:rPr>
          <w:rFonts w:hint="default" w:ascii="Arial" w:hAnsi="Arial" w:eastAsia="宋体" w:cs="Arial"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b/>
          <w:bCs/>
          <w:kern w:val="0"/>
          <w:sz w:val="24"/>
          <w:szCs w:val="24"/>
          <w:lang w:val="en-US" w:eastAsia="zh-CN" w:bidi="ar-SA"/>
        </w:rPr>
        <w:t xml:space="preserve">Supplementary Material </w:t>
      </w:r>
      <w:r>
        <w:rPr>
          <w:rFonts w:hint="default" w:ascii="Arial" w:hAnsi="Arial" w:eastAsia="宋体" w:cs="Arial"/>
          <w:sz w:val="24"/>
          <w:szCs w:val="24"/>
          <w:lang w:val="en-US" w:eastAsia="zh-CN"/>
        </w:rPr>
        <w:t xml:space="preserve"> </w:t>
      </w:r>
    </w:p>
    <w:tbl>
      <w:tblPr>
        <w:tblStyle w:val="4"/>
        <w:tblW w:w="507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9"/>
        <w:gridCol w:w="2556"/>
        <w:gridCol w:w="2830"/>
        <w:gridCol w:w="2906"/>
        <w:gridCol w:w="2835"/>
      </w:tblGrid>
      <w:tr w14:paraId="451D1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9CB47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sz w:val="20"/>
                <w:szCs w:val="20"/>
                <w:lang w:val="en-US" w:eastAsia="zh-CN"/>
              </w:rPr>
              <w:t>Supplementary Table S1. Accuracy Assessment of CGM at Different Blood Glucose Levels</w:t>
            </w:r>
          </w:p>
        </w:tc>
      </w:tr>
      <w:tr w14:paraId="2A0E5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926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28401F7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Glucose Range</w:t>
            </w:r>
          </w:p>
        </w:tc>
        <w:tc>
          <w:tcPr>
            <w:tcW w:w="936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3F04C4F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Reference Method</w:t>
            </w:r>
          </w:p>
        </w:tc>
        <w:tc>
          <w:tcPr>
            <w:tcW w:w="1036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350622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sz w:val="20"/>
                <w:szCs w:val="20"/>
                <w:shd w:val="clear" w:color="auto" w:fill="FFFFFF"/>
              </w:rPr>
              <w:t>Paired Samples</w:t>
            </w:r>
            <w:r>
              <w:rPr>
                <w:rFonts w:hint="default" w:ascii="Arial" w:hAnsi="Arial" w:eastAsia="宋体" w:cs="Arial"/>
                <w:sz w:val="20"/>
                <w:szCs w:val="20"/>
                <w:shd w:val="clear" w:color="auto" w:fill="FFFFFF"/>
              </w:rPr>
              <w:t xml:space="preserve"> (n)</w:t>
            </w:r>
          </w:p>
        </w:tc>
        <w:tc>
          <w:tcPr>
            <w:tcW w:w="1064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475949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MARD (%)</w:t>
            </w:r>
          </w:p>
        </w:tc>
        <w:tc>
          <w:tcPr>
            <w:tcW w:w="1036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475AF0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Median ARD (%)</w:t>
            </w:r>
          </w:p>
        </w:tc>
      </w:tr>
      <w:tr w14:paraId="7E088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26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095511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&lt;70 mg/dL</w:t>
            </w:r>
          </w:p>
        </w:tc>
        <w:tc>
          <w:tcPr>
            <w:tcW w:w="936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1F8A12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BG</w:t>
            </w:r>
          </w:p>
        </w:tc>
        <w:tc>
          <w:tcPr>
            <w:tcW w:w="1036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0EF9A5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1064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1A5862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54.9 (22.0-112.5)</w:t>
            </w:r>
          </w:p>
        </w:tc>
        <w:tc>
          <w:tcPr>
            <w:tcW w:w="1036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4BC7F21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31.3 (14.3-166.7)</w:t>
            </w:r>
          </w:p>
        </w:tc>
      </w:tr>
      <w:tr w14:paraId="6F823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926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7B7FF9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936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778D37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36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7FAA37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64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4015CD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36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1F7B11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</w:tr>
      <w:tr w14:paraId="7ECC3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2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180BBA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70-180 mg/dL</w:t>
            </w:r>
          </w:p>
        </w:tc>
        <w:tc>
          <w:tcPr>
            <w:tcW w:w="93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2AB42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BG</w:t>
            </w:r>
          </w:p>
        </w:tc>
        <w:tc>
          <w:tcPr>
            <w:tcW w:w="103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F2593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636</w:t>
            </w:r>
          </w:p>
        </w:tc>
        <w:tc>
          <w:tcPr>
            <w:tcW w:w="1064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F8B67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12.0 (11.2-12.8)</w:t>
            </w:r>
          </w:p>
        </w:tc>
        <w:tc>
          <w:tcPr>
            <w:tcW w:w="103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2128B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8.8 (8.1-9.6)</w:t>
            </w:r>
          </w:p>
        </w:tc>
      </w:tr>
      <w:tr w14:paraId="068DE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926" w:type="pct"/>
            <w:vMerge w:val="continue"/>
            <w:tcBorders>
              <w:left w:val="nil"/>
              <w:right w:val="nil"/>
            </w:tcBorders>
            <w:vAlign w:val="center"/>
          </w:tcPr>
          <w:p w14:paraId="77300CE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936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096C52D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36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1BB2AFE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64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311270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36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2B77B02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</w:tr>
      <w:tr w14:paraId="1BCF0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26" w:type="pct"/>
            <w:vMerge w:val="continue"/>
            <w:tcBorders>
              <w:left w:val="nil"/>
              <w:right w:val="nil"/>
            </w:tcBorders>
            <w:vAlign w:val="center"/>
          </w:tcPr>
          <w:p w14:paraId="1C0FC80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93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47AB7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POC</w:t>
            </w:r>
          </w:p>
        </w:tc>
        <w:tc>
          <w:tcPr>
            <w:tcW w:w="103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2DD82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337</w:t>
            </w:r>
          </w:p>
        </w:tc>
        <w:tc>
          <w:tcPr>
            <w:tcW w:w="1064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6D0FE7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10.8 (9.7-12.0)</w:t>
            </w:r>
          </w:p>
        </w:tc>
        <w:tc>
          <w:tcPr>
            <w:tcW w:w="103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ABE45B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8.1 (7.2-9.2)</w:t>
            </w:r>
          </w:p>
        </w:tc>
      </w:tr>
      <w:tr w14:paraId="36428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6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5E39C15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936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68BBC7D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36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06EDFA6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64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72AC8BA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36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607642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</w:tr>
      <w:tr w14:paraId="44A73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2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15A51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&gt;180 mg/dL</w:t>
            </w:r>
          </w:p>
        </w:tc>
        <w:tc>
          <w:tcPr>
            <w:tcW w:w="93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0EBC7F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BG</w:t>
            </w:r>
          </w:p>
        </w:tc>
        <w:tc>
          <w:tcPr>
            <w:tcW w:w="103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063F02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611</w:t>
            </w:r>
          </w:p>
        </w:tc>
        <w:tc>
          <w:tcPr>
            <w:tcW w:w="1064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501E22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9.6 (9.0-10.3)</w:t>
            </w:r>
          </w:p>
        </w:tc>
        <w:tc>
          <w:tcPr>
            <w:tcW w:w="103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44F1E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7.6 (7.2-8.3)</w:t>
            </w:r>
          </w:p>
        </w:tc>
      </w:tr>
      <w:tr w14:paraId="0D6B1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926" w:type="pct"/>
            <w:vMerge w:val="continue"/>
            <w:tcBorders>
              <w:left w:val="nil"/>
              <w:right w:val="nil"/>
            </w:tcBorders>
            <w:vAlign w:val="center"/>
          </w:tcPr>
          <w:p w14:paraId="658E8A2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936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2857E1E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36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4E82109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64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6EC266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36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32E76A0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</w:tr>
      <w:tr w14:paraId="0E39F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26" w:type="pct"/>
            <w:vMerge w:val="continue"/>
            <w:tcBorders>
              <w:left w:val="nil"/>
              <w:right w:val="nil"/>
            </w:tcBorders>
            <w:vAlign w:val="center"/>
          </w:tcPr>
          <w:p w14:paraId="70A9A4B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93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7219F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POC</w:t>
            </w:r>
          </w:p>
        </w:tc>
        <w:tc>
          <w:tcPr>
            <w:tcW w:w="103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003386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373</w:t>
            </w:r>
          </w:p>
        </w:tc>
        <w:tc>
          <w:tcPr>
            <w:tcW w:w="1064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6968C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8.5 (7.8-9.3)</w:t>
            </w:r>
          </w:p>
        </w:tc>
        <w:tc>
          <w:tcPr>
            <w:tcW w:w="103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8A06FF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7.3 (6.3-7.9)</w:t>
            </w:r>
          </w:p>
        </w:tc>
      </w:tr>
      <w:tr w14:paraId="30FC3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926" w:type="pct"/>
            <w:vMerge w:val="continue"/>
            <w:tcBorders>
              <w:left w:val="nil"/>
              <w:right w:val="nil"/>
            </w:tcBorders>
            <w:vAlign w:val="center"/>
          </w:tcPr>
          <w:p w14:paraId="449E0F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936" w:type="pct"/>
            <w:vMerge w:val="continue"/>
            <w:tcBorders>
              <w:left w:val="nil"/>
              <w:right w:val="nil"/>
            </w:tcBorders>
            <w:vAlign w:val="center"/>
          </w:tcPr>
          <w:p w14:paraId="7EC2ED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36" w:type="pct"/>
            <w:vMerge w:val="continue"/>
            <w:tcBorders>
              <w:left w:val="nil"/>
              <w:right w:val="nil"/>
            </w:tcBorders>
            <w:vAlign w:val="center"/>
          </w:tcPr>
          <w:p w14:paraId="172192A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64" w:type="pct"/>
            <w:vMerge w:val="continue"/>
            <w:tcBorders>
              <w:left w:val="nil"/>
              <w:right w:val="nil"/>
            </w:tcBorders>
            <w:vAlign w:val="center"/>
          </w:tcPr>
          <w:p w14:paraId="7E03A73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036" w:type="pct"/>
            <w:vMerge w:val="continue"/>
            <w:tcBorders>
              <w:left w:val="nil"/>
              <w:right w:val="nil"/>
            </w:tcBorders>
            <w:vAlign w:val="center"/>
          </w:tcPr>
          <w:p w14:paraId="6D3303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</w:tr>
    </w:tbl>
    <w:p w14:paraId="67E428D4">
      <w:pPr>
        <w:spacing w:after="627" w:afterLines="201" w:afterAutospacing="0" w:line="480" w:lineRule="auto"/>
        <w:jc w:val="left"/>
        <w:rPr>
          <w:rFonts w:hint="default" w:ascii="Arial" w:hAnsi="Arial" w:eastAsia="宋体" w:cs="Arial"/>
          <w:b/>
          <w:bCs/>
          <w:sz w:val="20"/>
          <w:szCs w:val="20"/>
        </w:rPr>
        <w:sectPr>
          <w:pgSz w:w="16838" w:h="11906" w:orient="landscape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3B7302D">
      <w:pPr>
        <w:spacing w:after="627" w:afterLines="201" w:afterAutospacing="0" w:line="480" w:lineRule="auto"/>
        <w:jc w:val="left"/>
        <w:rPr>
          <w:rFonts w:hint="default" w:ascii="Arial" w:hAnsi="Arial" w:eastAsia="宋体" w:cs="Arial"/>
          <w:b/>
          <w:bCs/>
          <w:sz w:val="20"/>
          <w:szCs w:val="20"/>
        </w:rPr>
      </w:pPr>
    </w:p>
    <w:tbl>
      <w:tblPr>
        <w:tblStyle w:val="3"/>
        <w:tblW w:w="4954" w:type="pct"/>
        <w:tblInd w:w="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3614"/>
        <w:gridCol w:w="3687"/>
        <w:gridCol w:w="3200"/>
      </w:tblGrid>
      <w:tr w14:paraId="27088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EB3D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sz w:val="20"/>
                <w:szCs w:val="20"/>
                <w:lang w:val="en-US" w:eastAsia="zh-CN"/>
              </w:rPr>
              <w:t>Supplementary Table S2. CGM Accuracy Metrics in Hypoglycemic Ranges</w:t>
            </w:r>
          </w:p>
        </w:tc>
      </w:tr>
      <w:tr w14:paraId="7B785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261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1785CC3">
            <w:pPr>
              <w:autoSpaceDE w:val="0"/>
              <w:autoSpaceDN w:val="0"/>
              <w:adjustRightInd w:val="0"/>
              <w:spacing w:beforeAutospacing="0" w:line="360" w:lineRule="auto"/>
              <w:jc w:val="center"/>
              <w:rPr>
                <w:rFonts w:hint="default" w:ascii="Arial" w:hAnsi="Arial" w:cs="Arial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hint="default" w:ascii="Arial" w:hAnsi="Arial" w:eastAsia="宋体" w:cs="Arial"/>
                <w:sz w:val="20"/>
                <w:szCs w:val="20"/>
                <w:shd w:val="clear" w:color="auto" w:fill="FFFFFF"/>
                <w:lang w:val="en-US" w:eastAsia="zh-CN"/>
              </w:rPr>
              <w:t>Range (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mg/dL</w:t>
            </w:r>
            <w:r>
              <w:rPr>
                <w:rFonts w:hint="default" w:ascii="Arial" w:hAnsi="Arial" w:eastAsia="宋体" w:cs="Arial"/>
                <w:sz w:val="20"/>
                <w:szCs w:val="20"/>
                <w:shd w:val="clear" w:color="auto" w:fill="FFFFFF"/>
                <w:lang w:val="en-US" w:eastAsia="zh-CN"/>
              </w:rPr>
              <w:t>)</w:t>
            </w:r>
          </w:p>
        </w:tc>
        <w:tc>
          <w:tcPr>
            <w:tcW w:w="1286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7F0F2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sz w:val="20"/>
                <w:szCs w:val="20"/>
                <w:shd w:val="clear" w:color="auto" w:fill="FFFFFF"/>
              </w:rPr>
              <w:t>Paired Samples</w:t>
            </w:r>
            <w:r>
              <w:rPr>
                <w:rFonts w:hint="default" w:ascii="Arial" w:hAnsi="Arial" w:eastAsia="宋体" w:cs="Arial"/>
                <w:sz w:val="20"/>
                <w:szCs w:val="20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(n)</w:t>
            </w:r>
          </w:p>
        </w:tc>
        <w:tc>
          <w:tcPr>
            <w:tcW w:w="1312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0158D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MARD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(%)</w:t>
            </w:r>
          </w:p>
        </w:tc>
        <w:tc>
          <w:tcPr>
            <w:tcW w:w="1139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FECA8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Median ARD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(%)</w:t>
            </w:r>
          </w:p>
        </w:tc>
      </w:tr>
      <w:tr w14:paraId="4DC49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61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15B64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1286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45B2BF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1312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3F933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1139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B00320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sz w:val="20"/>
                <w:szCs w:val="20"/>
              </w:rPr>
            </w:pPr>
          </w:p>
        </w:tc>
      </w:tr>
      <w:tr w14:paraId="2E5B4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261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 w14:paraId="6F3534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&lt;40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28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E719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1</w:t>
            </w: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FF2A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166.7</w:t>
            </w:r>
          </w:p>
        </w:tc>
        <w:tc>
          <w:tcPr>
            <w:tcW w:w="113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78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166.7</w:t>
            </w:r>
          </w:p>
        </w:tc>
      </w:tr>
      <w:tr w14:paraId="4404D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26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35BB62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40-70</w:t>
            </w:r>
          </w:p>
        </w:tc>
        <w:tc>
          <w:tcPr>
            <w:tcW w:w="128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F6694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007340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27.0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(18.5-33.7)</w:t>
            </w:r>
          </w:p>
        </w:tc>
        <w:tc>
          <w:tcPr>
            <w:tcW w:w="113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E52CE8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27.7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(14.3-36.1)</w:t>
            </w:r>
          </w:p>
        </w:tc>
      </w:tr>
      <w:tr w14:paraId="74AC2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B1F72">
            <w:pPr>
              <w:spacing w:line="480" w:lineRule="auto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Limited sample sizes in hypoglycemic ranges preclude robust statistical analysis and interpretation.</w:t>
            </w:r>
          </w:p>
        </w:tc>
      </w:tr>
    </w:tbl>
    <w:p w14:paraId="226C8364">
      <w:pPr>
        <w:pStyle w:val="7"/>
        <w:jc w:val="both"/>
        <w:rPr>
          <w:rFonts w:hint="default" w:ascii="Arial" w:hAnsi="Arial" w:cs="Arial"/>
          <w:b/>
          <w:bCs/>
          <w:sz w:val="20"/>
          <w:szCs w:val="20"/>
        </w:rPr>
        <w:sectPr>
          <w:pgSz w:w="16838" w:h="11906" w:orient="landscape"/>
          <w:pgMar w:top="1463" w:right="1440" w:bottom="1463" w:left="1440" w:header="851" w:footer="992" w:gutter="0"/>
          <w:cols w:space="425" w:num="1"/>
          <w:docGrid w:type="lines" w:linePitch="312" w:charSpace="0"/>
        </w:sectPr>
      </w:pPr>
    </w:p>
    <w:p w14:paraId="2498C21D">
      <w:pPr>
        <w:pStyle w:val="7"/>
        <w:jc w:val="both"/>
        <w:rPr>
          <w:rFonts w:hint="default" w:ascii="Arial" w:hAnsi="Arial" w:cs="Arial"/>
          <w:b/>
          <w:bCs/>
          <w:sz w:val="20"/>
          <w:szCs w:val="20"/>
        </w:rPr>
      </w:pPr>
    </w:p>
    <w:tbl>
      <w:tblPr>
        <w:tblStyle w:val="3"/>
        <w:tblpPr w:leftFromText="180" w:rightFromText="180" w:vertAnchor="text" w:horzAnchor="page" w:tblpX="1456" w:tblpY="208"/>
        <w:tblOverlap w:val="never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386"/>
        <w:gridCol w:w="2203"/>
        <w:gridCol w:w="2376"/>
        <w:gridCol w:w="2342"/>
        <w:gridCol w:w="2293"/>
        <w:gridCol w:w="1911"/>
      </w:tblGrid>
      <w:tr w14:paraId="173F3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5000" w:type="pct"/>
            <w:gridSpan w:val="7"/>
            <w:tcBorders>
              <w:left w:val="nil"/>
              <w:bottom w:val="single" w:color="000000" w:sz="8" w:space="0"/>
              <w:right w:val="nil"/>
            </w:tcBorders>
            <w:vAlign w:val="center"/>
          </w:tcPr>
          <w:p w14:paraId="554A1CC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sz w:val="20"/>
                <w:szCs w:val="20"/>
                <w:lang w:val="en-US" w:eastAsia="zh-CN"/>
              </w:rPr>
              <w:t>Supplementary Table S3</w:t>
            </w:r>
            <w:r>
              <w:rPr>
                <w:rFonts w:hint="default"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hint="default" w:ascii="Arial" w:hAnsi="Arial" w:cs="Arial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0"/>
                <w:szCs w:val="20"/>
              </w:rPr>
              <w:t>Accuracy of CGM in Non-Sepsis, Sepsis, and Septic Shock Patients</w:t>
            </w:r>
          </w:p>
        </w:tc>
      </w:tr>
      <w:tr w14:paraId="138E4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587" w:type="pct"/>
            <w:tcBorders>
              <w:left w:val="nil"/>
              <w:bottom w:val="single" w:color="000000" w:sz="8" w:space="0"/>
              <w:right w:val="nil"/>
            </w:tcBorders>
            <w:vAlign w:val="center"/>
          </w:tcPr>
          <w:p w14:paraId="37F9559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Group</w:t>
            </w:r>
          </w:p>
        </w:tc>
        <w:tc>
          <w:tcPr>
            <w:tcW w:w="489" w:type="pct"/>
            <w:tcBorders>
              <w:left w:val="nil"/>
              <w:bottom w:val="single" w:color="000000" w:sz="8" w:space="0"/>
              <w:right w:val="nil"/>
            </w:tcBorders>
            <w:vAlign w:val="center"/>
          </w:tcPr>
          <w:p w14:paraId="735465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eastAsia="微软雅黑" w:cs="Arial"/>
                <w:sz w:val="20"/>
                <w:szCs w:val="20"/>
                <w:shd w:val="clear" w:color="auto" w:fill="FFFFFF"/>
              </w:rPr>
              <w:t>Reference</w:t>
            </w:r>
          </w:p>
        </w:tc>
        <w:tc>
          <w:tcPr>
            <w:tcW w:w="777" w:type="pct"/>
            <w:tcBorders>
              <w:left w:val="nil"/>
              <w:bottom w:val="single" w:color="000000" w:sz="8" w:space="0"/>
            </w:tcBorders>
            <w:vAlign w:val="center"/>
          </w:tcPr>
          <w:p w14:paraId="07B4B7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eastAsia="Segoe UI" w:cs="Arial"/>
                <w:sz w:val="20"/>
                <w:szCs w:val="20"/>
                <w:shd w:val="clear" w:color="auto" w:fill="FFFFFF"/>
              </w:rPr>
              <w:t xml:space="preserve">Paired Samples 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(n)</w:t>
            </w:r>
          </w:p>
        </w:tc>
        <w:tc>
          <w:tcPr>
            <w:tcW w:w="838" w:type="pct"/>
            <w:tcBorders>
              <w:bottom w:val="single" w:color="000000" w:sz="8" w:space="0"/>
              <w:right w:val="nil"/>
            </w:tcBorders>
            <w:vAlign w:val="center"/>
          </w:tcPr>
          <w:p w14:paraId="3AE045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MARD (%)</w:t>
            </w:r>
          </w:p>
        </w:tc>
        <w:tc>
          <w:tcPr>
            <w:tcW w:w="826" w:type="pct"/>
            <w:tcBorders>
              <w:left w:val="nil"/>
              <w:bottom w:val="single" w:color="000000" w:sz="8" w:space="0"/>
              <w:right w:val="nil"/>
            </w:tcBorders>
            <w:vAlign w:val="center"/>
          </w:tcPr>
          <w:p w14:paraId="48DF7A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Median ARD (%)</w:t>
            </w:r>
          </w:p>
        </w:tc>
        <w:tc>
          <w:tcPr>
            <w:tcW w:w="809" w:type="pct"/>
            <w:tcBorders>
              <w:left w:val="nil"/>
              <w:bottom w:val="single" w:color="000000" w:sz="8" w:space="0"/>
              <w:right w:val="nil"/>
            </w:tcBorders>
            <w:vAlign w:val="center"/>
          </w:tcPr>
          <w:p w14:paraId="40641A1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ISO (%)</w:t>
            </w:r>
          </w:p>
        </w:tc>
        <w:tc>
          <w:tcPr>
            <w:tcW w:w="670" w:type="pct"/>
            <w:tcBorders>
              <w:left w:val="nil"/>
              <w:bottom w:val="single" w:color="000000" w:sz="8" w:space="0"/>
              <w:right w:val="nil"/>
            </w:tcBorders>
            <w:vAlign w:val="center"/>
          </w:tcPr>
          <w:p w14:paraId="5B48D13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CLSI (%)</w:t>
            </w:r>
          </w:p>
        </w:tc>
      </w:tr>
      <w:tr w14:paraId="62921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58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57577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Non-sepsis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811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BG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</w:tcBorders>
            <w:vAlign w:val="center"/>
          </w:tcPr>
          <w:p w14:paraId="7D09B7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399</w:t>
            </w:r>
          </w:p>
        </w:tc>
        <w:tc>
          <w:tcPr>
            <w:tcW w:w="838" w:type="pct"/>
            <w:tcBorders>
              <w:top w:val="nil"/>
              <w:bottom w:val="nil"/>
              <w:right w:val="nil"/>
            </w:tcBorders>
            <w:vAlign w:val="center"/>
          </w:tcPr>
          <w:p w14:paraId="78CD183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10.6 (9.7-11.4)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712A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8.2 (7.5-9.0)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389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75.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7 (70.9-79.9)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5992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6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7.9 (63.2-72.4)</w:t>
            </w:r>
          </w:p>
        </w:tc>
      </w:tr>
      <w:tr w14:paraId="0F9FC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587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19E29E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2DA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POC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</w:tcBorders>
            <w:vAlign w:val="center"/>
          </w:tcPr>
          <w:p w14:paraId="0AE697C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333</w:t>
            </w:r>
          </w:p>
        </w:tc>
        <w:tc>
          <w:tcPr>
            <w:tcW w:w="838" w:type="pct"/>
            <w:tcBorders>
              <w:top w:val="nil"/>
              <w:bottom w:val="nil"/>
              <w:right w:val="nil"/>
            </w:tcBorders>
            <w:vAlign w:val="center"/>
          </w:tcPr>
          <w:p w14:paraId="4B5A921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10.1 (9.0-11.1)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3C83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7.9 (7.1-8.8)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589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79.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9 (75.4-84.1)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5B1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73.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3 (68.5-77.8)</w:t>
            </w:r>
          </w:p>
        </w:tc>
      </w:tr>
      <w:tr w14:paraId="4CF4A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58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0DC3B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 xml:space="preserve">Sepsis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540E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BG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</w:tcBorders>
            <w:vAlign w:val="center"/>
          </w:tcPr>
          <w:p w14:paraId="5F277E3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449</w:t>
            </w:r>
          </w:p>
        </w:tc>
        <w:tc>
          <w:tcPr>
            <w:tcW w:w="838" w:type="pct"/>
            <w:tcBorders>
              <w:top w:val="nil"/>
              <w:bottom w:val="nil"/>
              <w:right w:val="nil"/>
            </w:tcBorders>
            <w:vAlign w:val="center"/>
          </w:tcPr>
          <w:p w14:paraId="0921CDF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10.3 (9.4-11.2)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79E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7.6 (6.8-8.4)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FD4F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75.5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 (71.7-79.3)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928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69.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7 (65.3-73.9)</w:t>
            </w:r>
          </w:p>
        </w:tc>
      </w:tr>
      <w:tr w14:paraId="5809D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587" w:type="pct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61D24B7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56BE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POC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</w:tcBorders>
            <w:vAlign w:val="center"/>
          </w:tcPr>
          <w:p w14:paraId="7429FAD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243</w:t>
            </w:r>
          </w:p>
        </w:tc>
        <w:tc>
          <w:tcPr>
            <w:tcW w:w="838" w:type="pct"/>
            <w:tcBorders>
              <w:top w:val="nil"/>
              <w:bottom w:val="nil"/>
              <w:right w:val="nil"/>
            </w:tcBorders>
            <w:vAlign w:val="center"/>
          </w:tcPr>
          <w:p w14:paraId="098946E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9.0 (8.1-9.9)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2C1B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7.5 (6.3-8.4)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F997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81.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9 (77.0-86.4)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E9B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7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5.7 (70.0-81.1)</w:t>
            </w:r>
          </w:p>
        </w:tc>
      </w:tr>
      <w:tr w14:paraId="47F12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8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4C7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Septic Shock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C17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BG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</w:tcBorders>
            <w:vAlign w:val="center"/>
          </w:tcPr>
          <w:p w14:paraId="7CA78C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404</w:t>
            </w:r>
          </w:p>
        </w:tc>
        <w:tc>
          <w:tcPr>
            <w:tcW w:w="838" w:type="pct"/>
            <w:tcBorders>
              <w:top w:val="nil"/>
              <w:bottom w:val="nil"/>
              <w:right w:val="nil"/>
            </w:tcBorders>
            <w:vAlign w:val="center"/>
          </w:tcPr>
          <w:p w14:paraId="42C2A0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12.2 (11.0-13.4)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EF2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8.8 (8.1-10.0)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2E1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72.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5 (68.1-76.5)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D16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63.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9 (59.4-68.3)</w:t>
            </w:r>
          </w:p>
        </w:tc>
      </w:tr>
      <w:tr w14:paraId="21855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87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8E201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1520F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POC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auto" w:sz="4" w:space="0"/>
            </w:tcBorders>
            <w:vAlign w:val="center"/>
          </w:tcPr>
          <w:p w14:paraId="2420EAC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134</w:t>
            </w:r>
          </w:p>
        </w:tc>
        <w:tc>
          <w:tcPr>
            <w:tcW w:w="838" w:type="pct"/>
            <w:tcBorders>
              <w:top w:val="nil"/>
              <w:bottom w:val="single" w:color="auto" w:sz="4" w:space="0"/>
              <w:right w:val="nil"/>
            </w:tcBorders>
            <w:vAlign w:val="center"/>
          </w:tcPr>
          <w:p w14:paraId="1DDC129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9.6 (8.1-11.3)</w:t>
            </w:r>
          </w:p>
        </w:tc>
        <w:tc>
          <w:tcPr>
            <w:tcW w:w="826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EC2D2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7.1 (5.4-9.0)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3160EF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81.3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 (74.6-88.1)</w:t>
            </w:r>
          </w:p>
        </w:tc>
        <w:tc>
          <w:tcPr>
            <w:tcW w:w="67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048522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78.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4 (70.9-85.1)</w:t>
            </w:r>
          </w:p>
        </w:tc>
      </w:tr>
      <w:tr w14:paraId="335AF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56D11AF">
            <w:pPr>
              <w:spacing w:line="480" w:lineRule="auto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Sepsis defined according to Sepsis-3 criteria; Septic shock defined as sepsis with persistent hypotension requiring vasopressors and serum lactate &gt;2 mmol/L despite adequate volume resuscitation.</w:t>
            </w:r>
          </w:p>
          <w:p w14:paraId="7DB43C9D">
            <w:pPr>
              <w:spacing w:line="480" w:lineRule="auto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ISO, ISO 15197:2013 standard; CLSI, CLSI POCT12-A3 standard.</w:t>
            </w:r>
          </w:p>
        </w:tc>
      </w:tr>
    </w:tbl>
    <w:p w14:paraId="5A706D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5" w:beforeLines="100" w:beforeAutospacing="0" w:after="156" w:afterAutospacing="0" w:line="360" w:lineRule="auto"/>
        <w:jc w:val="center"/>
        <w:textAlignment w:val="auto"/>
        <w:rPr>
          <w:rFonts w:hint="default" w:ascii="Arial" w:hAnsi="Arial" w:eastAsia="宋体" w:cs="Arial"/>
          <w:kern w:val="2"/>
          <w:sz w:val="20"/>
          <w:szCs w:val="20"/>
          <w:lang w:val="en-US" w:eastAsia="zh-CN"/>
        </w:rPr>
        <w:sectPr>
          <w:pgSz w:w="16838" w:h="11906" w:orient="landscape"/>
          <w:pgMar w:top="1463" w:right="1440" w:bottom="1463" w:left="1440" w:header="851" w:footer="992" w:gutter="0"/>
          <w:cols w:space="425" w:num="1"/>
          <w:docGrid w:type="lines" w:linePitch="312" w:charSpace="0"/>
        </w:sectPr>
      </w:pPr>
    </w:p>
    <w:tbl>
      <w:tblPr>
        <w:tblStyle w:val="3"/>
        <w:tblW w:w="5083" w:type="pct"/>
        <w:tblInd w:w="-23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2"/>
        <w:gridCol w:w="4239"/>
        <w:gridCol w:w="5138"/>
      </w:tblGrid>
      <w:tr w14:paraId="61B1E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B4D6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5" w:beforeLines="100" w:beforeAutospacing="0" w:after="156" w:afterAutospacing="0" w:line="360" w:lineRule="auto"/>
              <w:jc w:val="center"/>
              <w:textAlignment w:val="auto"/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20"/>
                <w:szCs w:val="20"/>
                <w:lang w:val="en-US" w:eastAsia="zh-CN"/>
              </w:rPr>
              <w:t>Supplementary Table S4. Comparative Analysis of CGM Accuracy Intergroup Differences Based on Sepsis Stratification</w:t>
            </w:r>
          </w:p>
        </w:tc>
      </w:tr>
      <w:tr w14:paraId="2DB8F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746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E1BE80A">
            <w:pPr>
              <w:autoSpaceDE w:val="0"/>
              <w:autoSpaceDN w:val="0"/>
              <w:adjustRightInd w:val="0"/>
              <w:spacing w:beforeAutospacing="0"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Patient Category</w:t>
            </w:r>
          </w:p>
        </w:tc>
        <w:tc>
          <w:tcPr>
            <w:tcW w:w="1471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67B2B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Reference</w:t>
            </w:r>
          </w:p>
        </w:tc>
        <w:tc>
          <w:tcPr>
            <w:tcW w:w="1781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16F1D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95% CI of MARD Difference</w:t>
            </w:r>
          </w:p>
        </w:tc>
      </w:tr>
      <w:tr w14:paraId="536C5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4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759BA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Non-sepsis vs. Sepsis</w:t>
            </w:r>
          </w:p>
        </w:tc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49C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BG</w:t>
            </w:r>
          </w:p>
        </w:tc>
        <w:tc>
          <w:tcPr>
            <w:tcW w:w="1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D8CD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-0.00498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0.01719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)</w:t>
            </w:r>
          </w:p>
        </w:tc>
      </w:tr>
      <w:tr w14:paraId="4C657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746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FEEE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576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POC</w:t>
            </w:r>
          </w:p>
        </w:tc>
        <w:tc>
          <w:tcPr>
            <w:tcW w:w="1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98E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-0.00759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0.01908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)</w:t>
            </w:r>
          </w:p>
        </w:tc>
      </w:tr>
      <w:tr w14:paraId="46AD8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74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09E2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Non-sepsis vs. Septic Shock</w:t>
            </w:r>
          </w:p>
        </w:tc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AA6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BG</w:t>
            </w:r>
          </w:p>
        </w:tc>
        <w:tc>
          <w:tcPr>
            <w:tcW w:w="1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B89D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-0.02104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0.00557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)</w:t>
            </w:r>
          </w:p>
        </w:tc>
      </w:tr>
      <w:tr w14:paraId="3461F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746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F5F3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A5BE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POC</w:t>
            </w:r>
          </w:p>
        </w:tc>
        <w:tc>
          <w:tcPr>
            <w:tcW w:w="1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0D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-0.01117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0.02710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)</w:t>
            </w:r>
          </w:p>
        </w:tc>
      </w:tr>
      <w:tr w14:paraId="35F13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74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33968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Sepsis vs. Septic Shock</w:t>
            </w:r>
          </w:p>
        </w:tc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C376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BG</w:t>
            </w:r>
          </w:p>
        </w:tc>
        <w:tc>
          <w:tcPr>
            <w:tcW w:w="1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B5D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-0.02694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0.00038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)</w:t>
            </w:r>
          </w:p>
        </w:tc>
      </w:tr>
      <w:tr w14:paraId="62C94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746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2FB319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47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07DDCF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POC</w:t>
            </w:r>
          </w:p>
        </w:tc>
        <w:tc>
          <w:tcPr>
            <w:tcW w:w="178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A5ABB7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-0.01560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0.02458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)</w:t>
            </w:r>
          </w:p>
        </w:tc>
      </w:tr>
      <w:tr w14:paraId="1F4B9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8A1B3">
            <w:pPr>
              <w:spacing w:line="480" w:lineRule="auto"/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Data presented as 95% confidence intervals for MARD differences. Statistical significance (P&lt;0.05) was determined when the 95% CI of MARD difference did not include zero.</w:t>
            </w:r>
          </w:p>
        </w:tc>
      </w:tr>
    </w:tbl>
    <w:p w14:paraId="2F039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88" w:lineRule="auto"/>
        <w:jc w:val="left"/>
        <w:textAlignment w:val="auto"/>
        <w:rPr>
          <w:rFonts w:hint="default" w:ascii="Arial" w:hAnsi="Arial" w:cs="Arial"/>
          <w:sz w:val="20"/>
          <w:szCs w:val="20"/>
          <w:lang w:val="en-US" w:eastAsia="zh-CN"/>
        </w:rPr>
        <w:sectPr>
          <w:pgSz w:w="16838" w:h="11906" w:orient="landscape"/>
          <w:pgMar w:top="1463" w:right="1440" w:bottom="1463" w:left="1440" w:header="851" w:footer="992" w:gutter="0"/>
          <w:cols w:space="425" w:num="1"/>
          <w:docGrid w:type="lines" w:linePitch="312" w:charSpace="0"/>
        </w:sectPr>
      </w:pPr>
    </w:p>
    <w:p w14:paraId="696F0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88" w:lineRule="auto"/>
        <w:jc w:val="left"/>
        <w:textAlignment w:val="auto"/>
        <w:rPr>
          <w:rFonts w:hint="default" w:ascii="Arial" w:hAnsi="Arial" w:cs="Arial"/>
          <w:sz w:val="20"/>
          <w:szCs w:val="20"/>
          <w:lang w:val="en-US" w:eastAsia="zh-CN"/>
        </w:rPr>
      </w:pPr>
    </w:p>
    <w:tbl>
      <w:tblPr>
        <w:tblStyle w:val="3"/>
        <w:tblW w:w="5086" w:type="pct"/>
        <w:tblInd w:w="-2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1248"/>
        <w:gridCol w:w="1883"/>
        <w:gridCol w:w="2068"/>
        <w:gridCol w:w="2636"/>
        <w:gridCol w:w="2489"/>
        <w:gridCol w:w="2506"/>
      </w:tblGrid>
      <w:tr w14:paraId="55718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single" w:color="auto" w:sz="4" w:space="0"/>
            </w:tcBorders>
            <w:vAlign w:val="center"/>
          </w:tcPr>
          <w:p w14:paraId="4193FD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5" w:beforeLines="100" w:beforeAutospacing="0" w:after="156" w:afterAutospacing="0" w:line="360" w:lineRule="auto"/>
              <w:jc w:val="center"/>
              <w:textAlignment w:val="auto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b/>
                <w:bCs/>
                <w:sz w:val="20"/>
                <w:szCs w:val="20"/>
                <w:lang w:val="en-US" w:eastAsia="zh-CN"/>
              </w:rPr>
              <w:t>Supplementary Table S5. CGM</w:t>
            </w:r>
            <w:bookmarkStart w:id="0" w:name="_GoBack"/>
            <w:bookmarkEnd w:id="0"/>
            <w:r>
              <w:rPr>
                <w:rFonts w:hint="default" w:ascii="Arial" w:hAnsi="Arial" w:eastAsia="宋体" w:cs="Arial"/>
                <w:b/>
                <w:bCs/>
                <w:sz w:val="20"/>
                <w:szCs w:val="20"/>
                <w:lang w:val="en-US" w:eastAsia="zh-CN"/>
              </w:rPr>
              <w:t xml:space="preserve"> Accuracy by pH and Lactate Levels in Septic Shock Patients</w:t>
            </w:r>
          </w:p>
        </w:tc>
      </w:tr>
      <w:tr w14:paraId="2F432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551" w:type="pct"/>
            <w:tcBorders>
              <w:top w:val="single" w:color="000000" w:sz="8" w:space="0"/>
              <w:left w:val="nil"/>
              <w:bottom w:val="single" w:color="auto" w:sz="4" w:space="0"/>
            </w:tcBorders>
            <w:vAlign w:val="center"/>
          </w:tcPr>
          <w:p w14:paraId="15B062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color="000000" w:sz="8" w:space="0"/>
              <w:bottom w:val="single" w:color="auto" w:sz="4" w:space="0"/>
            </w:tcBorders>
            <w:vAlign w:val="center"/>
          </w:tcPr>
          <w:p w14:paraId="59528B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Range</w:t>
            </w:r>
          </w:p>
        </w:tc>
        <w:tc>
          <w:tcPr>
            <w:tcW w:w="653" w:type="pct"/>
            <w:tcBorders>
              <w:top w:val="single" w:color="000000" w:sz="8" w:space="0"/>
              <w:bottom w:val="single" w:color="auto" w:sz="4" w:space="0"/>
            </w:tcBorders>
            <w:vAlign w:val="center"/>
          </w:tcPr>
          <w:p w14:paraId="6F99821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Paired Samples (n)</w:t>
            </w:r>
          </w:p>
        </w:tc>
        <w:tc>
          <w:tcPr>
            <w:tcW w:w="717" w:type="pct"/>
            <w:tcBorders>
              <w:top w:val="single" w:color="000000" w:sz="8" w:space="0"/>
              <w:bottom w:val="single" w:color="auto" w:sz="4" w:space="0"/>
            </w:tcBorders>
            <w:vAlign w:val="center"/>
          </w:tcPr>
          <w:p w14:paraId="1A4F26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MARD (%)</w:t>
            </w:r>
          </w:p>
        </w:tc>
        <w:tc>
          <w:tcPr>
            <w:tcW w:w="914" w:type="pct"/>
            <w:tcBorders>
              <w:top w:val="single" w:color="000000" w:sz="8" w:space="0"/>
              <w:bottom w:val="single" w:color="auto" w:sz="4" w:space="0"/>
            </w:tcBorders>
            <w:vAlign w:val="center"/>
          </w:tcPr>
          <w:p w14:paraId="19BF91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Median ARD (%)</w:t>
            </w:r>
          </w:p>
        </w:tc>
        <w:tc>
          <w:tcPr>
            <w:tcW w:w="86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A234D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ISO (%)</w:t>
            </w:r>
          </w:p>
        </w:tc>
        <w:tc>
          <w:tcPr>
            <w:tcW w:w="86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0666C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CLSI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(%)</w:t>
            </w:r>
          </w:p>
        </w:tc>
      </w:tr>
      <w:tr w14:paraId="24A06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551" w:type="pct"/>
            <w:vMerge w:val="restart"/>
            <w:tcBorders>
              <w:top w:val="single" w:color="auto" w:sz="4" w:space="0"/>
              <w:left w:val="nil"/>
            </w:tcBorders>
            <w:vAlign w:val="center"/>
          </w:tcPr>
          <w:p w14:paraId="37D87CC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pH level</w:t>
            </w:r>
          </w:p>
        </w:tc>
        <w:tc>
          <w:tcPr>
            <w:tcW w:w="433" w:type="pct"/>
            <w:tcBorders>
              <w:top w:val="single" w:color="auto" w:sz="4" w:space="0"/>
              <w:bottom w:val="nil"/>
            </w:tcBorders>
            <w:vAlign w:val="center"/>
          </w:tcPr>
          <w:p w14:paraId="7EA8C0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&lt;7.3</w:t>
            </w:r>
          </w:p>
        </w:tc>
        <w:tc>
          <w:tcPr>
            <w:tcW w:w="653" w:type="pct"/>
            <w:tcBorders>
              <w:top w:val="single" w:color="auto" w:sz="4" w:space="0"/>
              <w:bottom w:val="nil"/>
            </w:tcBorders>
            <w:noWrap/>
            <w:vAlign w:val="center"/>
          </w:tcPr>
          <w:p w14:paraId="4BB7A9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 xml:space="preserve">22 </w:t>
            </w:r>
          </w:p>
        </w:tc>
        <w:tc>
          <w:tcPr>
            <w:tcW w:w="717" w:type="pct"/>
            <w:tcBorders>
              <w:top w:val="single" w:color="auto" w:sz="4" w:space="0"/>
              <w:bottom w:val="nil"/>
            </w:tcBorders>
            <w:noWrap/>
            <w:vAlign w:val="center"/>
          </w:tcPr>
          <w:p w14:paraId="65D036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19.3 (8.7-36.1)</w:t>
            </w:r>
          </w:p>
        </w:tc>
        <w:tc>
          <w:tcPr>
            <w:tcW w:w="914" w:type="pct"/>
            <w:tcBorders>
              <w:top w:val="single" w:color="auto" w:sz="4" w:space="0"/>
              <w:bottom w:val="nil"/>
            </w:tcBorders>
            <w:noWrap/>
            <w:vAlign w:val="center"/>
          </w:tcPr>
          <w:p w14:paraId="243381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9.3 (4.8-14.9)</w:t>
            </w:r>
          </w:p>
        </w:tc>
        <w:tc>
          <w:tcPr>
            <w:tcW w:w="863" w:type="pct"/>
            <w:tcBorders>
              <w:top w:val="single" w:color="auto" w:sz="4" w:space="0"/>
            </w:tcBorders>
            <w:noWrap/>
            <w:vAlign w:val="center"/>
          </w:tcPr>
          <w:p w14:paraId="704465E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72.7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 (54.5-90.9)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66" w:type="pct"/>
            <w:tcBorders>
              <w:top w:val="single" w:color="auto" w:sz="4" w:space="0"/>
            </w:tcBorders>
            <w:noWrap/>
            <w:vAlign w:val="center"/>
          </w:tcPr>
          <w:p w14:paraId="632D5A0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59.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1 (36.4-77.3)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 xml:space="preserve">  </w:t>
            </w:r>
          </w:p>
        </w:tc>
      </w:tr>
      <w:tr w14:paraId="74A03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551" w:type="pct"/>
            <w:vMerge w:val="continue"/>
            <w:tcBorders>
              <w:left w:val="nil"/>
            </w:tcBorders>
            <w:vAlign w:val="center"/>
          </w:tcPr>
          <w:p w14:paraId="506D7C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7E5AD5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7.3-7.5</w:t>
            </w:r>
          </w:p>
        </w:tc>
        <w:tc>
          <w:tcPr>
            <w:tcW w:w="653" w:type="pct"/>
            <w:tcBorders>
              <w:top w:val="nil"/>
              <w:bottom w:val="nil"/>
            </w:tcBorders>
            <w:noWrap/>
            <w:vAlign w:val="center"/>
          </w:tcPr>
          <w:p w14:paraId="327836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 xml:space="preserve">337 </w:t>
            </w:r>
          </w:p>
        </w:tc>
        <w:tc>
          <w:tcPr>
            <w:tcW w:w="717" w:type="pct"/>
            <w:tcBorders>
              <w:top w:val="nil"/>
              <w:bottom w:val="nil"/>
            </w:tcBorders>
            <w:noWrap/>
            <w:vAlign w:val="center"/>
          </w:tcPr>
          <w:p w14:paraId="56A8D8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12.0 (11.0-13.0)</w:t>
            </w:r>
          </w:p>
        </w:tc>
        <w:tc>
          <w:tcPr>
            <w:tcW w:w="914" w:type="pct"/>
            <w:tcBorders>
              <w:top w:val="nil"/>
              <w:bottom w:val="nil"/>
            </w:tcBorders>
            <w:noWrap/>
            <w:vAlign w:val="center"/>
          </w:tcPr>
          <w:p w14:paraId="6DB1C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8.8 (8.1-10.1)</w:t>
            </w:r>
          </w:p>
        </w:tc>
        <w:tc>
          <w:tcPr>
            <w:tcW w:w="863" w:type="pct"/>
            <w:noWrap/>
            <w:vAlign w:val="center"/>
          </w:tcPr>
          <w:p w14:paraId="7464F77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71.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5 (66.5-76.3)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866" w:type="pct"/>
            <w:noWrap/>
            <w:vAlign w:val="center"/>
          </w:tcPr>
          <w:p w14:paraId="2323CE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62.9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 (57.6-68.2)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 xml:space="preserve">  </w:t>
            </w:r>
          </w:p>
        </w:tc>
      </w:tr>
      <w:tr w14:paraId="23ABE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551" w:type="pct"/>
            <w:vMerge w:val="continue"/>
            <w:tcBorders>
              <w:left w:val="nil"/>
            </w:tcBorders>
            <w:vAlign w:val="center"/>
          </w:tcPr>
          <w:p w14:paraId="764DC10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4C951C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&gt;7.5</w:t>
            </w:r>
          </w:p>
        </w:tc>
        <w:tc>
          <w:tcPr>
            <w:tcW w:w="653" w:type="pct"/>
            <w:tcBorders>
              <w:top w:val="nil"/>
              <w:bottom w:val="nil"/>
            </w:tcBorders>
            <w:noWrap/>
            <w:vAlign w:val="center"/>
          </w:tcPr>
          <w:p w14:paraId="21F71E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 xml:space="preserve">45 </w:t>
            </w:r>
          </w:p>
        </w:tc>
        <w:tc>
          <w:tcPr>
            <w:tcW w:w="717" w:type="pct"/>
            <w:tcBorders>
              <w:top w:val="nil"/>
              <w:bottom w:val="nil"/>
            </w:tcBorders>
            <w:noWrap/>
            <w:vAlign w:val="center"/>
          </w:tcPr>
          <w:p w14:paraId="4E9F8DE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10.3 (7.9-12.8)</w:t>
            </w:r>
          </w:p>
        </w:tc>
        <w:tc>
          <w:tcPr>
            <w:tcW w:w="914" w:type="pct"/>
            <w:tcBorders>
              <w:top w:val="nil"/>
              <w:bottom w:val="nil"/>
            </w:tcBorders>
            <w:noWrap/>
            <w:vAlign w:val="center"/>
          </w:tcPr>
          <w:p w14:paraId="23D87A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9.1 (7.2-10.8)</w:t>
            </w:r>
          </w:p>
        </w:tc>
        <w:tc>
          <w:tcPr>
            <w:tcW w:w="863" w:type="pct"/>
            <w:noWrap/>
            <w:vAlign w:val="center"/>
          </w:tcPr>
          <w:p w14:paraId="527EFD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80.0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 (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66.7–91.1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)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866" w:type="pct"/>
            <w:noWrap/>
            <w:vAlign w:val="center"/>
          </w:tcPr>
          <w:p w14:paraId="38C0537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73.3 (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60.0–84.5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)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 xml:space="preserve">  </w:t>
            </w:r>
          </w:p>
        </w:tc>
      </w:tr>
      <w:tr w14:paraId="1A352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551" w:type="pct"/>
            <w:vMerge w:val="restart"/>
            <w:tcBorders>
              <w:left w:val="nil"/>
            </w:tcBorders>
            <w:vAlign w:val="center"/>
          </w:tcPr>
          <w:p w14:paraId="540E93C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 xml:space="preserve"> Lactate level</w:t>
            </w:r>
          </w:p>
          <w:p w14:paraId="11BCA84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mmol/L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05F328F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 xml:space="preserve">≤ 2 </w:t>
            </w:r>
          </w:p>
        </w:tc>
        <w:tc>
          <w:tcPr>
            <w:tcW w:w="653" w:type="pct"/>
            <w:tcBorders>
              <w:top w:val="nil"/>
              <w:bottom w:val="nil"/>
            </w:tcBorders>
            <w:noWrap/>
            <w:vAlign w:val="center"/>
          </w:tcPr>
          <w:p w14:paraId="53FED6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251</w:t>
            </w:r>
          </w:p>
        </w:tc>
        <w:tc>
          <w:tcPr>
            <w:tcW w:w="717" w:type="pct"/>
            <w:tcBorders>
              <w:top w:val="nil"/>
              <w:bottom w:val="nil"/>
            </w:tcBorders>
            <w:noWrap/>
            <w:vAlign w:val="center"/>
          </w:tcPr>
          <w:p w14:paraId="5E93566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11.6 (10.4-12.9)</w:t>
            </w:r>
          </w:p>
        </w:tc>
        <w:tc>
          <w:tcPr>
            <w:tcW w:w="914" w:type="pct"/>
            <w:tcBorders>
              <w:top w:val="nil"/>
              <w:bottom w:val="nil"/>
            </w:tcBorders>
            <w:noWrap/>
            <w:vAlign w:val="center"/>
          </w:tcPr>
          <w:p w14:paraId="44B51AA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8.8 (7.7-9.8)</w:t>
            </w:r>
          </w:p>
        </w:tc>
        <w:tc>
          <w:tcPr>
            <w:tcW w:w="863" w:type="pct"/>
            <w:noWrap/>
            <w:vAlign w:val="center"/>
          </w:tcPr>
          <w:p w14:paraId="56D2A3F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73.7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 (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67.7–78.9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)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866" w:type="pct"/>
            <w:noWrap/>
            <w:vAlign w:val="center"/>
          </w:tcPr>
          <w:p w14:paraId="09DD2FF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64.9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 (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58.6–70.9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)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 xml:space="preserve">  </w:t>
            </w:r>
          </w:p>
        </w:tc>
      </w:tr>
      <w:tr w14:paraId="7ACE6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551" w:type="pct"/>
            <w:vMerge w:val="continue"/>
            <w:tcBorders>
              <w:left w:val="nil"/>
            </w:tcBorders>
            <w:vAlign w:val="center"/>
          </w:tcPr>
          <w:p w14:paraId="7E0BA3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05472E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 xml:space="preserve">2-4 </w:t>
            </w:r>
          </w:p>
        </w:tc>
        <w:tc>
          <w:tcPr>
            <w:tcW w:w="653" w:type="pct"/>
            <w:tcBorders>
              <w:top w:val="nil"/>
              <w:bottom w:val="nil"/>
            </w:tcBorders>
            <w:noWrap/>
            <w:vAlign w:val="center"/>
          </w:tcPr>
          <w:p w14:paraId="04680CB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717" w:type="pct"/>
            <w:tcBorders>
              <w:top w:val="nil"/>
              <w:bottom w:val="nil"/>
            </w:tcBorders>
            <w:noWrap/>
            <w:vAlign w:val="center"/>
          </w:tcPr>
          <w:p w14:paraId="1E5ED04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10.9 (9.3-12.4)</w:t>
            </w:r>
          </w:p>
        </w:tc>
        <w:tc>
          <w:tcPr>
            <w:tcW w:w="914" w:type="pct"/>
            <w:tcBorders>
              <w:top w:val="nil"/>
              <w:bottom w:val="nil"/>
            </w:tcBorders>
            <w:noWrap/>
            <w:vAlign w:val="center"/>
          </w:tcPr>
          <w:p w14:paraId="3250C9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9.1 (7.4-11.4)</w:t>
            </w:r>
          </w:p>
        </w:tc>
        <w:tc>
          <w:tcPr>
            <w:tcW w:w="863" w:type="pct"/>
            <w:noWrap/>
            <w:vAlign w:val="center"/>
          </w:tcPr>
          <w:p w14:paraId="243756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76.0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 (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67.0–85.0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)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866" w:type="pct"/>
            <w:noWrap/>
            <w:vAlign w:val="center"/>
          </w:tcPr>
          <w:p w14:paraId="0A0B9A4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67.0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 (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57.0–76.0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)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 xml:space="preserve">  </w:t>
            </w:r>
          </w:p>
        </w:tc>
      </w:tr>
      <w:tr w14:paraId="1480F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551" w:type="pct"/>
            <w:vMerge w:val="continue"/>
            <w:tcBorders>
              <w:left w:val="nil"/>
            </w:tcBorders>
            <w:vAlign w:val="center"/>
          </w:tcPr>
          <w:p w14:paraId="575A49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2B47615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4-8</w:t>
            </w:r>
          </w:p>
        </w:tc>
        <w:tc>
          <w:tcPr>
            <w:tcW w:w="653" w:type="pct"/>
            <w:tcBorders>
              <w:top w:val="nil"/>
              <w:bottom w:val="nil"/>
            </w:tcBorders>
            <w:noWrap/>
            <w:vAlign w:val="center"/>
          </w:tcPr>
          <w:p w14:paraId="4EFC76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39</w:t>
            </w:r>
          </w:p>
        </w:tc>
        <w:tc>
          <w:tcPr>
            <w:tcW w:w="717" w:type="pct"/>
            <w:tcBorders>
              <w:top w:val="nil"/>
              <w:bottom w:val="nil"/>
            </w:tcBorders>
            <w:noWrap/>
            <w:vAlign w:val="center"/>
          </w:tcPr>
          <w:p w14:paraId="1DFD0E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12.0 (8.9-15.2)</w:t>
            </w:r>
          </w:p>
        </w:tc>
        <w:tc>
          <w:tcPr>
            <w:tcW w:w="914" w:type="pct"/>
            <w:tcBorders>
              <w:top w:val="nil"/>
              <w:bottom w:val="nil"/>
            </w:tcBorders>
            <w:noWrap/>
            <w:vAlign w:val="center"/>
          </w:tcPr>
          <w:p w14:paraId="64BAAA8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9.9 (6.4-14.9)</w:t>
            </w:r>
          </w:p>
        </w:tc>
        <w:tc>
          <w:tcPr>
            <w:tcW w:w="863" w:type="pct"/>
            <w:noWrap/>
            <w:vAlign w:val="center"/>
          </w:tcPr>
          <w:p w14:paraId="22509E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69.2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 (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53.8–82.1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)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866" w:type="pct"/>
            <w:noWrap/>
            <w:vAlign w:val="center"/>
          </w:tcPr>
          <w:p w14:paraId="01D79E2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56.4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 (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41.0–71.8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)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 xml:space="preserve">  </w:t>
            </w:r>
          </w:p>
        </w:tc>
      </w:tr>
      <w:tr w14:paraId="0F528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551" w:type="pct"/>
            <w:vMerge w:val="continue"/>
            <w:tcBorders>
              <w:left w:val="nil"/>
              <w:bottom w:val="single" w:color="auto" w:sz="4" w:space="0"/>
            </w:tcBorders>
            <w:vAlign w:val="center"/>
          </w:tcPr>
          <w:p w14:paraId="5FDEF5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bottom w:val="single" w:color="auto" w:sz="4" w:space="0"/>
            </w:tcBorders>
            <w:vAlign w:val="center"/>
          </w:tcPr>
          <w:p w14:paraId="4F5C222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&gt; 8</w:t>
            </w:r>
          </w:p>
        </w:tc>
        <w:tc>
          <w:tcPr>
            <w:tcW w:w="653" w:type="pct"/>
            <w:tcBorders>
              <w:top w:val="nil"/>
              <w:bottom w:val="single" w:color="auto" w:sz="4" w:space="0"/>
            </w:tcBorders>
            <w:noWrap/>
            <w:vAlign w:val="center"/>
          </w:tcPr>
          <w:p w14:paraId="6C5E98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14</w:t>
            </w:r>
          </w:p>
        </w:tc>
        <w:tc>
          <w:tcPr>
            <w:tcW w:w="717" w:type="pct"/>
            <w:tcBorders>
              <w:top w:val="nil"/>
              <w:bottom w:val="single" w:color="auto" w:sz="4" w:space="0"/>
            </w:tcBorders>
            <w:noWrap/>
            <w:vAlign w:val="center"/>
          </w:tcPr>
          <w:p w14:paraId="26CBAD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32.9 (16.3-57.1)</w:t>
            </w:r>
          </w:p>
        </w:tc>
        <w:tc>
          <w:tcPr>
            <w:tcW w:w="914" w:type="pct"/>
            <w:tcBorders>
              <w:top w:val="nil"/>
              <w:bottom w:val="single" w:color="auto" w:sz="4" w:space="0"/>
            </w:tcBorders>
            <w:noWrap/>
            <w:vAlign w:val="center"/>
          </w:tcPr>
          <w:p w14:paraId="02DEEF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23.8 (8.1-37.1)</w:t>
            </w:r>
          </w:p>
        </w:tc>
        <w:tc>
          <w:tcPr>
            <w:tcW w:w="863" w:type="pct"/>
            <w:tcBorders>
              <w:bottom w:val="single" w:color="auto" w:sz="4" w:space="0"/>
            </w:tcBorders>
            <w:noWrap/>
            <w:vAlign w:val="center"/>
          </w:tcPr>
          <w:p w14:paraId="2A2CA9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42.8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 (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21.3–71.4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)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866" w:type="pct"/>
            <w:tcBorders>
              <w:bottom w:val="single" w:color="auto" w:sz="4" w:space="0"/>
            </w:tcBorders>
            <w:noWrap/>
            <w:vAlign w:val="center"/>
          </w:tcPr>
          <w:p w14:paraId="008058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42.8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 (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21.3–71.4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)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 xml:space="preserve">  </w:t>
            </w:r>
          </w:p>
        </w:tc>
      </w:tr>
      <w:tr w14:paraId="42DB1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nil"/>
              <w:bottom w:val="nil"/>
            </w:tcBorders>
            <w:vAlign w:val="center"/>
          </w:tcPr>
          <w:p w14:paraId="1A58F0A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 xml:space="preserve">pH and lactate levels obtained from arterial blood gas measurements. </w:t>
            </w:r>
          </w:p>
        </w:tc>
      </w:tr>
    </w:tbl>
    <w:p w14:paraId="0D114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88" w:lineRule="auto"/>
        <w:jc w:val="left"/>
        <w:textAlignment w:val="auto"/>
        <w:rPr>
          <w:rFonts w:hint="default" w:ascii="Arial" w:hAnsi="Arial" w:cs="Arial"/>
          <w:sz w:val="20"/>
          <w:szCs w:val="20"/>
          <w:lang w:val="en-US" w:eastAsia="zh-CN"/>
        </w:rPr>
        <w:sectPr>
          <w:pgSz w:w="16838" w:h="11906" w:orient="landscape"/>
          <w:pgMar w:top="1463" w:right="1440" w:bottom="1463" w:left="1440" w:header="851" w:footer="992" w:gutter="0"/>
          <w:cols w:space="425" w:num="1"/>
          <w:docGrid w:type="lines" w:linePitch="312" w:charSpace="0"/>
        </w:sectPr>
      </w:pPr>
    </w:p>
    <w:p w14:paraId="6B2F0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88" w:lineRule="auto"/>
        <w:jc w:val="left"/>
        <w:textAlignment w:val="auto"/>
        <w:rPr>
          <w:rFonts w:hint="default" w:ascii="Arial" w:hAnsi="Arial" w:cs="Arial"/>
          <w:sz w:val="20"/>
          <w:szCs w:val="20"/>
          <w:lang w:val="en-US" w:eastAsia="zh-CN"/>
        </w:rPr>
      </w:pPr>
    </w:p>
    <w:tbl>
      <w:tblPr>
        <w:tblStyle w:val="3"/>
        <w:tblW w:w="5079" w:type="pct"/>
        <w:tblInd w:w="-18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5"/>
        <w:gridCol w:w="7663"/>
      </w:tblGrid>
      <w:tr w14:paraId="622FB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000" w:type="pct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B41B401">
            <w:pPr>
              <w:pStyle w:val="7"/>
              <w:spacing w:before="315" w:beforeLines="100" w:beforeAutospacing="0" w:afterAutospacing="0"/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kern w:val="2"/>
                <w:sz w:val="20"/>
                <w:szCs w:val="20"/>
                <w:lang w:val="en-US" w:eastAsia="zh-CN" w:bidi="ar-SA"/>
              </w:rPr>
              <w:t>Supplementary Table S6. Comparison of CGM Accuracy (MARD) Between pH Level Groups</w:t>
            </w:r>
          </w:p>
        </w:tc>
      </w:tr>
      <w:tr w14:paraId="130DE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33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1256DD7">
            <w:pPr>
              <w:autoSpaceDE w:val="0"/>
              <w:autoSpaceDN w:val="0"/>
              <w:adjustRightInd w:val="0"/>
              <w:spacing w:beforeAutospacing="0"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pH level</w:t>
            </w:r>
          </w:p>
        </w:tc>
        <w:tc>
          <w:tcPr>
            <w:tcW w:w="266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4C6B0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95% CI of MARD Difference</w:t>
            </w:r>
          </w:p>
        </w:tc>
      </w:tr>
      <w:tr w14:paraId="744C8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33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2DD292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7.3-7.5 vs. &gt;7.5</w:t>
            </w:r>
          </w:p>
        </w:tc>
        <w:tc>
          <w:tcPr>
            <w:tcW w:w="266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B8310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-0.01993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0.01880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)</w:t>
            </w:r>
          </w:p>
        </w:tc>
      </w:tr>
      <w:tr w14:paraId="3DF08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000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9F2C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Data presented as 95% confidence interval for MARD difference. Statistical significance (P&lt;0.05) was determined when the 95% CI of MARD difference did not include zero.</w:t>
            </w:r>
          </w:p>
        </w:tc>
      </w:tr>
    </w:tbl>
    <w:p w14:paraId="0FC9C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939" w:afterLines="301" w:afterAutospacing="0" w:line="288" w:lineRule="auto"/>
        <w:jc w:val="left"/>
        <w:textAlignment w:val="auto"/>
        <w:rPr>
          <w:rFonts w:hint="default" w:ascii="Arial" w:hAnsi="Arial" w:cs="Arial"/>
          <w:sz w:val="20"/>
          <w:szCs w:val="20"/>
          <w:lang w:val="en-US" w:eastAsia="zh-CN"/>
        </w:rPr>
        <w:sectPr>
          <w:pgSz w:w="16838" w:h="11906" w:orient="landscape"/>
          <w:pgMar w:top="1463" w:right="1440" w:bottom="1463" w:left="1440" w:header="851" w:footer="992" w:gutter="0"/>
          <w:cols w:space="425" w:num="1"/>
          <w:docGrid w:type="lines" w:linePitch="312" w:charSpace="0"/>
        </w:sectPr>
      </w:pPr>
    </w:p>
    <w:p w14:paraId="0E23A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939" w:afterLines="301" w:afterAutospacing="0" w:line="288" w:lineRule="auto"/>
        <w:jc w:val="left"/>
        <w:textAlignment w:val="auto"/>
        <w:rPr>
          <w:rFonts w:hint="default" w:ascii="Arial" w:hAnsi="Arial" w:cs="Arial"/>
          <w:sz w:val="20"/>
          <w:szCs w:val="20"/>
          <w:lang w:val="en-US" w:eastAsia="zh-CN"/>
        </w:rPr>
      </w:pPr>
    </w:p>
    <w:tbl>
      <w:tblPr>
        <w:tblStyle w:val="3"/>
        <w:tblW w:w="4978" w:type="pct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5"/>
        <w:gridCol w:w="7677"/>
      </w:tblGrid>
      <w:tr w14:paraId="0D5D3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00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0D23D2F">
            <w:pPr>
              <w:pStyle w:val="7"/>
              <w:spacing w:beforeAutospacing="0" w:afterAutospacing="0"/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kern w:val="2"/>
                <w:sz w:val="20"/>
                <w:szCs w:val="20"/>
                <w:lang w:val="en-US" w:eastAsia="zh-CN" w:bidi="ar-SA"/>
              </w:rPr>
              <w:t>Supplementary Table S7. Pairwise Comparison of CGM Accuracy (MARD) Across Lactate Level Groups</w:t>
            </w:r>
          </w:p>
        </w:tc>
      </w:tr>
      <w:tr w14:paraId="7F669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280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789A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L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ac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tate level</w:t>
            </w:r>
          </w:p>
        </w:tc>
        <w:tc>
          <w:tcPr>
            <w:tcW w:w="2719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883BD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95% CI of MARD Difference</w:t>
            </w:r>
          </w:p>
        </w:tc>
      </w:tr>
      <w:tr w14:paraId="3F184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28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4B4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≤2mmol/L vs. 2-4mmol/L</w:t>
            </w:r>
          </w:p>
        </w:tc>
        <w:tc>
          <w:tcPr>
            <w:tcW w:w="271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9551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-0.02886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0.01787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)</w:t>
            </w:r>
          </w:p>
        </w:tc>
      </w:tr>
      <w:tr w14:paraId="4C2B0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DF0E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≤2mmol/L vs. 4-8mmol/L</w:t>
            </w:r>
          </w:p>
        </w:tc>
        <w:tc>
          <w:tcPr>
            <w:tcW w:w="2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316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-0.06618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0.01933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)</w:t>
            </w:r>
          </w:p>
        </w:tc>
      </w:tr>
      <w:tr w14:paraId="7CC51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2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D9939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/>
                <w:kern w:val="0"/>
                <w:sz w:val="20"/>
                <w:szCs w:val="20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2-4mmol/L vs. 4-8mmol/L</w:t>
            </w:r>
          </w:p>
        </w:tc>
        <w:tc>
          <w:tcPr>
            <w:tcW w:w="271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6C27CE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Arial" w:hAnsi="Arial" w:cs="Arial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-0.06584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Arial" w:hAnsi="Arial" w:cs="Arial"/>
                <w:kern w:val="0"/>
                <w:sz w:val="20"/>
                <w:szCs w:val="20"/>
              </w:rPr>
              <w:t>0.03269</w:t>
            </w:r>
            <w:r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  <w:t>)</w:t>
            </w:r>
          </w:p>
        </w:tc>
      </w:tr>
      <w:tr w14:paraId="7F541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000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D3FF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Arial" w:hAnsi="Arial" w:cs="Arial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Data presented as 95% confidence intervals for MARD difference. Statistical significance (P&lt;0.05) was determined when the 95% CI of MARD difference did not include zero.</w:t>
            </w:r>
          </w:p>
        </w:tc>
      </w:tr>
    </w:tbl>
    <w:p w14:paraId="10A02146">
      <w:pPr>
        <w:spacing w:beforeAutospacing="0"/>
        <w:rPr>
          <w:rFonts w:hint="default" w:ascii="Arial" w:hAnsi="Arial" w:cs="Arial"/>
          <w:sz w:val="20"/>
          <w:szCs w:val="20"/>
        </w:rPr>
      </w:pPr>
    </w:p>
    <w:sectPr>
      <w:pgSz w:w="16838" w:h="11906" w:orient="landscape"/>
      <w:pgMar w:top="1463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YWFjMWE2ZjRhN2FkZDg2MzkyNWQzYmRlNzQ4MTIifQ=="/>
  </w:docVars>
  <w:rsids>
    <w:rsidRoot w:val="04727A30"/>
    <w:rsid w:val="00D933B0"/>
    <w:rsid w:val="03224A15"/>
    <w:rsid w:val="04727A30"/>
    <w:rsid w:val="06D31098"/>
    <w:rsid w:val="07630750"/>
    <w:rsid w:val="082E5202"/>
    <w:rsid w:val="096C3E5C"/>
    <w:rsid w:val="099E1F14"/>
    <w:rsid w:val="09B90AFC"/>
    <w:rsid w:val="0AEC4F01"/>
    <w:rsid w:val="0D903663"/>
    <w:rsid w:val="0D984ECC"/>
    <w:rsid w:val="0E4D215A"/>
    <w:rsid w:val="0FBF1CE2"/>
    <w:rsid w:val="124C4D16"/>
    <w:rsid w:val="12665150"/>
    <w:rsid w:val="12A6008B"/>
    <w:rsid w:val="130059ED"/>
    <w:rsid w:val="146A1B01"/>
    <w:rsid w:val="15F46218"/>
    <w:rsid w:val="170136FD"/>
    <w:rsid w:val="17935CA0"/>
    <w:rsid w:val="1A045DC3"/>
    <w:rsid w:val="1AAB623F"/>
    <w:rsid w:val="1B0B2CEB"/>
    <w:rsid w:val="1D352654"/>
    <w:rsid w:val="20D222D9"/>
    <w:rsid w:val="211F1734"/>
    <w:rsid w:val="25313A46"/>
    <w:rsid w:val="256B13EC"/>
    <w:rsid w:val="27893DAB"/>
    <w:rsid w:val="290731DA"/>
    <w:rsid w:val="296F5223"/>
    <w:rsid w:val="2B832868"/>
    <w:rsid w:val="2CEF2903"/>
    <w:rsid w:val="30D20571"/>
    <w:rsid w:val="314E571E"/>
    <w:rsid w:val="32B75C71"/>
    <w:rsid w:val="33246036"/>
    <w:rsid w:val="33570D5C"/>
    <w:rsid w:val="3592207D"/>
    <w:rsid w:val="364F61C0"/>
    <w:rsid w:val="36F079A3"/>
    <w:rsid w:val="37D50947"/>
    <w:rsid w:val="395D3705"/>
    <w:rsid w:val="39B051C8"/>
    <w:rsid w:val="3CE27C2E"/>
    <w:rsid w:val="3D94095C"/>
    <w:rsid w:val="40B01F51"/>
    <w:rsid w:val="41994793"/>
    <w:rsid w:val="41CC2DBB"/>
    <w:rsid w:val="424D73D5"/>
    <w:rsid w:val="42C469A9"/>
    <w:rsid w:val="4361391A"/>
    <w:rsid w:val="4508235C"/>
    <w:rsid w:val="451F76A5"/>
    <w:rsid w:val="459434FE"/>
    <w:rsid w:val="46C92000"/>
    <w:rsid w:val="46C9205A"/>
    <w:rsid w:val="476B18BE"/>
    <w:rsid w:val="47D429C9"/>
    <w:rsid w:val="47E66258"/>
    <w:rsid w:val="480A0199"/>
    <w:rsid w:val="4A2B43F6"/>
    <w:rsid w:val="4A914BA1"/>
    <w:rsid w:val="4AF13892"/>
    <w:rsid w:val="4B1E4B4A"/>
    <w:rsid w:val="4C5E4F57"/>
    <w:rsid w:val="4C7E73A7"/>
    <w:rsid w:val="4F3F2E1E"/>
    <w:rsid w:val="50AA42C7"/>
    <w:rsid w:val="50D852D8"/>
    <w:rsid w:val="582232DD"/>
    <w:rsid w:val="59590F80"/>
    <w:rsid w:val="598C4EB2"/>
    <w:rsid w:val="5A4A08C9"/>
    <w:rsid w:val="5C461EDE"/>
    <w:rsid w:val="5DC01FF9"/>
    <w:rsid w:val="5DDF739F"/>
    <w:rsid w:val="60B60A66"/>
    <w:rsid w:val="611F03B9"/>
    <w:rsid w:val="62143C96"/>
    <w:rsid w:val="63390858"/>
    <w:rsid w:val="637A5D7B"/>
    <w:rsid w:val="653D3504"/>
    <w:rsid w:val="65D73958"/>
    <w:rsid w:val="67386679"/>
    <w:rsid w:val="6773145F"/>
    <w:rsid w:val="678E6299"/>
    <w:rsid w:val="67CE0D8B"/>
    <w:rsid w:val="68D0468F"/>
    <w:rsid w:val="698E0363"/>
    <w:rsid w:val="6A2B6021"/>
    <w:rsid w:val="6A4610AD"/>
    <w:rsid w:val="6AB96DFC"/>
    <w:rsid w:val="6C9C6D62"/>
    <w:rsid w:val="6DF55BB8"/>
    <w:rsid w:val="6FF60E7F"/>
    <w:rsid w:val="6FF64489"/>
    <w:rsid w:val="73050544"/>
    <w:rsid w:val="74F84B50"/>
    <w:rsid w:val="76B47FD2"/>
    <w:rsid w:val="77640DC4"/>
    <w:rsid w:val="79876FEC"/>
    <w:rsid w:val="7B1E45D9"/>
    <w:rsid w:val="7B310FBD"/>
    <w:rsid w:val="7C684EB3"/>
    <w:rsid w:val="7CBA4FE2"/>
    <w:rsid w:val="7DF41BA1"/>
    <w:rsid w:val="7F93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表注"/>
    <w:basedOn w:val="1"/>
    <w:qFormat/>
    <w:uiPriority w:val="0"/>
    <w:pPr>
      <w:adjustRightInd w:val="0"/>
      <w:snapToGrid w:val="0"/>
      <w:spacing w:line="360" w:lineRule="auto"/>
      <w:jc w:val="center"/>
    </w:pPr>
    <w:rPr>
      <w:kern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526</Words>
  <Characters>3143</Characters>
  <Lines>0</Lines>
  <Paragraphs>0</Paragraphs>
  <TotalTime>0</TotalTime>
  <ScaleCrop>false</ScaleCrop>
  <LinksUpToDate>false</LinksUpToDate>
  <CharactersWithSpaces>3528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2025-08-11T06:41:00Z</dcterms:created>
  <dc:creator>SHERLOCK</dc:creator>
  <cp:lastModifiedBy>SHERLOCK</cp:lastModifiedBy>
  <dcterms:modified xsi:type="dcterms:W3CDTF">2026-06-27T07:16:30Z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0B21EFEB8D24487FB9369311A45D7ECF_13</vt:lpwstr>
  </property>
  <property fmtid="{D5CDD505-2E9C-101B-9397-08002B2CF9AE}" pid="4" name="KSOTemplateDocerSaveRecord">
    <vt:lpwstr>eyJoZGlkIjoiNjljYWFjMWE2ZjRhN2FkZDg2MzkyNWQzYmRlNzQ4MTIiLCJ1c2VySWQiOiIzMjA0MzY2ODcifQ==</vt:lpwstr>
  </property>
</Properties>
</file>