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F5FC885" wp14:paraId="472E8FFF" wp14:textId="10287B2C">
      <w:pPr>
        <w:pStyle w:val="Normal"/>
        <w:rPr>
          <w:rFonts w:ascii="Times New Roman" w:hAnsi="Times New Roman" w:eastAsia="Times New Roman" w:cs="Times New Roman"/>
          <w:b w:val="1"/>
          <w:bCs w:val="1"/>
        </w:rPr>
      </w:pPr>
      <w:r w:rsidRPr="7F5FC885" w:rsidR="7F5FC885">
        <w:rPr>
          <w:rFonts w:ascii="Times New Roman" w:hAnsi="Times New Roman" w:eastAsia="Times New Roman" w:cs="Times New Roman"/>
          <w:b w:val="1"/>
          <w:bCs w:val="1"/>
        </w:rPr>
        <w:t>Table</w:t>
      </w:r>
      <w:r w:rsidRPr="7F5FC885" w:rsidR="7F5FC885">
        <w:rPr>
          <w:rFonts w:ascii="Times New Roman" w:hAnsi="Times New Roman" w:eastAsia="Times New Roman" w:cs="Times New Roman"/>
          <w:b w:val="1"/>
          <w:bCs w:val="1"/>
        </w:rPr>
        <w:t xml:space="preserve"> S1</w:t>
      </w:r>
    </w:p>
    <w:p xmlns:wp14="http://schemas.microsoft.com/office/word/2010/wordml" w:rsidP="765DE0FA" wp14:paraId="1E207724" wp14:textId="6CAB4637">
      <w:pPr>
        <w:pStyle w:val="Normal"/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</w:pPr>
      <w:r w:rsidRPr="3EEC726C" w:rsidR="3EEC726C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Approaches in </w:t>
      </w:r>
      <w:r w:rsidRPr="3EEC726C" w:rsidR="3EEC726C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the</w:t>
      </w:r>
      <w:r w:rsidRPr="3EEC726C" w:rsidR="3EEC726C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 </w:t>
      </w:r>
      <w:r w:rsidRPr="3EEC726C" w:rsidR="3EEC726C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bundle</w:t>
      </w:r>
      <w:r w:rsidRPr="3EEC726C" w:rsidR="3EEC726C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: </w:t>
      </w:r>
      <w:r w:rsidRPr="3EEC726C" w:rsidR="3EEC726C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contributions</w:t>
      </w:r>
      <w:r w:rsidRPr="3EEC726C" w:rsidR="3EEC726C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 </w:t>
      </w:r>
      <w:r w:rsidRPr="3EEC726C" w:rsidR="3EEC726C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and</w:t>
      </w:r>
      <w:r w:rsidRPr="3EEC726C" w:rsidR="3EEC726C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 </w:t>
      </w:r>
      <w:r w:rsidRPr="3EEC726C" w:rsidR="3EEC726C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limitations</w:t>
      </w:r>
    </w:p>
    <w:p w:rsidR="27495023" w:rsidP="765DE0FA" w:rsidRDefault="27495023" w14:paraId="6AB0A43C" w14:textId="60205536">
      <w:pPr>
        <w:rPr>
          <w:rFonts w:ascii="Times New Roman" w:hAnsi="Times New Roman" w:eastAsia="Times New Roman" w:cs="Times New Roman"/>
        </w:rPr>
      </w:pPr>
    </w:p>
    <w:tbl>
      <w:tblPr>
        <w:tblStyle w:val="PlainTable2"/>
        <w:bidiVisual w:val="0"/>
        <w:tblW w:w="0" w:type="auto"/>
        <w:jc w:val="left"/>
        <w:tblBorders/>
        <w:tblLook w:val="06A0" w:firstRow="1" w:lastRow="0" w:firstColumn="1" w:lastColumn="0" w:noHBand="1" w:noVBand="1"/>
      </w:tblPr>
      <w:tblGrid>
        <w:gridCol w:w="2820"/>
        <w:gridCol w:w="2820"/>
        <w:gridCol w:w="2820"/>
        <w:gridCol w:w="2820"/>
        <w:gridCol w:w="2820"/>
      </w:tblGrid>
      <w:tr w:rsidR="4B400219" w:rsidTr="45165E1D" w14:paraId="7005BD76">
        <w:trPr>
          <w:trHeight w:val="675"/>
        </w:trPr>
        <w:tc>
          <w:tcPr>
            <w:tcW w:w="2820" w:type="dxa"/>
            <w:tcMar/>
            <w:vAlign w:val="center"/>
          </w:tcPr>
          <w:p w:rsidR="4B400219" w:rsidP="1686CB6A" w:rsidRDefault="4B400219" w14:paraId="487E74FB" w14:textId="14DD62B1">
            <w:pPr>
              <w:spacing w:before="0" w:beforeAutospacing="off" w:after="0" w:afterAutospacing="off"/>
              <w:jc w:val="left"/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</w:rPr>
            </w:pPr>
            <w:r w:rsidRPr="1686CB6A" w:rsidR="1686CB6A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</w:rPr>
              <w:t>Approach</w:t>
            </w:r>
          </w:p>
        </w:tc>
        <w:tc>
          <w:tcPr>
            <w:tcW w:w="2820" w:type="dxa"/>
            <w:tcMar/>
            <w:vAlign w:val="center"/>
          </w:tcPr>
          <w:p w:rsidR="4B400219" w:rsidP="1686CB6A" w:rsidRDefault="4B400219" w14:paraId="3DF03AC5" w14:textId="598106C7">
            <w:pPr>
              <w:spacing w:before="0" w:beforeAutospacing="off" w:after="0" w:afterAutospacing="off"/>
              <w:jc w:val="left"/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</w:rPr>
            </w:pPr>
            <w:r w:rsidRPr="1686CB6A" w:rsidR="1686CB6A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</w:rPr>
              <w:t>Core idea</w:t>
            </w:r>
          </w:p>
        </w:tc>
        <w:tc>
          <w:tcPr>
            <w:tcW w:w="2820" w:type="dxa"/>
            <w:tcMar/>
            <w:vAlign w:val="center"/>
          </w:tcPr>
          <w:p w:rsidR="4B400219" w:rsidP="1686CB6A" w:rsidRDefault="4B400219" w14:paraId="53476C0D" w14:textId="7A5221D4">
            <w:pPr>
              <w:spacing w:before="0" w:beforeAutospacing="off" w:after="0" w:afterAutospacing="off"/>
              <w:jc w:val="left"/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</w:rPr>
            </w:pPr>
            <w:r w:rsidRPr="1686CB6A" w:rsidR="1686CB6A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</w:rPr>
              <w:t>What it adds to the bundle</w:t>
            </w:r>
          </w:p>
        </w:tc>
        <w:tc>
          <w:tcPr>
            <w:tcW w:w="2820" w:type="dxa"/>
            <w:tcMar/>
            <w:vAlign w:val="center"/>
          </w:tcPr>
          <w:p w:rsidR="4B400219" w:rsidP="1686CB6A" w:rsidRDefault="4B400219" w14:paraId="5652B213" w14:textId="79923AAD">
            <w:pPr>
              <w:spacing w:before="0" w:beforeAutospacing="off" w:after="0" w:afterAutospacing="off"/>
              <w:jc w:val="left"/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</w:rPr>
            </w:pPr>
            <w:r w:rsidRPr="1686CB6A" w:rsidR="1686CB6A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</w:rPr>
              <w:t>Limitation on its own</w:t>
            </w:r>
          </w:p>
        </w:tc>
        <w:tc>
          <w:tcPr>
            <w:tcW w:w="2820" w:type="dxa"/>
            <w:tcMar/>
            <w:vAlign w:val="center"/>
          </w:tcPr>
          <w:p w:rsidR="4B400219" w:rsidP="1686CB6A" w:rsidRDefault="4B400219" w14:paraId="47EB0719" w14:textId="7B112CA5">
            <w:pPr>
              <w:spacing w:before="0" w:beforeAutospacing="off" w:after="0" w:afterAutospacing="off"/>
              <w:jc w:val="left"/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</w:rPr>
            </w:pPr>
            <w:r w:rsidRPr="1686CB6A" w:rsidR="1686CB6A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</w:rPr>
              <w:t>Key references</w:t>
            </w:r>
          </w:p>
        </w:tc>
      </w:tr>
      <w:tr w:rsidR="4B400219" w:rsidTr="45165E1D" w14:paraId="74BC634E">
        <w:trPr>
          <w:trHeight w:val="1200"/>
        </w:trPr>
        <w:tc>
          <w:tcPr>
            <w:tcW w:w="2820" w:type="dxa"/>
            <w:tcMar/>
            <w:vAlign w:val="center"/>
          </w:tcPr>
          <w:p w:rsidR="4B400219" w:rsidP="765DE0FA" w:rsidRDefault="4B400219" w14:paraId="2CC16638" w14:textId="7830DD27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765DE0FA" w:rsidR="765DE0FA">
              <w:rPr>
                <w:rFonts w:ascii="Times New Roman" w:hAnsi="Times New Roman" w:eastAsia="Times New Roman" w:cs="Times New Roman"/>
                <w:b w:val="1"/>
                <w:bCs w:val="1"/>
              </w:rPr>
              <w:t>PDSA cycles</w:t>
            </w:r>
          </w:p>
        </w:tc>
        <w:tc>
          <w:tcPr>
            <w:tcW w:w="2820" w:type="dxa"/>
            <w:tcMar/>
            <w:vAlign w:val="center"/>
          </w:tcPr>
          <w:p w:rsidR="4B400219" w:rsidP="765DE0FA" w:rsidRDefault="4B400219" w14:paraId="0EC1CB19" w14:textId="1FA149D4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</w:rPr>
            </w:pPr>
            <w:r w:rsidRPr="765DE0FA" w:rsidR="765DE0FA">
              <w:rPr>
                <w:rFonts w:ascii="Times New Roman" w:hAnsi="Times New Roman" w:eastAsia="Times New Roman" w:cs="Times New Roman"/>
              </w:rPr>
              <w:t>Rapid, iterative test-and-learn cycles (Plan-Do-Study-Act)</w:t>
            </w:r>
          </w:p>
        </w:tc>
        <w:tc>
          <w:tcPr>
            <w:tcW w:w="2820" w:type="dxa"/>
            <w:tcMar/>
            <w:vAlign w:val="center"/>
          </w:tcPr>
          <w:p w:rsidR="4B400219" w:rsidP="765DE0FA" w:rsidRDefault="4B400219" w14:paraId="4EA9277F" w14:textId="00FB59CA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</w:rPr>
            </w:pPr>
            <w:r w:rsidRPr="765DE0FA" w:rsidR="765DE0FA">
              <w:rPr>
                <w:rFonts w:ascii="Times New Roman" w:hAnsi="Times New Roman" w:eastAsia="Times New Roman" w:cs="Times New Roman"/>
              </w:rPr>
              <w:t>An engine for testing adapted forms in compressed cycles</w:t>
            </w:r>
          </w:p>
        </w:tc>
        <w:tc>
          <w:tcPr>
            <w:tcW w:w="2820" w:type="dxa"/>
            <w:tcMar/>
            <w:vAlign w:val="center"/>
          </w:tcPr>
          <w:p w:rsidR="4B400219" w:rsidP="765DE0FA" w:rsidRDefault="4B400219" w14:paraId="2B9F2458" w14:textId="210AD147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</w:rPr>
            </w:pPr>
            <w:r w:rsidRPr="765DE0FA" w:rsidR="765DE0FA">
              <w:rPr>
                <w:rFonts w:ascii="Times New Roman" w:hAnsi="Times New Roman" w:eastAsia="Times New Roman" w:cs="Times New Roman"/>
              </w:rPr>
              <w:t>Often applied with low fidelity to its own logic; gives no rule for what must be preserved</w:t>
            </w:r>
          </w:p>
        </w:tc>
        <w:tc>
          <w:tcPr>
            <w:tcW w:w="2820" w:type="dxa"/>
            <w:tcMar/>
            <w:vAlign w:val="center"/>
          </w:tcPr>
          <w:p w:rsidR="4B400219" w:rsidP="765DE0FA" w:rsidRDefault="4B400219" w14:paraId="27C2B1FC" w14:textId="6720432C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</w:rPr>
            </w:pPr>
            <w:r w:rsidRPr="765DE0FA" w:rsidR="765DE0FA">
              <w:rPr>
                <w:rFonts w:ascii="Times New Roman" w:hAnsi="Times New Roman" w:eastAsia="Times New Roman" w:cs="Times New Roman"/>
              </w:rPr>
              <w:t>Taylor et al., 2014; Reed &amp; Card, 2016</w:t>
            </w:r>
          </w:p>
        </w:tc>
      </w:tr>
      <w:tr w:rsidR="4B400219" w:rsidTr="45165E1D" w14:paraId="4368E671">
        <w:trPr>
          <w:trHeight w:val="1455"/>
        </w:trPr>
        <w:tc>
          <w:tcPr>
            <w:tcW w:w="2820" w:type="dxa"/>
            <w:tcMar/>
            <w:vAlign w:val="center"/>
          </w:tcPr>
          <w:p w:rsidR="4B400219" w:rsidP="765DE0FA" w:rsidRDefault="4B400219" w14:paraId="05B24716" w14:textId="73551A29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765DE0FA" w:rsidR="765DE0FA">
              <w:rPr>
                <w:rFonts w:ascii="Times New Roman" w:hAnsi="Times New Roman" w:eastAsia="Times New Roman" w:cs="Times New Roman"/>
                <w:b w:val="1"/>
                <w:bCs w:val="1"/>
              </w:rPr>
              <w:t>FRAME / FRAME-IS</w:t>
            </w:r>
          </w:p>
        </w:tc>
        <w:tc>
          <w:tcPr>
            <w:tcW w:w="2820" w:type="dxa"/>
            <w:tcMar/>
            <w:vAlign w:val="center"/>
          </w:tcPr>
          <w:p w:rsidR="4B400219" w:rsidP="765DE0FA" w:rsidRDefault="4B400219" w14:paraId="39786844" w14:textId="6BBC3F9D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</w:rPr>
            </w:pPr>
            <w:r w:rsidRPr="765DE0FA" w:rsidR="765DE0FA">
              <w:rPr>
                <w:rFonts w:ascii="Times New Roman" w:hAnsi="Times New Roman" w:eastAsia="Times New Roman" w:cs="Times New Roman"/>
              </w:rPr>
              <w:t>A taxonomy for recording what changed, by whom, when, why, and whether it is fidelity-consistent</w:t>
            </w:r>
          </w:p>
        </w:tc>
        <w:tc>
          <w:tcPr>
            <w:tcW w:w="2820" w:type="dxa"/>
            <w:tcMar/>
            <w:vAlign w:val="center"/>
          </w:tcPr>
          <w:p w:rsidR="4B400219" w:rsidP="765DE0FA" w:rsidRDefault="4B400219" w14:paraId="57DAE8D7" w14:textId="3648DE89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</w:rPr>
            </w:pPr>
            <w:r w:rsidRPr="765DE0FA" w:rsidR="765DE0FA">
              <w:rPr>
                <w:rFonts w:ascii="Times New Roman" w:hAnsi="Times New Roman" w:eastAsia="Times New Roman" w:cs="Times New Roman"/>
              </w:rPr>
              <w:t>A transparent, replicable record of every modification and its fidelity status</w:t>
            </w:r>
          </w:p>
        </w:tc>
        <w:tc>
          <w:tcPr>
            <w:tcW w:w="2820" w:type="dxa"/>
            <w:tcMar/>
            <w:vAlign w:val="center"/>
          </w:tcPr>
          <w:p w:rsidR="4B400219" w:rsidP="765DE0FA" w:rsidRDefault="4B400219" w14:paraId="3D0719E3" w14:textId="3F93DB9A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</w:rPr>
            </w:pPr>
            <w:r w:rsidRPr="765DE0FA" w:rsidR="765DE0FA">
              <w:rPr>
                <w:rFonts w:ascii="Times New Roman" w:hAnsi="Times New Roman" w:eastAsia="Times New Roman" w:cs="Times New Roman"/>
              </w:rPr>
              <w:t>Descriptive: documents adaptation but does not generate it or identify core components</w:t>
            </w:r>
          </w:p>
        </w:tc>
        <w:tc>
          <w:tcPr>
            <w:tcW w:w="2820" w:type="dxa"/>
            <w:tcMar/>
            <w:vAlign w:val="center"/>
          </w:tcPr>
          <w:p w:rsidR="4B400219" w:rsidP="765DE0FA" w:rsidRDefault="4B400219" w14:paraId="7832C114" w14:textId="1D8F3226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</w:rPr>
            </w:pPr>
            <w:r w:rsidRPr="765DE0FA" w:rsidR="765DE0FA">
              <w:rPr>
                <w:rFonts w:ascii="Times New Roman" w:hAnsi="Times New Roman" w:eastAsia="Times New Roman" w:cs="Times New Roman"/>
              </w:rPr>
              <w:t>Stirman et al., 2019; Miller et al., 2021</w:t>
            </w:r>
          </w:p>
        </w:tc>
      </w:tr>
      <w:tr w:rsidR="4B400219" w:rsidTr="45165E1D" w14:paraId="10A2C074">
        <w:trPr>
          <w:trHeight w:val="567"/>
        </w:trPr>
        <w:tc>
          <w:tcPr>
            <w:tcW w:w="2820" w:type="dxa"/>
            <w:tcMar/>
            <w:vAlign w:val="center"/>
          </w:tcPr>
          <w:p w:rsidR="4B400219" w:rsidP="765DE0FA" w:rsidRDefault="4B400219" w14:paraId="384F55A1" w14:textId="62165738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28073532" w:rsidR="28073532">
              <w:rPr>
                <w:rFonts w:ascii="Times New Roman" w:hAnsi="Times New Roman" w:eastAsia="Times New Roman" w:cs="Times New Roman"/>
                <w:b w:val="1"/>
                <w:bCs w:val="1"/>
              </w:rPr>
              <w:t>Human-Centered Design</w:t>
            </w:r>
          </w:p>
        </w:tc>
        <w:tc>
          <w:tcPr>
            <w:tcW w:w="2820" w:type="dxa"/>
            <w:tcMar/>
            <w:vAlign w:val="center"/>
          </w:tcPr>
          <w:p w:rsidR="4B400219" w:rsidP="765DE0FA" w:rsidRDefault="4B400219" w14:paraId="7163AFCA" w14:textId="5D566237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</w:rPr>
            </w:pPr>
            <w:r w:rsidRPr="765DE0FA" w:rsidR="765DE0FA">
              <w:rPr>
                <w:rFonts w:ascii="Times New Roman" w:hAnsi="Times New Roman" w:eastAsia="Times New Roman" w:cs="Times New Roman"/>
              </w:rPr>
              <w:t>Deep engagement with users and providers to surface context-specific forms</w:t>
            </w:r>
          </w:p>
        </w:tc>
        <w:tc>
          <w:tcPr>
            <w:tcW w:w="2820" w:type="dxa"/>
            <w:tcMar/>
            <w:vAlign w:val="center"/>
          </w:tcPr>
          <w:p w:rsidR="4B400219" w:rsidP="765DE0FA" w:rsidRDefault="4B400219" w14:paraId="5BA9D0C1" w14:textId="709DB29A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</w:rPr>
            </w:pPr>
            <w:r w:rsidRPr="765DE0FA" w:rsidR="765DE0FA">
              <w:rPr>
                <w:rFonts w:ascii="Times New Roman" w:hAnsi="Times New Roman" w:eastAsia="Times New Roman" w:cs="Times New Roman"/>
              </w:rPr>
              <w:t>The local forms the intervention must take in each setting</w:t>
            </w:r>
          </w:p>
        </w:tc>
        <w:tc>
          <w:tcPr>
            <w:tcW w:w="2820" w:type="dxa"/>
            <w:tcMar/>
            <w:vAlign w:val="center"/>
          </w:tcPr>
          <w:p w:rsidR="4B400219" w:rsidP="765DE0FA" w:rsidRDefault="4B400219" w14:paraId="6B908A3C" w14:textId="4D4A2C1F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</w:rPr>
            </w:pPr>
            <w:r w:rsidRPr="765DE0FA" w:rsidR="765DE0FA">
              <w:rPr>
                <w:rFonts w:ascii="Times New Roman" w:hAnsi="Times New Roman" w:eastAsia="Times New Roman" w:cs="Times New Roman"/>
              </w:rPr>
              <w:t>Methodologically young for fidelity; can yield appealing forms unanchored to mechanisms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20" w:type="dxa"/>
            <w:tcMar/>
            <w:vAlign w:val="center"/>
          </w:tcPr>
          <w:p w:rsidR="4B400219" w:rsidP="45165E1D" w:rsidRDefault="4B400219" w14:paraId="07FF6FE6" w14:textId="13B1E62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Times New Roman" w:hAnsi="Times New Roman" w:eastAsia="Times New Roman" w:cs="Times New Roman"/>
              </w:rPr>
            </w:pPr>
            <w:r w:rsidRPr="45165E1D" w:rsidR="45165E1D">
              <w:rPr>
                <w:rFonts w:ascii="Times New Roman" w:hAnsi="Times New Roman" w:eastAsia="Times New Roman" w:cs="Times New Roman"/>
              </w:rPr>
              <w:t>Brewer</w:t>
            </w:r>
            <w:r w:rsidRPr="45165E1D" w:rsidR="45165E1D">
              <w:rPr>
                <w:rFonts w:ascii="Times New Roman" w:hAnsi="Times New Roman" w:eastAsia="Times New Roman" w:cs="Times New Roman"/>
              </w:rPr>
              <w:t xml:space="preserve"> et al., 2024; Chen et al., 2020</w:t>
            </w:r>
          </w:p>
        </w:tc>
      </w:tr>
      <w:tr w:rsidR="4B400219" w:rsidTr="45165E1D" w14:paraId="1EC832A3">
        <w:trPr>
          <w:trHeight w:val="567"/>
        </w:trPr>
        <w:tc>
          <w:tcPr>
            <w:tcW w:w="2820" w:type="dxa"/>
            <w:shd w:val="clear" w:color="auto" w:fill="FFFFFF" w:themeFill="background1"/>
            <w:tcMar/>
            <w:vAlign w:val="center"/>
          </w:tcPr>
          <w:p w:rsidR="4B400219" w:rsidP="28073532" w:rsidRDefault="4B400219" w14:paraId="5286E460" w14:textId="02C62752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i w:val="0"/>
                <w:iCs w:val="0"/>
              </w:rPr>
            </w:pPr>
            <w:r w:rsidRPr="28073532" w:rsidR="28073532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</w:rPr>
              <w:t>Functional fidelity</w:t>
            </w:r>
            <w:r w:rsidRPr="28073532" w:rsidR="28073532">
              <w:rPr>
                <w:rFonts w:ascii="Times New Roman" w:hAnsi="Times New Roman" w:eastAsia="Times New Roman" w:cs="Times New Roman"/>
                <w:i w:val="0"/>
                <w:iCs w:val="0"/>
              </w:rPr>
              <w:t xml:space="preserve"> </w:t>
            </w:r>
            <w:r w:rsidRPr="28073532" w:rsidR="28073532">
              <w:rPr>
                <w:rFonts w:ascii="Times New Roman" w:hAnsi="Times New Roman" w:eastAsia="Times New Roman" w:cs="Times New Roman"/>
                <w:i w:val="0"/>
                <w:iCs w:val="0"/>
              </w:rPr>
              <w:t>(the anchor)</w:t>
            </w:r>
          </w:p>
        </w:tc>
        <w:tc>
          <w:tcPr>
            <w:tcW w:w="2820" w:type="dxa"/>
            <w:shd w:val="clear" w:color="auto" w:fill="FFFFFF" w:themeFill="background1"/>
            <w:tcMar/>
            <w:vAlign w:val="center"/>
          </w:tcPr>
          <w:p w:rsidR="4B400219" w:rsidP="765DE0FA" w:rsidRDefault="4B400219" w14:paraId="08022F8A" w14:textId="3DCEBF63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</w:rPr>
            </w:pPr>
            <w:r w:rsidRPr="765DE0FA" w:rsidR="765DE0FA">
              <w:rPr>
                <w:rFonts w:ascii="Times New Roman" w:hAnsi="Times New Roman" w:eastAsia="Times New Roman" w:cs="Times New Roman"/>
              </w:rPr>
              <w:t>Fidelity defined by preserved functions (mechanisms) rather than fixed forms</w:t>
            </w:r>
          </w:p>
        </w:tc>
        <w:tc>
          <w:tcPr>
            <w:tcW w:w="2820" w:type="dxa"/>
            <w:shd w:val="clear" w:color="auto" w:fill="FFFFFF" w:themeFill="background1"/>
            <w:tcMar/>
            <w:vAlign w:val="center"/>
          </w:tcPr>
          <w:p w:rsidR="4B400219" w:rsidP="765DE0FA" w:rsidRDefault="4B400219" w14:paraId="41217BC6" w14:textId="42DF8C55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</w:rPr>
            </w:pPr>
            <w:r w:rsidRPr="5EF0CD55" w:rsidR="5EF0CD55">
              <w:rPr>
                <w:rFonts w:ascii="Times New Roman" w:hAnsi="Times New Roman" w:eastAsia="Times New Roman" w:cs="Times New Roman"/>
              </w:rPr>
              <w:t>The a priori reference specifying which functions must hold, what the other three lack</w:t>
            </w:r>
          </w:p>
        </w:tc>
        <w:tc>
          <w:tcPr>
            <w:tcW w:w="2820" w:type="dxa"/>
            <w:shd w:val="clear" w:color="auto" w:fill="FFFFFF" w:themeFill="background1"/>
            <w:tcMar/>
            <w:vAlign w:val="center"/>
          </w:tcPr>
          <w:p w:rsidR="4B400219" w:rsidP="765DE0FA" w:rsidRDefault="4B400219" w14:paraId="6D700A76" w14:textId="7D011297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</w:rPr>
            </w:pPr>
            <w:r w:rsidRPr="765DE0FA" w:rsidR="765DE0FA">
              <w:rPr>
                <w:rFonts w:ascii="Times New Roman" w:hAnsi="Times New Roman" w:eastAsia="Times New Roman" w:cs="Times New Roman"/>
              </w:rPr>
              <w:t>A principle, not a procedure; needs operational tools to act on</w:t>
            </w:r>
          </w:p>
        </w:tc>
        <w:tc>
          <w:tcPr>
            <w:tcW w:w="2820" w:type="dxa"/>
            <w:shd w:val="clear" w:color="auto" w:fill="FFFFFF" w:themeFill="background1"/>
            <w:tcMar/>
            <w:vAlign w:val="center"/>
          </w:tcPr>
          <w:p w:rsidR="4B400219" w:rsidP="765DE0FA" w:rsidRDefault="4B400219" w14:paraId="63946EDA" w14:textId="042D48B8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</w:rPr>
            </w:pPr>
            <w:r w:rsidRPr="765DE0FA" w:rsidR="765DE0FA">
              <w:rPr>
                <w:rFonts w:ascii="Times New Roman" w:hAnsi="Times New Roman" w:eastAsia="Times New Roman" w:cs="Times New Roman"/>
              </w:rPr>
              <w:t>Pérez et al., 2016; Edmunds et al., 2022; Terrana et al., 2024</w:t>
            </w:r>
          </w:p>
        </w:tc>
      </w:tr>
    </w:tbl>
    <w:p w:rsidR="4B400219" w:rsidP="765DE0FA" w:rsidRDefault="4B400219" w14:paraId="10877614" w14:textId="2C2FC82F">
      <w:pPr>
        <w:rPr>
          <w:rFonts w:ascii="Times New Roman" w:hAnsi="Times New Roman" w:eastAsia="Times New Roman" w:cs="Times New Roman"/>
        </w:rPr>
      </w:pPr>
    </w:p>
    <w:p w:rsidR="4B400219" w:rsidP="765DE0FA" w:rsidRDefault="4B400219" w14:paraId="1FF07109" w14:textId="1A1B0EA0">
      <w:pPr>
        <w:rPr>
          <w:rFonts w:ascii="Times New Roman" w:hAnsi="Times New Roman" w:eastAsia="Times New Roman" w:cs="Times New Roman"/>
        </w:rPr>
      </w:pPr>
    </w:p>
    <w:sectPr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28AAF4D"/>
    <w:rsid w:val="1686CB6A"/>
    <w:rsid w:val="27495023"/>
    <w:rsid w:val="28073532"/>
    <w:rsid w:val="3EEC726C"/>
    <w:rsid w:val="45165E1D"/>
    <w:rsid w:val="48877903"/>
    <w:rsid w:val="4B400219"/>
    <w:rsid w:val="50BEFF94"/>
    <w:rsid w:val="5EF0CD55"/>
    <w:rsid w:val="628AAF4D"/>
    <w:rsid w:val="765DE0FA"/>
    <w:rsid w:val="7F5FC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E080C"/>
  <w15:chartTrackingRefBased/>
  <w15:docId w15:val="{BC89DD63-A720-4F64-AA18-21D9BB5979B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table" w:styleId="PlainTable2" mc:Ignorable="w14">
    <w:name xmlns:w="http://schemas.openxmlformats.org/wordprocessingml/2006/main" w:val="Plain Table 2"/>
    <w:basedOn xmlns:w="http://schemas.openxmlformats.org/wordprocessingml/2006/main" w:val="TableNormal"/>
    <w:uiPriority xmlns:w="http://schemas.openxmlformats.org/wordprocessingml/2006/main" w:val="42"/>
    <w:pPr xmlns:w="http://schemas.openxmlformats.org/wordprocessingml/2006/main">
      <w:spacing xmlns:w="http://schemas.openxmlformats.org/wordprocessingml/2006/main" w:after="0" w:line="240" w:lineRule="auto"/>
    </w:pPr>
    <w:tblPr xmlns:w="http://schemas.openxmlformats.org/wordprocessingml/2006/main"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xmlns:w="http://schemas.openxmlformats.org/wordprocessingml/2006/main"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xmlns:w="http://schemas.openxmlformats.org/wordprocessingml/2006/main"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xmlns:w="http://schemas.openxmlformats.org/wordprocessingml/2006/main" w:type="firstCol">
      <w:rPr>
        <w:b/>
        <w:bCs/>
      </w:rPr>
    </w:tblStylePr>
    <w:tblStylePr xmlns:w="http://schemas.openxmlformats.org/wordprocessingml/2006/main" w:type="lastCol">
      <w:rPr>
        <w:b/>
        <w:bCs/>
      </w:rPr>
    </w:tblStylePr>
    <w:tblStylePr xmlns:w="http://schemas.openxmlformats.org/wordprocessingml/2006/main"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xmlns:w="http://schemas.openxmlformats.org/wordprocessingml/2006/main"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xmlns:w="http://schemas.openxmlformats.org/wordprocessingml/2006/main"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2026-06-12T19:31:38.7664613Z</dcterms:created>
  <dcterms:modified xsi:type="dcterms:W3CDTF">2026-06-30T21:10:46.2430741Z</dcterms:modified>
  <dc:creator>Denise Silva Rocha Mazzuchelli</dc:creator>
  <lastModifiedBy>Denise Silva Rocha Mazzuchelli</lastModifiedBy>
</coreProperties>
</file>