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3F77" w14:textId="1BAC1960" w:rsidR="00D85D0E" w:rsidRPr="001D1471" w:rsidRDefault="00D85D0E" w:rsidP="00D85D0E">
      <w:pPr>
        <w:rPr>
          <w:rFonts w:ascii="Times New Roman" w:hAnsi="Times New Roman" w:cs="Times New Roman"/>
          <w:b/>
          <w:color w:val="000000" w:themeColor="text1"/>
        </w:rPr>
      </w:pPr>
      <w:r w:rsidRPr="001D1471">
        <w:rPr>
          <w:rFonts w:ascii="Times New Roman" w:hAnsi="Times New Roman" w:cs="Times New Roman"/>
          <w:b/>
          <w:color w:val="000000" w:themeColor="text1"/>
        </w:rPr>
        <w:t>Supplemental Methods</w:t>
      </w:r>
    </w:p>
    <w:p w14:paraId="0BC7774E" w14:textId="762012CA" w:rsidR="00D00767" w:rsidRPr="001D1471" w:rsidRDefault="00D00767" w:rsidP="00D00767">
      <w:pPr>
        <w:rPr>
          <w:rFonts w:ascii="Times New Roman" w:hAnsi="Times New Roman" w:cs="Times New Roman"/>
          <w:b/>
          <w:color w:val="000000" w:themeColor="text1"/>
        </w:rPr>
      </w:pPr>
      <w:r w:rsidRPr="001D1471">
        <w:rPr>
          <w:rFonts w:ascii="Times New Roman" w:hAnsi="Times New Roman" w:cs="Times New Roman"/>
          <w:b/>
          <w:color w:val="000000" w:themeColor="text1"/>
        </w:rPr>
        <w:t>Animal study</w:t>
      </w:r>
    </w:p>
    <w:p w14:paraId="66471040" w14:textId="77777777" w:rsidR="00D00767" w:rsidRPr="001D1471" w:rsidRDefault="00D00767" w:rsidP="00D00767">
      <w:pPr>
        <w:ind w:firstLineChars="200" w:firstLine="480"/>
        <w:rPr>
          <w:rFonts w:ascii="Times New Roman" w:hAnsi="Times New Roman" w:cs="Times New Roman"/>
          <w:bCs/>
          <w:color w:val="000000" w:themeColor="text1"/>
        </w:rPr>
      </w:pPr>
      <w:r w:rsidRPr="001D1471">
        <w:rPr>
          <w:rFonts w:ascii="Times New Roman" w:hAnsi="Times New Roman" w:cs="Times New Roman"/>
          <w:bCs/>
          <w:color w:val="000000" w:themeColor="text1"/>
        </w:rPr>
        <w:t xml:space="preserve">Animal experiments were approved by the Animal Care Committee of Showa University School of Medicine (approval number: 02072, approval date: April 1, 2020). Five-week-old male </w:t>
      </w:r>
      <w:proofErr w:type="gramStart"/>
      <w:r w:rsidRPr="001D1471">
        <w:rPr>
          <w:rFonts w:ascii="Times New Roman" w:hAnsi="Times New Roman" w:cs="Times New Roman"/>
          <w:bCs/>
          <w:color w:val="000000" w:themeColor="text1"/>
        </w:rPr>
        <w:t>wild-type</w:t>
      </w:r>
      <w:proofErr w:type="gramEnd"/>
      <w:r w:rsidRPr="001D1471">
        <w:rPr>
          <w:rFonts w:ascii="Times New Roman" w:hAnsi="Times New Roman" w:cs="Times New Roman"/>
          <w:bCs/>
          <w:color w:val="000000" w:themeColor="text1"/>
        </w:rPr>
        <w:t xml:space="preserve"> C57BL/6J mice and diabetic KK-Ay mice (</w:t>
      </w:r>
      <w:proofErr w:type="spellStart"/>
      <w:proofErr w:type="gramStart"/>
      <w:r w:rsidRPr="001D1471">
        <w:rPr>
          <w:rFonts w:ascii="Times New Roman" w:hAnsi="Times New Roman" w:cs="Times New Roman"/>
          <w:bCs/>
          <w:color w:val="000000" w:themeColor="text1"/>
        </w:rPr>
        <w:t>KK.Cg</w:t>
      </w:r>
      <w:proofErr w:type="spellEnd"/>
      <w:proofErr w:type="gramEnd"/>
      <w:r w:rsidRPr="001D1471">
        <w:rPr>
          <w:rFonts w:ascii="Times New Roman" w:hAnsi="Times New Roman" w:cs="Times New Roman"/>
          <w:bCs/>
          <w:color w:val="000000" w:themeColor="text1"/>
        </w:rPr>
        <w:t>-Ay/</w:t>
      </w:r>
      <w:proofErr w:type="spellStart"/>
      <w:r w:rsidRPr="001D1471">
        <w:rPr>
          <w:rFonts w:ascii="Times New Roman" w:hAnsi="Times New Roman" w:cs="Times New Roman"/>
          <w:bCs/>
          <w:color w:val="000000" w:themeColor="text1"/>
        </w:rPr>
        <w:t>TaJcl</w:t>
      </w:r>
      <w:proofErr w:type="spellEnd"/>
      <w:r w:rsidRPr="001D1471">
        <w:rPr>
          <w:rFonts w:ascii="Times New Roman" w:hAnsi="Times New Roman" w:cs="Times New Roman"/>
          <w:bCs/>
          <w:color w:val="000000" w:themeColor="text1"/>
        </w:rPr>
        <w:t>) were purchased from CLEA Japan (Meguro, Tokyo, Japan) and housed individually under standard laboratory conditions with free access to standard rodent chow and water.</w:t>
      </w:r>
    </w:p>
    <w:p w14:paraId="0767CF4C" w14:textId="6EF0A758" w:rsidR="001B4342" w:rsidRDefault="001B4342" w:rsidP="00D00767">
      <w:pPr>
        <w:ind w:firstLineChars="200" w:firstLine="480"/>
        <w:rPr>
          <w:rFonts w:ascii="Times New Roman" w:hAnsi="Times New Roman" w:cs="Times New Roman"/>
          <w:bCs/>
          <w:color w:val="000000" w:themeColor="text1"/>
        </w:rPr>
      </w:pPr>
      <w:r w:rsidRPr="001B4342">
        <w:rPr>
          <w:rFonts w:ascii="Times New Roman" w:hAnsi="Times New Roman" w:cs="Times New Roman"/>
          <w:bCs/>
          <w:color w:val="000000" w:themeColor="text1"/>
        </w:rPr>
        <w:t xml:space="preserve">After a 3-week acclimatization period, KK-Ay mice were randomly assigned to the diabetic vehicle group (Vehicle, </w:t>
      </w:r>
      <w:r w:rsidRPr="007D2922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Pr="001B4342">
        <w:rPr>
          <w:rFonts w:ascii="Times New Roman" w:hAnsi="Times New Roman" w:cs="Times New Roman"/>
          <w:bCs/>
          <w:color w:val="000000" w:themeColor="text1"/>
        </w:rPr>
        <w:t xml:space="preserve"> = 7) or diabetic empagliflozin group (</w:t>
      </w:r>
      <w:proofErr w:type="spellStart"/>
      <w:r w:rsidRPr="001B4342">
        <w:rPr>
          <w:rFonts w:ascii="Times New Roman" w:hAnsi="Times New Roman" w:cs="Times New Roman"/>
          <w:bCs/>
          <w:color w:val="000000" w:themeColor="text1"/>
        </w:rPr>
        <w:t>Empa</w:t>
      </w:r>
      <w:proofErr w:type="spellEnd"/>
      <w:r w:rsidRPr="001B4342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7D2922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Pr="001B4342">
        <w:rPr>
          <w:rFonts w:ascii="Times New Roman" w:hAnsi="Times New Roman" w:cs="Times New Roman"/>
          <w:bCs/>
          <w:color w:val="000000" w:themeColor="text1"/>
        </w:rPr>
        <w:t xml:space="preserve"> = 7) and treated for 6 weeks. The diabetic mice were pair-fed with 8.5 g/day of chow to minimize differences in food intake between diabetic groups and to control for potential empagliflozin-induced hyperphagia [1,2]. Empagliflozin was administered orally by incorporation into chow at a concentration of 0.045% w/w [3]. The DM-Vehicle group received chow without empagliflozin. Age-matched wild-type mice were used as non-diabetic controls (</w:t>
      </w:r>
      <w:proofErr w:type="gramStart"/>
      <w:r w:rsidRPr="001B4342">
        <w:rPr>
          <w:rFonts w:ascii="Times New Roman" w:hAnsi="Times New Roman" w:cs="Times New Roman"/>
          <w:bCs/>
          <w:color w:val="000000" w:themeColor="text1"/>
        </w:rPr>
        <w:t>Non-DM</w:t>
      </w:r>
      <w:proofErr w:type="gramEnd"/>
      <w:r w:rsidRPr="001B4342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Pr="001B4342">
        <w:rPr>
          <w:rFonts w:ascii="Times New Roman" w:hAnsi="Times New Roman" w:cs="Times New Roman"/>
          <w:bCs/>
          <w:i/>
          <w:iCs/>
          <w:color w:val="000000" w:themeColor="text1"/>
        </w:rPr>
        <w:t>n</w:t>
      </w:r>
      <w:r w:rsidRPr="001B4342">
        <w:rPr>
          <w:rFonts w:ascii="Times New Roman" w:hAnsi="Times New Roman" w:cs="Times New Roman"/>
          <w:bCs/>
          <w:color w:val="000000" w:themeColor="text1"/>
        </w:rPr>
        <w:t xml:space="preserve"> = 7) and were allowed free access to chow.</w:t>
      </w:r>
    </w:p>
    <w:p w14:paraId="465BC611" w14:textId="77777777" w:rsidR="00D00767" w:rsidRPr="001D1471" w:rsidRDefault="00D00767" w:rsidP="00D00767">
      <w:pPr>
        <w:rPr>
          <w:rFonts w:ascii="Times New Roman" w:hAnsi="Times New Roman" w:cs="Times New Roman"/>
          <w:b/>
          <w:color w:val="000000" w:themeColor="text1"/>
        </w:rPr>
      </w:pPr>
    </w:p>
    <w:p w14:paraId="49CA62DA" w14:textId="77777777" w:rsidR="00D00767" w:rsidRPr="001D1471" w:rsidRDefault="00D00767" w:rsidP="00D00767">
      <w:pPr>
        <w:rPr>
          <w:rFonts w:ascii="Times New Roman" w:hAnsi="Times New Roman" w:cs="Times New Roman"/>
          <w:b/>
          <w:color w:val="000000" w:themeColor="text1"/>
        </w:rPr>
      </w:pPr>
      <w:r w:rsidRPr="001D1471">
        <w:rPr>
          <w:rFonts w:ascii="Times New Roman" w:hAnsi="Times New Roman" w:cs="Times New Roman"/>
          <w:b/>
          <w:color w:val="000000" w:themeColor="text1"/>
        </w:rPr>
        <w:t>Sperm viability</w:t>
      </w:r>
    </w:p>
    <w:p w14:paraId="1D4DD3D0" w14:textId="209B9AD5" w:rsidR="00D00767" w:rsidRPr="001D1471" w:rsidRDefault="001B4342" w:rsidP="001B4342">
      <w:pPr>
        <w:ind w:firstLineChars="200" w:firstLine="480"/>
        <w:rPr>
          <w:rFonts w:ascii="Times New Roman" w:hAnsi="Times New Roman" w:cs="Times New Roman"/>
          <w:bCs/>
          <w:color w:val="000000" w:themeColor="text1"/>
        </w:rPr>
      </w:pPr>
      <w:r w:rsidRPr="001B4342">
        <w:rPr>
          <w:rFonts w:ascii="Times New Roman" w:hAnsi="Times New Roman" w:cs="Times New Roman"/>
          <w:bCs/>
          <w:color w:val="000000" w:themeColor="text1"/>
        </w:rPr>
        <w:t>Sperm viability was assessed by eosin-</w:t>
      </w:r>
      <w:proofErr w:type="spellStart"/>
      <w:r w:rsidRPr="001B4342">
        <w:rPr>
          <w:rFonts w:ascii="Times New Roman" w:hAnsi="Times New Roman" w:cs="Times New Roman"/>
          <w:bCs/>
          <w:color w:val="000000" w:themeColor="text1"/>
        </w:rPr>
        <w:t>nigrosin</w:t>
      </w:r>
      <w:proofErr w:type="spellEnd"/>
      <w:r w:rsidRPr="001B4342">
        <w:rPr>
          <w:rFonts w:ascii="Times New Roman" w:hAnsi="Times New Roman" w:cs="Times New Roman"/>
          <w:bCs/>
          <w:color w:val="000000" w:themeColor="text1"/>
        </w:rPr>
        <w:t xml:space="preserve"> staining based on a previously described sperm vitality assessment method, with modifications [4].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00767" w:rsidRPr="001D1471">
        <w:rPr>
          <w:rFonts w:ascii="Times New Roman" w:hAnsi="Times New Roman" w:cs="Times New Roman"/>
          <w:bCs/>
          <w:color w:val="000000" w:themeColor="text1"/>
        </w:rPr>
        <w:t xml:space="preserve">Briefly, 5 </w:t>
      </w:r>
      <w:proofErr w:type="spellStart"/>
      <w:r w:rsidR="00D00767" w:rsidRPr="001D1471">
        <w:rPr>
          <w:rFonts w:ascii="Times New Roman" w:hAnsi="Times New Roman" w:cs="Times New Roman"/>
          <w:bCs/>
          <w:color w:val="000000" w:themeColor="text1"/>
        </w:rPr>
        <w:t>μL</w:t>
      </w:r>
      <w:proofErr w:type="spellEnd"/>
      <w:r w:rsidR="00D00767" w:rsidRPr="001D1471">
        <w:rPr>
          <w:rFonts w:ascii="Times New Roman" w:hAnsi="Times New Roman" w:cs="Times New Roman"/>
          <w:bCs/>
          <w:color w:val="000000" w:themeColor="text1"/>
        </w:rPr>
        <w:t xml:space="preserve"> of sperm suspension was mixed with 5 </w:t>
      </w:r>
      <w:proofErr w:type="spellStart"/>
      <w:r w:rsidR="00D00767" w:rsidRPr="001D1471">
        <w:rPr>
          <w:rFonts w:ascii="Times New Roman" w:hAnsi="Times New Roman" w:cs="Times New Roman"/>
          <w:bCs/>
          <w:color w:val="000000" w:themeColor="text1"/>
        </w:rPr>
        <w:t>μL</w:t>
      </w:r>
      <w:proofErr w:type="spellEnd"/>
      <w:r w:rsidR="00D00767" w:rsidRPr="001D1471">
        <w:rPr>
          <w:rFonts w:ascii="Times New Roman" w:hAnsi="Times New Roman" w:cs="Times New Roman"/>
          <w:bCs/>
          <w:color w:val="000000" w:themeColor="text1"/>
        </w:rPr>
        <w:t xml:space="preserve"> of 1% eosin solution for 30 s and then with 10 </w:t>
      </w:r>
      <w:proofErr w:type="spellStart"/>
      <w:r w:rsidR="00D00767" w:rsidRPr="001D1471">
        <w:rPr>
          <w:rFonts w:ascii="Times New Roman" w:hAnsi="Times New Roman" w:cs="Times New Roman"/>
          <w:bCs/>
          <w:color w:val="000000" w:themeColor="text1"/>
        </w:rPr>
        <w:t>μL</w:t>
      </w:r>
      <w:proofErr w:type="spellEnd"/>
      <w:r w:rsidR="00D00767" w:rsidRPr="001D1471">
        <w:rPr>
          <w:rFonts w:ascii="Times New Roman" w:hAnsi="Times New Roman" w:cs="Times New Roman"/>
          <w:bCs/>
          <w:color w:val="000000" w:themeColor="text1"/>
        </w:rPr>
        <w:t xml:space="preserve"> of 10% </w:t>
      </w:r>
      <w:proofErr w:type="spellStart"/>
      <w:r w:rsidR="00D00767" w:rsidRPr="001D1471">
        <w:rPr>
          <w:rFonts w:ascii="Times New Roman" w:hAnsi="Times New Roman" w:cs="Times New Roman"/>
          <w:bCs/>
          <w:color w:val="000000" w:themeColor="text1"/>
        </w:rPr>
        <w:t>nigrosin</w:t>
      </w:r>
      <w:proofErr w:type="spellEnd"/>
      <w:r w:rsidR="00D00767" w:rsidRPr="001D1471">
        <w:rPr>
          <w:rFonts w:ascii="Times New Roman" w:hAnsi="Times New Roman" w:cs="Times New Roman"/>
          <w:bCs/>
          <w:color w:val="000000" w:themeColor="text1"/>
        </w:rPr>
        <w:t xml:space="preserve"> solution for an additional 30 s on a glass slide. The mixture was subsequently smeared and air-dried for analysis. Spermatozoa with eosin-positive heads were counted as dead cells. Sperm viability was evaluated in at least 100 spermatozoa per epididymis.</w:t>
      </w:r>
    </w:p>
    <w:p w14:paraId="63F3BD08" w14:textId="77777777" w:rsidR="00D00767" w:rsidRPr="001D1471" w:rsidRDefault="00D00767" w:rsidP="001D1471">
      <w:pPr>
        <w:rPr>
          <w:rFonts w:ascii="Times New Roman" w:hAnsi="Times New Roman" w:cs="Times New Roman"/>
        </w:rPr>
      </w:pPr>
    </w:p>
    <w:p w14:paraId="6F780A60" w14:textId="77777777" w:rsidR="001D1471" w:rsidRPr="001D1471" w:rsidRDefault="001D1471" w:rsidP="001D1471">
      <w:pPr>
        <w:rPr>
          <w:rFonts w:ascii="Times New Roman" w:hAnsi="Times New Roman" w:cs="Times New Roman"/>
          <w:b/>
          <w:bCs/>
        </w:rPr>
      </w:pPr>
      <w:r w:rsidRPr="001D1471">
        <w:rPr>
          <w:rFonts w:ascii="Times New Roman" w:hAnsi="Times New Roman" w:cs="Times New Roman"/>
          <w:b/>
          <w:bCs/>
        </w:rPr>
        <w:t>References</w:t>
      </w:r>
    </w:p>
    <w:p w14:paraId="2DD34D64" w14:textId="0B88AA74" w:rsidR="001D1471" w:rsidRPr="001D1471" w:rsidRDefault="001D1471" w:rsidP="001D147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D1471">
        <w:rPr>
          <w:rFonts w:ascii="Times New Roman" w:hAnsi="Times New Roman" w:cs="Times New Roman"/>
          <w:color w:val="000000"/>
          <w:sz w:val="24"/>
          <w:szCs w:val="24"/>
        </w:rPr>
        <w:t>Devenny</w:t>
      </w:r>
      <w:proofErr w:type="spellEnd"/>
      <w:r w:rsidRPr="001D1471">
        <w:rPr>
          <w:rFonts w:ascii="Times New Roman" w:hAnsi="Times New Roman" w:cs="Times New Roman"/>
          <w:color w:val="000000"/>
          <w:sz w:val="24"/>
          <w:szCs w:val="24"/>
        </w:rPr>
        <w:t xml:space="preserve"> JJ, </w:t>
      </w:r>
      <w:proofErr w:type="spellStart"/>
      <w:r w:rsidRPr="001D1471">
        <w:rPr>
          <w:rFonts w:ascii="Times New Roman" w:hAnsi="Times New Roman" w:cs="Times New Roman"/>
          <w:color w:val="000000"/>
          <w:sz w:val="24"/>
          <w:szCs w:val="24"/>
        </w:rPr>
        <w:t>Godonis</w:t>
      </w:r>
      <w:proofErr w:type="spellEnd"/>
      <w:r w:rsidRPr="001D1471">
        <w:rPr>
          <w:rFonts w:ascii="Times New Roman" w:hAnsi="Times New Roman" w:cs="Times New Roman"/>
          <w:color w:val="000000"/>
          <w:sz w:val="24"/>
          <w:szCs w:val="24"/>
        </w:rPr>
        <w:t xml:space="preserve"> HE, Harvey SJ, Rooney S, Cullen MJ, </w:t>
      </w:r>
      <w:proofErr w:type="spellStart"/>
      <w:r w:rsidRPr="001D1471">
        <w:rPr>
          <w:rFonts w:ascii="Times New Roman" w:hAnsi="Times New Roman" w:cs="Times New Roman"/>
          <w:color w:val="000000"/>
          <w:sz w:val="24"/>
          <w:szCs w:val="24"/>
        </w:rPr>
        <w:t>Pelleymounter</w:t>
      </w:r>
      <w:proofErr w:type="spellEnd"/>
      <w:r w:rsidRPr="001D1471">
        <w:rPr>
          <w:rFonts w:ascii="Times New Roman" w:hAnsi="Times New Roman" w:cs="Times New Roman"/>
          <w:color w:val="000000"/>
          <w:sz w:val="24"/>
          <w:szCs w:val="24"/>
        </w:rPr>
        <w:t xml:space="preserve"> MA. Weight loss induced by chronic dapagliflozin treatment is attenuated by compensatory hyperphagia in diet-induced obese rats. Obesity (Silver Spring). </w:t>
      </w:r>
      <w:proofErr w:type="gramStart"/>
      <w:r w:rsidRPr="001D1471">
        <w:rPr>
          <w:rFonts w:ascii="Times New Roman" w:hAnsi="Times New Roman" w:cs="Times New Roman"/>
          <w:color w:val="000000"/>
          <w:sz w:val="24"/>
          <w:szCs w:val="24"/>
        </w:rPr>
        <w:t>2012;20:1645</w:t>
      </w:r>
      <w:proofErr w:type="gramEnd"/>
      <w:r w:rsidRPr="001D1471">
        <w:rPr>
          <w:rFonts w:ascii="Times New Roman" w:hAnsi="Times New Roman" w:cs="Times New Roman"/>
          <w:color w:val="000000"/>
          <w:sz w:val="24"/>
          <w:szCs w:val="24"/>
        </w:rPr>
        <w:t xml:space="preserve">–1652. </w:t>
      </w:r>
    </w:p>
    <w:p w14:paraId="1E4CAF8D" w14:textId="4E25593D" w:rsidR="001D1471" w:rsidRPr="001D1471" w:rsidRDefault="001D1471" w:rsidP="001D1471">
      <w:pPr>
        <w:pStyle w:val="Web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1D1471">
        <w:rPr>
          <w:rFonts w:ascii="Times New Roman" w:hAnsi="Times New Roman" w:cs="Times New Roman"/>
          <w:color w:val="000000"/>
        </w:rPr>
        <w:t xml:space="preserve">Xu L, Nagata N, </w:t>
      </w:r>
      <w:proofErr w:type="spellStart"/>
      <w:r w:rsidRPr="001D1471">
        <w:rPr>
          <w:rFonts w:ascii="Times New Roman" w:hAnsi="Times New Roman" w:cs="Times New Roman"/>
          <w:color w:val="000000"/>
        </w:rPr>
        <w:t>Nagashimada</w:t>
      </w:r>
      <w:proofErr w:type="spellEnd"/>
      <w:r w:rsidRPr="001D1471">
        <w:rPr>
          <w:rFonts w:ascii="Times New Roman" w:hAnsi="Times New Roman" w:cs="Times New Roman"/>
          <w:color w:val="000000"/>
        </w:rPr>
        <w:t xml:space="preserve"> M, Zhuge F, Ni Y, Chen G, et al. SGLT2 inhibition by empagliflozin promotes fat utilization and browning and attenuates inflammation and insulin resistance by polarizing M2 macrophages in diet-induced obese mice. </w:t>
      </w:r>
      <w:proofErr w:type="spellStart"/>
      <w:r w:rsidRPr="001D1471">
        <w:rPr>
          <w:rFonts w:ascii="Times New Roman" w:hAnsi="Times New Roman" w:cs="Times New Roman"/>
          <w:color w:val="000000"/>
        </w:rPr>
        <w:t>EBioMedicine</w:t>
      </w:r>
      <w:proofErr w:type="spellEnd"/>
      <w:r w:rsidRPr="001D1471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1D1471">
        <w:rPr>
          <w:rFonts w:ascii="Times New Roman" w:hAnsi="Times New Roman" w:cs="Times New Roman"/>
          <w:color w:val="000000"/>
        </w:rPr>
        <w:t>2017;20:137</w:t>
      </w:r>
      <w:proofErr w:type="gramEnd"/>
      <w:r w:rsidRPr="001D1471">
        <w:rPr>
          <w:rFonts w:ascii="Times New Roman" w:hAnsi="Times New Roman" w:cs="Times New Roman"/>
          <w:color w:val="000000"/>
        </w:rPr>
        <w:t xml:space="preserve">–149. </w:t>
      </w:r>
    </w:p>
    <w:p w14:paraId="5E7A9C99" w14:textId="559E5E66" w:rsidR="001D1471" w:rsidRPr="001D1471" w:rsidRDefault="001D1471" w:rsidP="001D1471">
      <w:pPr>
        <w:pStyle w:val="Web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1D1471">
        <w:rPr>
          <w:rFonts w:ascii="Times New Roman" w:hAnsi="Times New Roman" w:cs="Times New Roman"/>
          <w:color w:val="000000"/>
        </w:rPr>
        <w:t xml:space="preserve">Ojima A, Matsui T, Nishino Y, Nakamura N, Yamagishi S. Empagliflozin, an inhibitor of sodium-glucose cotransporter 2 exerts anti-inflammatory and antifibrotic effects on experimental diabetic nephropathy partly by suppressing AGEs-receptor axis. Horm </w:t>
      </w:r>
      <w:proofErr w:type="spellStart"/>
      <w:r w:rsidRPr="001D1471">
        <w:rPr>
          <w:rFonts w:ascii="Times New Roman" w:hAnsi="Times New Roman" w:cs="Times New Roman"/>
          <w:color w:val="000000"/>
        </w:rPr>
        <w:t>Metab</w:t>
      </w:r>
      <w:proofErr w:type="spellEnd"/>
      <w:r w:rsidRPr="001D1471">
        <w:rPr>
          <w:rFonts w:ascii="Times New Roman" w:hAnsi="Times New Roman" w:cs="Times New Roman"/>
          <w:color w:val="000000"/>
        </w:rPr>
        <w:t xml:space="preserve"> Res. </w:t>
      </w:r>
      <w:proofErr w:type="gramStart"/>
      <w:r w:rsidRPr="001D1471">
        <w:rPr>
          <w:rFonts w:ascii="Times New Roman" w:hAnsi="Times New Roman" w:cs="Times New Roman"/>
          <w:color w:val="000000"/>
        </w:rPr>
        <w:t>2015;47:686</w:t>
      </w:r>
      <w:proofErr w:type="gramEnd"/>
      <w:r w:rsidRPr="001D1471">
        <w:rPr>
          <w:rFonts w:ascii="Times New Roman" w:hAnsi="Times New Roman" w:cs="Times New Roman"/>
          <w:color w:val="000000"/>
        </w:rPr>
        <w:t>–692.</w:t>
      </w:r>
    </w:p>
    <w:p w14:paraId="758333F7" w14:textId="5E3CCDE0" w:rsidR="001D1471" w:rsidRPr="001D1471" w:rsidRDefault="001D1471" w:rsidP="001D1471">
      <w:pPr>
        <w:pStyle w:val="Web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1D1471">
        <w:rPr>
          <w:rFonts w:ascii="Times New Roman" w:hAnsi="Times New Roman" w:cs="Times New Roman"/>
          <w:color w:val="000000"/>
        </w:rPr>
        <w:t>World Health Organization. WHO Laboratory Manual for the Examination and Processing of Human Semen. 6th ed. Geneva: World Health Organization; 2021.</w:t>
      </w:r>
    </w:p>
    <w:sectPr w:rsidR="001D1471" w:rsidRPr="001D1471" w:rsidSect="00DB4B76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69B2"/>
    <w:multiLevelType w:val="hybridMultilevel"/>
    <w:tmpl w:val="3D16E0C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9D706B"/>
    <w:multiLevelType w:val="multilevel"/>
    <w:tmpl w:val="D836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777413">
    <w:abstractNumId w:val="0"/>
  </w:num>
  <w:num w:numId="2" w16cid:durableId="32239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7A"/>
    <w:rsid w:val="00127B84"/>
    <w:rsid w:val="001B4342"/>
    <w:rsid w:val="001D1471"/>
    <w:rsid w:val="002A577D"/>
    <w:rsid w:val="002E4E7A"/>
    <w:rsid w:val="004937A4"/>
    <w:rsid w:val="007D2922"/>
    <w:rsid w:val="007F70E8"/>
    <w:rsid w:val="00AA2E9A"/>
    <w:rsid w:val="00D00767"/>
    <w:rsid w:val="00D85D0E"/>
    <w:rsid w:val="00DB4B76"/>
    <w:rsid w:val="00E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B3BE08"/>
  <w15:chartTrackingRefBased/>
  <w15:docId w15:val="{9DBFB83B-7EF2-4FA5-963B-B4B74C06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E7A"/>
    <w:pPr>
      <w:widowControl w:val="0"/>
      <w:jc w:val="both"/>
    </w:pPr>
    <w:rPr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4E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E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E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E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E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E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E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E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4E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4E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4E7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4E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4E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E4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E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E4E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E7A"/>
    <w:pPr>
      <w:spacing w:before="160" w:after="160"/>
      <w:jc w:val="center"/>
    </w:pPr>
    <w:rPr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E4E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E7A"/>
    <w:pPr>
      <w:ind w:left="720"/>
      <w:contextualSpacing/>
    </w:pPr>
    <w:rPr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2E4E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4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E4E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4E7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1D14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yusaku mori</dc:creator>
  <cp:keywords/>
  <dc:description/>
  <cp:lastModifiedBy>yusaku mori</cp:lastModifiedBy>
  <cp:revision>7</cp:revision>
  <dcterms:created xsi:type="dcterms:W3CDTF">2026-06-19T05:18:00Z</dcterms:created>
  <dcterms:modified xsi:type="dcterms:W3CDTF">2026-06-23T22:46:00Z</dcterms:modified>
</cp:coreProperties>
</file>