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FFFD" w14:textId="77777777" w:rsidR="00E879B8" w:rsidRPr="00B70772" w:rsidRDefault="00E879B8" w:rsidP="00E879B8">
      <w:pPr>
        <w:pStyle w:val="Heading1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B70772">
        <w:rPr>
          <w:rFonts w:ascii="Times New Roman" w:hAnsi="Times New Roman" w:cs="Times New Roman"/>
          <w:color w:val="auto"/>
          <w:sz w:val="22"/>
          <w:szCs w:val="22"/>
        </w:rPr>
        <w:t>Appendix A Search protocol and example strings</w:t>
      </w:r>
    </w:p>
    <w:p w14:paraId="53956540" w14:textId="77777777" w:rsidR="00E879B8" w:rsidRPr="00B70772" w:rsidRDefault="00E879B8" w:rsidP="00E879B8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B70772">
        <w:rPr>
          <w:rFonts w:ascii="Times New Roman" w:hAnsi="Times New Roman" w:cs="Times New Roman"/>
          <w:sz w:val="22"/>
        </w:rPr>
        <w:t>The final search should be exported and archived as a spreadsheet before journal submission. The following protocol was used to structure the manuscript and should be checked against the author's final database export.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052"/>
      </w:tblGrid>
      <w:tr w:rsidR="00E879B8" w:rsidRPr="00B70772" w14:paraId="1EA7F94C" w14:textId="77777777" w:rsidTr="00553CCE">
        <w:tc>
          <w:tcPr>
            <w:tcW w:w="1998" w:type="dxa"/>
          </w:tcPr>
          <w:p w14:paraId="255A2803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  <w:b/>
              </w:rPr>
              <w:t>Component</w:t>
            </w:r>
          </w:p>
        </w:tc>
        <w:tc>
          <w:tcPr>
            <w:tcW w:w="7245" w:type="dxa"/>
          </w:tcPr>
          <w:p w14:paraId="0EBDB3D0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  <w:b/>
              </w:rPr>
              <w:t>Specification</w:t>
            </w:r>
          </w:p>
        </w:tc>
      </w:tr>
      <w:tr w:rsidR="00E879B8" w:rsidRPr="00B70772" w14:paraId="7D070DE7" w14:textId="77777777" w:rsidTr="00553CCE">
        <w:tc>
          <w:tcPr>
            <w:tcW w:w="1998" w:type="dxa"/>
          </w:tcPr>
          <w:p w14:paraId="2D139E12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Databases</w:t>
            </w:r>
          </w:p>
        </w:tc>
        <w:tc>
          <w:tcPr>
            <w:tcW w:w="7245" w:type="dxa"/>
          </w:tcPr>
          <w:p w14:paraId="64A3DAA0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Scopus; Web of Science; ScienceDirect; IEEE Xplore; Google Scholar</w:t>
            </w:r>
          </w:p>
        </w:tc>
      </w:tr>
      <w:tr w:rsidR="00E879B8" w:rsidRPr="00B70772" w14:paraId="202786EB" w14:textId="77777777" w:rsidTr="00553CCE">
        <w:tc>
          <w:tcPr>
            <w:tcW w:w="1998" w:type="dxa"/>
          </w:tcPr>
          <w:p w14:paraId="12AD58B2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Institutional sources</w:t>
            </w:r>
          </w:p>
        </w:tc>
        <w:tc>
          <w:tcPr>
            <w:tcW w:w="7245" w:type="dxa"/>
          </w:tcPr>
          <w:p w14:paraId="1F306F38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IEA; IRENA; World Bank; UNEP; national energy agency and open geospatial repositories where relevant</w:t>
            </w:r>
          </w:p>
        </w:tc>
      </w:tr>
      <w:tr w:rsidR="00E879B8" w:rsidRPr="00B70772" w14:paraId="7A45DDBC" w14:textId="77777777" w:rsidTr="00553CCE">
        <w:tc>
          <w:tcPr>
            <w:tcW w:w="1998" w:type="dxa"/>
          </w:tcPr>
          <w:p w14:paraId="276FBB77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Date range</w:t>
            </w:r>
          </w:p>
        </w:tc>
        <w:tc>
          <w:tcPr>
            <w:tcW w:w="7245" w:type="dxa"/>
          </w:tcPr>
          <w:p w14:paraId="047792C2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2018-2025, with earlier foundational works retained for PRISMA, socio-technical transitions, energy justice and core storage reviews</w:t>
            </w:r>
          </w:p>
        </w:tc>
      </w:tr>
      <w:tr w:rsidR="00E879B8" w:rsidRPr="00B70772" w14:paraId="78FC506A" w14:textId="77777777" w:rsidTr="00553CCE">
        <w:tc>
          <w:tcPr>
            <w:tcW w:w="1998" w:type="dxa"/>
          </w:tcPr>
          <w:p w14:paraId="65587D84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Core string 1</w:t>
            </w:r>
          </w:p>
        </w:tc>
        <w:tc>
          <w:tcPr>
            <w:tcW w:w="7245" w:type="dxa"/>
          </w:tcPr>
          <w:p w14:paraId="0ED4137D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("energy storage" OR battery OR hydrogen OR "pumped hydro" OR "flow battery") AND (renewable OR solar OR wind OR microgrid OR "grid flexibility")</w:t>
            </w:r>
          </w:p>
        </w:tc>
      </w:tr>
      <w:tr w:rsidR="00E879B8" w:rsidRPr="00B70772" w14:paraId="538D421B" w14:textId="77777777" w:rsidTr="00553CCE">
        <w:tc>
          <w:tcPr>
            <w:tcW w:w="1998" w:type="dxa"/>
          </w:tcPr>
          <w:p w14:paraId="02A5E095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Core string 2</w:t>
            </w:r>
          </w:p>
        </w:tc>
        <w:tc>
          <w:tcPr>
            <w:tcW w:w="7245" w:type="dxa"/>
          </w:tcPr>
          <w:p w14:paraId="30A56129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("Earth observation" OR "remote sensing" OR GIS OR geospatial OR satellite OR "spatial decision support") AND (renewable energy OR solar OR wind OR storage)</w:t>
            </w:r>
          </w:p>
        </w:tc>
      </w:tr>
      <w:tr w:rsidR="00E879B8" w:rsidRPr="00B70772" w14:paraId="3155E404" w14:textId="77777777" w:rsidTr="00553CCE">
        <w:tc>
          <w:tcPr>
            <w:tcW w:w="1998" w:type="dxa"/>
          </w:tcPr>
          <w:p w14:paraId="6D2DD8FA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Combined string</w:t>
            </w:r>
          </w:p>
        </w:tc>
        <w:tc>
          <w:tcPr>
            <w:tcW w:w="7245" w:type="dxa"/>
          </w:tcPr>
          <w:p w14:paraId="12E9E07D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("energy storage" OR battery OR hydrogen) AND (renewable OR solar OR wind) AND ("Earth observation" OR GIS OR remote sensing OR geospatial)</w:t>
            </w:r>
          </w:p>
        </w:tc>
      </w:tr>
      <w:tr w:rsidR="00E879B8" w:rsidRPr="00B70772" w14:paraId="21A4F737" w14:textId="77777777" w:rsidTr="00553CCE">
        <w:tc>
          <w:tcPr>
            <w:tcW w:w="1998" w:type="dxa"/>
          </w:tcPr>
          <w:p w14:paraId="471947AB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Language</w:t>
            </w:r>
          </w:p>
        </w:tc>
        <w:tc>
          <w:tcPr>
            <w:tcW w:w="7245" w:type="dxa"/>
          </w:tcPr>
          <w:p w14:paraId="2FDF3946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English</w:t>
            </w:r>
          </w:p>
        </w:tc>
      </w:tr>
      <w:tr w:rsidR="00E879B8" w:rsidRPr="00B70772" w14:paraId="2A1757F9" w14:textId="77777777" w:rsidTr="00553CCE">
        <w:tc>
          <w:tcPr>
            <w:tcW w:w="1998" w:type="dxa"/>
          </w:tcPr>
          <w:p w14:paraId="50ACC914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Document type</w:t>
            </w:r>
          </w:p>
        </w:tc>
        <w:tc>
          <w:tcPr>
            <w:tcW w:w="7245" w:type="dxa"/>
          </w:tcPr>
          <w:p w14:paraId="0FAAE4C7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Peer-reviewed article, review, conference paper or credible institutional report</w:t>
            </w:r>
          </w:p>
        </w:tc>
      </w:tr>
    </w:tbl>
    <w:p w14:paraId="5C96AF57" w14:textId="77777777" w:rsidR="00E879B8" w:rsidRPr="00B70772" w:rsidRDefault="00E879B8" w:rsidP="00E879B8">
      <w:pPr>
        <w:pStyle w:val="Heading1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B70772">
        <w:rPr>
          <w:rFonts w:ascii="Times New Roman" w:hAnsi="Times New Roman" w:cs="Times New Roman"/>
          <w:color w:val="auto"/>
          <w:sz w:val="22"/>
          <w:szCs w:val="22"/>
        </w:rPr>
        <w:t>Appendix B Inclusion, exclusion and screening log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3531"/>
        <w:gridCol w:w="3513"/>
      </w:tblGrid>
      <w:tr w:rsidR="00E879B8" w:rsidRPr="00B70772" w14:paraId="3A3676A1" w14:textId="77777777" w:rsidTr="00553CCE">
        <w:tc>
          <w:tcPr>
            <w:tcW w:w="2016" w:type="dxa"/>
          </w:tcPr>
          <w:p w14:paraId="1BD18C2D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  <w:b/>
              </w:rPr>
              <w:t>Criterion</w:t>
            </w:r>
          </w:p>
        </w:tc>
        <w:tc>
          <w:tcPr>
            <w:tcW w:w="3600" w:type="dxa"/>
          </w:tcPr>
          <w:p w14:paraId="50FB5F95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  <w:b/>
              </w:rPr>
              <w:t>Included</w:t>
            </w:r>
          </w:p>
        </w:tc>
        <w:tc>
          <w:tcPr>
            <w:tcW w:w="3600" w:type="dxa"/>
          </w:tcPr>
          <w:p w14:paraId="568EAAAC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  <w:b/>
              </w:rPr>
              <w:t>Excluded</w:t>
            </w:r>
          </w:p>
        </w:tc>
      </w:tr>
      <w:tr w:rsidR="00E879B8" w:rsidRPr="00B70772" w14:paraId="486DF675" w14:textId="77777777" w:rsidTr="00553CCE">
        <w:tc>
          <w:tcPr>
            <w:tcW w:w="2016" w:type="dxa"/>
          </w:tcPr>
          <w:p w14:paraId="5671D8C7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Topical focus</w:t>
            </w:r>
          </w:p>
        </w:tc>
        <w:tc>
          <w:tcPr>
            <w:tcW w:w="3600" w:type="dxa"/>
          </w:tcPr>
          <w:p w14:paraId="68961F69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Energy storage, renewable integration, EO/GIS planning, smart-grid digitalization, policy/governance</w:t>
            </w:r>
          </w:p>
        </w:tc>
        <w:tc>
          <w:tcPr>
            <w:tcW w:w="3600" w:type="dxa"/>
          </w:tcPr>
          <w:p w14:paraId="623FE62B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Fossil-fuel-only systems; storage unrelated to renewables; non-energy EO applications</w:t>
            </w:r>
          </w:p>
        </w:tc>
      </w:tr>
      <w:tr w:rsidR="00E879B8" w:rsidRPr="00B70772" w14:paraId="7366E5D5" w14:textId="77777777" w:rsidTr="00553CCE">
        <w:tc>
          <w:tcPr>
            <w:tcW w:w="2016" w:type="dxa"/>
          </w:tcPr>
          <w:p w14:paraId="3D94C37E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Evidence type</w:t>
            </w:r>
          </w:p>
        </w:tc>
        <w:tc>
          <w:tcPr>
            <w:tcW w:w="3600" w:type="dxa"/>
          </w:tcPr>
          <w:p w14:paraId="0F1C7C36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Analytical, empirical, conceptual, methodological or policy-relevant sources</w:t>
            </w:r>
          </w:p>
        </w:tc>
        <w:tc>
          <w:tcPr>
            <w:tcW w:w="3600" w:type="dxa"/>
          </w:tcPr>
          <w:p w14:paraId="52D5E960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Pure opinion pieces, news items, abstracts without full text, non-analytical descriptions</w:t>
            </w:r>
          </w:p>
        </w:tc>
      </w:tr>
      <w:tr w:rsidR="00E879B8" w:rsidRPr="00B70772" w14:paraId="5157E549" w14:textId="77777777" w:rsidTr="00553CCE">
        <w:tc>
          <w:tcPr>
            <w:tcW w:w="2016" w:type="dxa"/>
          </w:tcPr>
          <w:p w14:paraId="4D8C140A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Geospatial relevance</w:t>
            </w:r>
          </w:p>
        </w:tc>
        <w:tc>
          <w:tcPr>
            <w:tcW w:w="3600" w:type="dxa"/>
          </w:tcPr>
          <w:p w14:paraId="11E9A09F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Direct EO/GIS content or clear relevance for spatial storage planning</w:t>
            </w:r>
          </w:p>
        </w:tc>
        <w:tc>
          <w:tcPr>
            <w:tcW w:w="3600" w:type="dxa"/>
          </w:tcPr>
          <w:p w14:paraId="4AC3B732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No storage-renewable-geospatial relationship</w:t>
            </w:r>
          </w:p>
        </w:tc>
      </w:tr>
      <w:tr w:rsidR="00E879B8" w:rsidRPr="00B70772" w14:paraId="28DA3F8D" w14:textId="77777777" w:rsidTr="00553CCE">
        <w:tc>
          <w:tcPr>
            <w:tcW w:w="2016" w:type="dxa"/>
          </w:tcPr>
          <w:p w14:paraId="3403FF7B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Quality</w:t>
            </w:r>
          </w:p>
        </w:tc>
        <w:tc>
          <w:tcPr>
            <w:tcW w:w="3600" w:type="dxa"/>
          </w:tcPr>
          <w:p w14:paraId="186CE2FC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Clear method, traceable data/source base, clear contribution</w:t>
            </w:r>
          </w:p>
        </w:tc>
        <w:tc>
          <w:tcPr>
            <w:tcW w:w="3600" w:type="dxa"/>
          </w:tcPr>
          <w:p w14:paraId="244C9419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Unclear method, duplicate report, insufficient bibliographic information</w:t>
            </w:r>
          </w:p>
        </w:tc>
      </w:tr>
      <w:tr w:rsidR="00E879B8" w:rsidRPr="00B70772" w14:paraId="633356B9" w14:textId="77777777" w:rsidTr="00553CCE">
        <w:tc>
          <w:tcPr>
            <w:tcW w:w="2016" w:type="dxa"/>
          </w:tcPr>
          <w:p w14:paraId="57C4CE1A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Screening count</w:t>
            </w:r>
          </w:p>
        </w:tc>
        <w:tc>
          <w:tcPr>
            <w:tcW w:w="3600" w:type="dxa"/>
          </w:tcPr>
          <w:p w14:paraId="34239908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25 records included in qualitative synthesis</w:t>
            </w:r>
          </w:p>
        </w:tc>
        <w:tc>
          <w:tcPr>
            <w:tcW w:w="3600" w:type="dxa"/>
          </w:tcPr>
          <w:p w14:paraId="54B29CB9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145 screened; 120 full texts assessed; 95 excluded at full-text stage</w:t>
            </w:r>
          </w:p>
        </w:tc>
      </w:tr>
    </w:tbl>
    <w:p w14:paraId="4392D82A" w14:textId="77777777" w:rsidR="00E879B8" w:rsidRPr="00B70772" w:rsidRDefault="00E879B8" w:rsidP="00E879B8">
      <w:pPr>
        <w:pStyle w:val="Heading1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B70772">
        <w:rPr>
          <w:rFonts w:ascii="Times New Roman" w:hAnsi="Times New Roman" w:cs="Times New Roman"/>
          <w:color w:val="auto"/>
          <w:sz w:val="22"/>
          <w:szCs w:val="22"/>
        </w:rPr>
        <w:lastRenderedPageBreak/>
        <w:t>Appendix C Data extraction and coding template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  <w:gridCol w:w="7134"/>
      </w:tblGrid>
      <w:tr w:rsidR="00E879B8" w:rsidRPr="00B70772" w14:paraId="71927418" w14:textId="77777777" w:rsidTr="00553CCE">
        <w:tc>
          <w:tcPr>
            <w:tcW w:w="1908" w:type="dxa"/>
          </w:tcPr>
          <w:p w14:paraId="737B9EBE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  <w:b/>
              </w:rPr>
              <w:t>Field</w:t>
            </w:r>
          </w:p>
        </w:tc>
        <w:tc>
          <w:tcPr>
            <w:tcW w:w="7308" w:type="dxa"/>
          </w:tcPr>
          <w:p w14:paraId="6885D6E8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E879B8" w:rsidRPr="00B70772" w14:paraId="66F840D5" w14:textId="77777777" w:rsidTr="00553CCE">
        <w:tc>
          <w:tcPr>
            <w:tcW w:w="1908" w:type="dxa"/>
          </w:tcPr>
          <w:p w14:paraId="1A7CB98D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Bibliographic data</w:t>
            </w:r>
          </w:p>
        </w:tc>
        <w:tc>
          <w:tcPr>
            <w:tcW w:w="7308" w:type="dxa"/>
          </w:tcPr>
          <w:p w14:paraId="3DE72160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Author(s), year, title, source, DOI/URL</w:t>
            </w:r>
          </w:p>
        </w:tc>
      </w:tr>
      <w:tr w:rsidR="00E879B8" w:rsidRPr="00B70772" w14:paraId="25441770" w14:textId="77777777" w:rsidTr="00553CCE">
        <w:tc>
          <w:tcPr>
            <w:tcW w:w="1908" w:type="dxa"/>
          </w:tcPr>
          <w:p w14:paraId="5CDC06DD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Study type</w:t>
            </w:r>
          </w:p>
        </w:tc>
        <w:tc>
          <w:tcPr>
            <w:tcW w:w="7308" w:type="dxa"/>
          </w:tcPr>
          <w:p w14:paraId="0000442D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Review, empirical case study, modelling study, policy report, conference paper</w:t>
            </w:r>
          </w:p>
        </w:tc>
      </w:tr>
      <w:tr w:rsidR="00E879B8" w:rsidRPr="00B70772" w14:paraId="67CC91FE" w14:textId="77777777" w:rsidTr="00553CCE">
        <w:tc>
          <w:tcPr>
            <w:tcW w:w="1908" w:type="dxa"/>
          </w:tcPr>
          <w:p w14:paraId="4043FA28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Geographic scale</w:t>
            </w:r>
          </w:p>
        </w:tc>
        <w:tc>
          <w:tcPr>
            <w:tcW w:w="7308" w:type="dxa"/>
          </w:tcPr>
          <w:p w14:paraId="0AE0A953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Global, regional, national, urban, rural, microgrid, offshore, islanded system</w:t>
            </w:r>
          </w:p>
        </w:tc>
      </w:tr>
      <w:tr w:rsidR="00E879B8" w:rsidRPr="00B70772" w14:paraId="6CDFD817" w14:textId="77777777" w:rsidTr="00553CCE">
        <w:tc>
          <w:tcPr>
            <w:tcW w:w="1908" w:type="dxa"/>
          </w:tcPr>
          <w:p w14:paraId="2E09A9FF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EO/geospatial data</w:t>
            </w:r>
          </w:p>
        </w:tc>
        <w:tc>
          <w:tcPr>
            <w:tcW w:w="7308" w:type="dxa"/>
          </w:tcPr>
          <w:p w14:paraId="43CB649E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Satellite imagery, land cover, DEM, climate/reanalysis, hazard, grid, demand proxy, GIS-MCDM</w:t>
            </w:r>
          </w:p>
        </w:tc>
      </w:tr>
      <w:tr w:rsidR="00E879B8" w:rsidRPr="00B70772" w14:paraId="5E960346" w14:textId="77777777" w:rsidTr="00553CCE">
        <w:tc>
          <w:tcPr>
            <w:tcW w:w="1908" w:type="dxa"/>
          </w:tcPr>
          <w:p w14:paraId="6271CA43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Storage technology</w:t>
            </w:r>
          </w:p>
        </w:tc>
        <w:tc>
          <w:tcPr>
            <w:tcW w:w="7308" w:type="dxa"/>
          </w:tcPr>
          <w:p w14:paraId="4269595C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Li-ion, flow battery, pumped hydro, hydrogen, compressed air, thermal, flywheel, hybrid, EV/V2G</w:t>
            </w:r>
          </w:p>
        </w:tc>
      </w:tr>
      <w:tr w:rsidR="00E879B8" w:rsidRPr="00B70772" w14:paraId="011A7AB8" w14:textId="77777777" w:rsidTr="00553CCE">
        <w:tc>
          <w:tcPr>
            <w:tcW w:w="1908" w:type="dxa"/>
          </w:tcPr>
          <w:p w14:paraId="3C088100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Decision function</w:t>
            </w:r>
          </w:p>
        </w:tc>
        <w:tc>
          <w:tcPr>
            <w:tcW w:w="7308" w:type="dxa"/>
          </w:tcPr>
          <w:p w14:paraId="2D49BE69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Siting, sizing, dispatch, lifecycle assessment, resilience, policy, market design, justice</w:t>
            </w:r>
          </w:p>
        </w:tc>
      </w:tr>
      <w:tr w:rsidR="00E879B8" w:rsidRPr="00B70772" w14:paraId="4DE8191B" w14:textId="77777777" w:rsidTr="00553CCE">
        <w:tc>
          <w:tcPr>
            <w:tcW w:w="1908" w:type="dxa"/>
          </w:tcPr>
          <w:p w14:paraId="6FE29DA3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Key finding</w:t>
            </w:r>
          </w:p>
        </w:tc>
        <w:tc>
          <w:tcPr>
            <w:tcW w:w="7308" w:type="dxa"/>
          </w:tcPr>
          <w:p w14:paraId="63C66A47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One-sentence extract of the study contribution</w:t>
            </w:r>
          </w:p>
        </w:tc>
      </w:tr>
      <w:tr w:rsidR="00E879B8" w:rsidRPr="00B70772" w14:paraId="474C4EB4" w14:textId="77777777" w:rsidTr="00553CCE">
        <w:tc>
          <w:tcPr>
            <w:tcW w:w="1908" w:type="dxa"/>
          </w:tcPr>
          <w:p w14:paraId="5C180F8D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Limitations</w:t>
            </w:r>
          </w:p>
        </w:tc>
        <w:tc>
          <w:tcPr>
            <w:tcW w:w="7308" w:type="dxa"/>
          </w:tcPr>
          <w:p w14:paraId="22197FE6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Limitations reported by the study or identified during review</w:t>
            </w:r>
          </w:p>
        </w:tc>
      </w:tr>
      <w:tr w:rsidR="00E879B8" w:rsidRPr="00B70772" w14:paraId="25E7D395" w14:textId="77777777" w:rsidTr="00553CCE">
        <w:tc>
          <w:tcPr>
            <w:tcW w:w="1908" w:type="dxa"/>
          </w:tcPr>
          <w:p w14:paraId="5574396A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Codes</w:t>
            </w:r>
          </w:p>
        </w:tc>
        <w:tc>
          <w:tcPr>
            <w:tcW w:w="7308" w:type="dxa"/>
          </w:tcPr>
          <w:p w14:paraId="66CB722B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Technology; EO/GIS planning; economics/lifecycle; policy/governance; digitalization; justice/community</w:t>
            </w:r>
          </w:p>
        </w:tc>
      </w:tr>
    </w:tbl>
    <w:p w14:paraId="49ACCD8D" w14:textId="77777777" w:rsidR="00E879B8" w:rsidRPr="00B70772" w:rsidRDefault="00E879B8" w:rsidP="00E879B8">
      <w:pPr>
        <w:pStyle w:val="Heading1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B70772">
        <w:rPr>
          <w:rFonts w:ascii="Times New Roman" w:hAnsi="Times New Roman" w:cs="Times New Roman"/>
          <w:color w:val="auto"/>
          <w:sz w:val="22"/>
          <w:szCs w:val="22"/>
        </w:rPr>
        <w:t>Appendix D Quality appraisal rubric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2141"/>
        <w:gridCol w:w="6144"/>
      </w:tblGrid>
      <w:tr w:rsidR="00E879B8" w:rsidRPr="00B70772" w14:paraId="1AEAABA3" w14:textId="77777777" w:rsidTr="00553CCE">
        <w:tc>
          <w:tcPr>
            <w:tcW w:w="742" w:type="dxa"/>
          </w:tcPr>
          <w:p w14:paraId="05566C93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  <w:b/>
              </w:rPr>
              <w:t>Score</w:t>
            </w:r>
          </w:p>
        </w:tc>
        <w:tc>
          <w:tcPr>
            <w:tcW w:w="2156" w:type="dxa"/>
          </w:tcPr>
          <w:p w14:paraId="5F8FE86A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  <w:b/>
              </w:rPr>
              <w:t>Meaning</w:t>
            </w:r>
          </w:p>
        </w:tc>
        <w:tc>
          <w:tcPr>
            <w:tcW w:w="6318" w:type="dxa"/>
          </w:tcPr>
          <w:p w14:paraId="2ED4205F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  <w:b/>
              </w:rPr>
              <w:t>Operational rule</w:t>
            </w:r>
          </w:p>
        </w:tc>
      </w:tr>
      <w:tr w:rsidR="00E879B8" w:rsidRPr="00B70772" w14:paraId="3DB9167C" w14:textId="77777777" w:rsidTr="00553CCE">
        <w:tc>
          <w:tcPr>
            <w:tcW w:w="742" w:type="dxa"/>
          </w:tcPr>
          <w:p w14:paraId="37C75EDD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6" w:type="dxa"/>
          </w:tcPr>
          <w:p w14:paraId="768F052C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Not applicable/absent</w:t>
            </w:r>
          </w:p>
        </w:tc>
        <w:tc>
          <w:tcPr>
            <w:tcW w:w="6318" w:type="dxa"/>
          </w:tcPr>
          <w:p w14:paraId="67C64E5C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The source does not address the criterion</w:t>
            </w:r>
          </w:p>
        </w:tc>
      </w:tr>
      <w:tr w:rsidR="00E879B8" w:rsidRPr="00B70772" w14:paraId="1B89E8CF" w14:textId="77777777" w:rsidTr="00553CCE">
        <w:tc>
          <w:tcPr>
            <w:tcW w:w="742" w:type="dxa"/>
          </w:tcPr>
          <w:p w14:paraId="00A05E94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6" w:type="dxa"/>
          </w:tcPr>
          <w:p w14:paraId="23590AD7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Weak</w:t>
            </w:r>
          </w:p>
        </w:tc>
        <w:tc>
          <w:tcPr>
            <w:tcW w:w="6318" w:type="dxa"/>
          </w:tcPr>
          <w:p w14:paraId="2A01A0FE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The source mentions the issue but gives little methodological or analytical detail</w:t>
            </w:r>
          </w:p>
        </w:tc>
      </w:tr>
      <w:tr w:rsidR="00E879B8" w:rsidRPr="00B70772" w14:paraId="2DF247DC" w14:textId="77777777" w:rsidTr="00553CCE">
        <w:tc>
          <w:tcPr>
            <w:tcW w:w="742" w:type="dxa"/>
          </w:tcPr>
          <w:p w14:paraId="14B515B2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6" w:type="dxa"/>
          </w:tcPr>
          <w:p w14:paraId="020E0A3F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6318" w:type="dxa"/>
          </w:tcPr>
          <w:p w14:paraId="6FABD409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The source provides usable evidence but has limited validation, scope or reproducibility</w:t>
            </w:r>
          </w:p>
        </w:tc>
      </w:tr>
      <w:tr w:rsidR="00E879B8" w:rsidRPr="00B70772" w14:paraId="2855EDE1" w14:textId="77777777" w:rsidTr="00553CCE">
        <w:tc>
          <w:tcPr>
            <w:tcW w:w="742" w:type="dxa"/>
          </w:tcPr>
          <w:p w14:paraId="42BB88FB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6" w:type="dxa"/>
          </w:tcPr>
          <w:p w14:paraId="2F82D8A8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Strong</w:t>
            </w:r>
          </w:p>
        </w:tc>
        <w:tc>
          <w:tcPr>
            <w:tcW w:w="6318" w:type="dxa"/>
          </w:tcPr>
          <w:p w14:paraId="49BE65D8" w14:textId="77777777" w:rsidR="00E879B8" w:rsidRPr="00B70772" w:rsidRDefault="00E879B8" w:rsidP="00553CCE">
            <w:pPr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The source provides clear method, transparent data/source base and transferable insight</w:t>
            </w:r>
          </w:p>
        </w:tc>
      </w:tr>
    </w:tbl>
    <w:p w14:paraId="0393A57C" w14:textId="77777777" w:rsidR="00E879B8" w:rsidRDefault="00E879B8" w:rsidP="00E879B8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B70772">
        <w:rPr>
          <w:rFonts w:ascii="Times New Roman" w:hAnsi="Times New Roman" w:cs="Times New Roman"/>
          <w:sz w:val="22"/>
        </w:rPr>
        <w:t>Appraisal dimensions: methodological clarity, relevance to renewable-storage integration, EO/geospatial relevance, policy/lifecycle relevance, transparency of assumptions, and transferability across regions or energy systems.</w:t>
      </w:r>
    </w:p>
    <w:p w14:paraId="52404A3B" w14:textId="77777777" w:rsidR="00E879B8" w:rsidRPr="005D7254" w:rsidRDefault="00E879B8" w:rsidP="00E879B8">
      <w:pPr>
        <w:spacing w:line="360" w:lineRule="auto"/>
        <w:jc w:val="both"/>
        <w:rPr>
          <w:rFonts w:ascii="Times New Roman" w:hAnsi="Times New Roman" w:cs="Times New Roman"/>
          <w:b/>
          <w:sz w:val="22"/>
        </w:rPr>
      </w:pPr>
      <w:r w:rsidRPr="005D7254">
        <w:rPr>
          <w:rFonts w:ascii="Times New Roman" w:hAnsi="Times New Roman" w:cs="Times New Roman"/>
          <w:b/>
          <w:sz w:val="22"/>
        </w:rPr>
        <w:t>Appendix E Supplementary evidence matrix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980"/>
        <w:gridCol w:w="1980"/>
        <w:gridCol w:w="2160"/>
        <w:gridCol w:w="1485"/>
      </w:tblGrid>
      <w:tr w:rsidR="00E879B8" w:rsidRPr="00B70772" w14:paraId="32CD52AB" w14:textId="77777777" w:rsidTr="00553CCE">
        <w:tc>
          <w:tcPr>
            <w:tcW w:w="1638" w:type="dxa"/>
          </w:tcPr>
          <w:p w14:paraId="076C9E84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  <w:b/>
              </w:rPr>
              <w:t>Source</w:t>
            </w:r>
          </w:p>
        </w:tc>
        <w:tc>
          <w:tcPr>
            <w:tcW w:w="1980" w:type="dxa"/>
          </w:tcPr>
          <w:p w14:paraId="6D09E2B3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  <w:b/>
              </w:rPr>
              <w:t>Domain</w:t>
            </w:r>
          </w:p>
        </w:tc>
        <w:tc>
          <w:tcPr>
            <w:tcW w:w="1980" w:type="dxa"/>
          </w:tcPr>
          <w:p w14:paraId="2F4AE870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  <w:b/>
              </w:rPr>
              <w:t>EO/geospatial relevance</w:t>
            </w:r>
          </w:p>
        </w:tc>
        <w:tc>
          <w:tcPr>
            <w:tcW w:w="2160" w:type="dxa"/>
          </w:tcPr>
          <w:p w14:paraId="67C3CA75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  <w:b/>
              </w:rPr>
              <w:t>Storage focus</w:t>
            </w:r>
          </w:p>
        </w:tc>
        <w:tc>
          <w:tcPr>
            <w:tcW w:w="1485" w:type="dxa"/>
          </w:tcPr>
          <w:p w14:paraId="5D3AC611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  <w:b/>
              </w:rPr>
              <w:t>Main coded theme</w:t>
            </w:r>
          </w:p>
        </w:tc>
      </w:tr>
      <w:tr w:rsidR="00E879B8" w:rsidRPr="00B70772" w14:paraId="24C4D9BB" w14:textId="77777777" w:rsidTr="00553CCE">
        <w:tc>
          <w:tcPr>
            <w:tcW w:w="1638" w:type="dxa"/>
          </w:tcPr>
          <w:p w14:paraId="09E93175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IEA (2024)</w:t>
            </w:r>
          </w:p>
        </w:tc>
        <w:tc>
          <w:tcPr>
            <w:tcW w:w="1980" w:type="dxa"/>
          </w:tcPr>
          <w:p w14:paraId="521B05FB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Institutional energy transition</w:t>
            </w:r>
          </w:p>
        </w:tc>
        <w:tc>
          <w:tcPr>
            <w:tcW w:w="1980" w:type="dxa"/>
          </w:tcPr>
          <w:p w14:paraId="71C15C07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Indirect - system-scale planning target</w:t>
            </w:r>
          </w:p>
        </w:tc>
        <w:tc>
          <w:tcPr>
            <w:tcW w:w="2160" w:type="dxa"/>
          </w:tcPr>
          <w:p w14:paraId="21F45D53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Batteries and storage capacity scale-up</w:t>
            </w:r>
          </w:p>
        </w:tc>
        <w:tc>
          <w:tcPr>
            <w:tcW w:w="1485" w:type="dxa"/>
          </w:tcPr>
          <w:p w14:paraId="36ACF878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Technology; policy</w:t>
            </w:r>
          </w:p>
        </w:tc>
      </w:tr>
      <w:tr w:rsidR="00E879B8" w:rsidRPr="00B70772" w14:paraId="2051FF77" w14:textId="77777777" w:rsidTr="00553CCE">
        <w:tc>
          <w:tcPr>
            <w:tcW w:w="1638" w:type="dxa"/>
          </w:tcPr>
          <w:p w14:paraId="2EE18F03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Gorelick et al. (2017)</w:t>
            </w:r>
          </w:p>
        </w:tc>
        <w:tc>
          <w:tcPr>
            <w:tcW w:w="1980" w:type="dxa"/>
          </w:tcPr>
          <w:p w14:paraId="1E3822C9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EO platform</w:t>
            </w:r>
          </w:p>
        </w:tc>
        <w:tc>
          <w:tcPr>
            <w:tcW w:w="1980" w:type="dxa"/>
          </w:tcPr>
          <w:p w14:paraId="6A9B3170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Direct - planetary-scale geospatial analysis</w:t>
            </w:r>
          </w:p>
        </w:tc>
        <w:tc>
          <w:tcPr>
            <w:tcW w:w="2160" w:type="dxa"/>
          </w:tcPr>
          <w:p w14:paraId="5EC48D46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Indirect, planning data infrastructure</w:t>
            </w:r>
          </w:p>
        </w:tc>
        <w:tc>
          <w:tcPr>
            <w:tcW w:w="1485" w:type="dxa"/>
          </w:tcPr>
          <w:p w14:paraId="356C8C60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EO/GIS; digitalization</w:t>
            </w:r>
          </w:p>
        </w:tc>
      </w:tr>
      <w:tr w:rsidR="00E879B8" w:rsidRPr="00B70772" w14:paraId="2CAE2E24" w14:textId="77777777" w:rsidTr="00553CCE">
        <w:tc>
          <w:tcPr>
            <w:tcW w:w="1638" w:type="dxa"/>
          </w:tcPr>
          <w:p w14:paraId="04C241BD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lastRenderedPageBreak/>
              <w:t>Avtar et al. (2019)</w:t>
            </w:r>
          </w:p>
        </w:tc>
        <w:tc>
          <w:tcPr>
            <w:tcW w:w="1980" w:type="dxa"/>
          </w:tcPr>
          <w:p w14:paraId="2B60AA68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Remote sensing/GIS review</w:t>
            </w:r>
          </w:p>
        </w:tc>
        <w:tc>
          <w:tcPr>
            <w:tcW w:w="1980" w:type="dxa"/>
          </w:tcPr>
          <w:p w14:paraId="36761AD8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Direct - renewable resource exploration</w:t>
            </w:r>
          </w:p>
        </w:tc>
        <w:tc>
          <w:tcPr>
            <w:tcW w:w="2160" w:type="dxa"/>
          </w:tcPr>
          <w:p w14:paraId="6BF099BF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Indirect, siting and resource assessment</w:t>
            </w:r>
          </w:p>
        </w:tc>
        <w:tc>
          <w:tcPr>
            <w:tcW w:w="1485" w:type="dxa"/>
          </w:tcPr>
          <w:p w14:paraId="084726F5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EO/GIS</w:t>
            </w:r>
          </w:p>
        </w:tc>
      </w:tr>
      <w:tr w:rsidR="00E879B8" w:rsidRPr="00B70772" w14:paraId="1971E6F2" w14:textId="77777777" w:rsidTr="00553CCE">
        <w:tc>
          <w:tcPr>
            <w:tcW w:w="1638" w:type="dxa"/>
          </w:tcPr>
          <w:p w14:paraId="312CEA34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Medina-Lopez et al. (2021)</w:t>
            </w:r>
          </w:p>
        </w:tc>
        <w:tc>
          <w:tcPr>
            <w:tcW w:w="1980" w:type="dxa"/>
          </w:tcPr>
          <w:p w14:paraId="23219F8A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Offshore renewables</w:t>
            </w:r>
          </w:p>
        </w:tc>
        <w:tc>
          <w:tcPr>
            <w:tcW w:w="1980" w:type="dxa"/>
          </w:tcPr>
          <w:p w14:paraId="5BF23205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Direct - satellite observations for offshore energy</w:t>
            </w:r>
          </w:p>
        </w:tc>
        <w:tc>
          <w:tcPr>
            <w:tcW w:w="2160" w:type="dxa"/>
          </w:tcPr>
          <w:p w14:paraId="7575CF31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Indirect, ORE planning and monitoring</w:t>
            </w:r>
          </w:p>
        </w:tc>
        <w:tc>
          <w:tcPr>
            <w:tcW w:w="1485" w:type="dxa"/>
          </w:tcPr>
          <w:p w14:paraId="439A81C9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EO/GIS; resilience</w:t>
            </w:r>
          </w:p>
        </w:tc>
      </w:tr>
      <w:tr w:rsidR="00E879B8" w:rsidRPr="00B70772" w14:paraId="2F7ACDF3" w14:textId="77777777" w:rsidTr="00553CCE">
        <w:tc>
          <w:tcPr>
            <w:tcW w:w="1638" w:type="dxa"/>
          </w:tcPr>
          <w:p w14:paraId="41B58D1C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Jurasz et al. (2020)</w:t>
            </w:r>
          </w:p>
        </w:tc>
        <w:tc>
          <w:tcPr>
            <w:tcW w:w="1980" w:type="dxa"/>
          </w:tcPr>
          <w:p w14:paraId="6CF331AD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Resource complementarity</w:t>
            </w:r>
          </w:p>
        </w:tc>
        <w:tc>
          <w:tcPr>
            <w:tcW w:w="1980" w:type="dxa"/>
          </w:tcPr>
          <w:p w14:paraId="48C5B721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Moderate - spatial and temporal variability</w:t>
            </w:r>
          </w:p>
        </w:tc>
        <w:tc>
          <w:tcPr>
            <w:tcW w:w="2160" w:type="dxa"/>
          </w:tcPr>
          <w:p w14:paraId="640F3B70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Storage need reduced or shaped by complementarity</w:t>
            </w:r>
          </w:p>
        </w:tc>
        <w:tc>
          <w:tcPr>
            <w:tcW w:w="1485" w:type="dxa"/>
          </w:tcPr>
          <w:p w14:paraId="37681859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EO/GIS; technology</w:t>
            </w:r>
          </w:p>
        </w:tc>
      </w:tr>
      <w:tr w:rsidR="00E879B8" w:rsidRPr="00B70772" w14:paraId="13F4BE7D" w14:textId="77777777" w:rsidTr="00553CCE">
        <w:tc>
          <w:tcPr>
            <w:tcW w:w="1638" w:type="dxa"/>
          </w:tcPr>
          <w:p w14:paraId="153B9EEC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Luo et al. (2015)</w:t>
            </w:r>
          </w:p>
        </w:tc>
        <w:tc>
          <w:tcPr>
            <w:tcW w:w="1980" w:type="dxa"/>
          </w:tcPr>
          <w:p w14:paraId="2B4C8DB1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Storage technology review</w:t>
            </w:r>
          </w:p>
        </w:tc>
        <w:tc>
          <w:tcPr>
            <w:tcW w:w="1980" w:type="dxa"/>
          </w:tcPr>
          <w:p w14:paraId="32E47D7E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Low - technology-focused</w:t>
            </w:r>
          </w:p>
        </w:tc>
        <w:tc>
          <w:tcPr>
            <w:tcW w:w="2160" w:type="dxa"/>
          </w:tcPr>
          <w:p w14:paraId="02AF1B7A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Electrical energy storage comparison</w:t>
            </w:r>
          </w:p>
        </w:tc>
        <w:tc>
          <w:tcPr>
            <w:tcW w:w="1485" w:type="dxa"/>
          </w:tcPr>
          <w:p w14:paraId="12BDBC7D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Technology</w:t>
            </w:r>
          </w:p>
        </w:tc>
      </w:tr>
      <w:tr w:rsidR="00E879B8" w:rsidRPr="00B70772" w14:paraId="590CBBD8" w14:textId="77777777" w:rsidTr="00553CCE">
        <w:tc>
          <w:tcPr>
            <w:tcW w:w="1638" w:type="dxa"/>
          </w:tcPr>
          <w:p w14:paraId="2F3C78EF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Koohi-Fayegh and Rosen (2020)</w:t>
            </w:r>
          </w:p>
        </w:tc>
        <w:tc>
          <w:tcPr>
            <w:tcW w:w="1980" w:type="dxa"/>
          </w:tcPr>
          <w:p w14:paraId="3DF83327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Storage review</w:t>
            </w:r>
          </w:p>
        </w:tc>
        <w:tc>
          <w:tcPr>
            <w:tcW w:w="1980" w:type="dxa"/>
          </w:tcPr>
          <w:p w14:paraId="75CF4032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Low - technology-focused</w:t>
            </w:r>
          </w:p>
        </w:tc>
        <w:tc>
          <w:tcPr>
            <w:tcW w:w="2160" w:type="dxa"/>
          </w:tcPr>
          <w:p w14:paraId="2ADEC6FC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Storage types, applications and developments</w:t>
            </w:r>
          </w:p>
        </w:tc>
        <w:tc>
          <w:tcPr>
            <w:tcW w:w="1485" w:type="dxa"/>
          </w:tcPr>
          <w:p w14:paraId="3F847F19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Technology; lifecycle</w:t>
            </w:r>
          </w:p>
        </w:tc>
      </w:tr>
      <w:tr w:rsidR="00E879B8" w:rsidRPr="00B70772" w14:paraId="6D4E21E1" w14:textId="77777777" w:rsidTr="00553CCE">
        <w:tc>
          <w:tcPr>
            <w:tcW w:w="1638" w:type="dxa"/>
          </w:tcPr>
          <w:p w14:paraId="588F3E89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Guo et al. (2023)</w:t>
            </w:r>
          </w:p>
        </w:tc>
        <w:tc>
          <w:tcPr>
            <w:tcW w:w="1980" w:type="dxa"/>
          </w:tcPr>
          <w:p w14:paraId="0A5EEB49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Microgrid operation</w:t>
            </w:r>
          </w:p>
        </w:tc>
        <w:tc>
          <w:tcPr>
            <w:tcW w:w="1980" w:type="dxa"/>
          </w:tcPr>
          <w:p w14:paraId="7674F701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Moderate - isolated systems and renewable variability</w:t>
            </w:r>
          </w:p>
        </w:tc>
        <w:tc>
          <w:tcPr>
            <w:tcW w:w="2160" w:type="dxa"/>
          </w:tcPr>
          <w:p w14:paraId="0034D701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Hybrid seasonal-battery storage</w:t>
            </w:r>
          </w:p>
        </w:tc>
        <w:tc>
          <w:tcPr>
            <w:tcW w:w="1485" w:type="dxa"/>
          </w:tcPr>
          <w:p w14:paraId="0628FBBC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Technology; economics</w:t>
            </w:r>
          </w:p>
        </w:tc>
      </w:tr>
      <w:tr w:rsidR="00E879B8" w:rsidRPr="00B70772" w14:paraId="750220AE" w14:textId="77777777" w:rsidTr="00553CCE">
        <w:tc>
          <w:tcPr>
            <w:tcW w:w="1638" w:type="dxa"/>
          </w:tcPr>
          <w:p w14:paraId="6976A0FE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Erdemir and Dincer (2023)</w:t>
            </w:r>
          </w:p>
        </w:tc>
        <w:tc>
          <w:tcPr>
            <w:tcW w:w="1980" w:type="dxa"/>
          </w:tcPr>
          <w:p w14:paraId="070B2BAF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Storage system assessment</w:t>
            </w:r>
          </w:p>
        </w:tc>
        <w:tc>
          <w:tcPr>
            <w:tcW w:w="1980" w:type="dxa"/>
          </w:tcPr>
          <w:p w14:paraId="52979245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Low to moderate - solar-driven station context</w:t>
            </w:r>
          </w:p>
        </w:tc>
        <w:tc>
          <w:tcPr>
            <w:tcW w:w="2160" w:type="dxa"/>
          </w:tcPr>
          <w:p w14:paraId="1BD335AA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Liquid CO2 storage with solar charging</w:t>
            </w:r>
          </w:p>
        </w:tc>
        <w:tc>
          <w:tcPr>
            <w:tcW w:w="1485" w:type="dxa"/>
          </w:tcPr>
          <w:p w14:paraId="10BE7102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Technology; lifecycle</w:t>
            </w:r>
          </w:p>
        </w:tc>
      </w:tr>
      <w:tr w:rsidR="00E879B8" w:rsidRPr="00B70772" w14:paraId="2165B96D" w14:textId="77777777" w:rsidTr="00553CCE">
        <w:tc>
          <w:tcPr>
            <w:tcW w:w="1638" w:type="dxa"/>
          </w:tcPr>
          <w:p w14:paraId="6DACB3EF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Salkuti (2025)</w:t>
            </w:r>
          </w:p>
        </w:tc>
        <w:tc>
          <w:tcPr>
            <w:tcW w:w="1980" w:type="dxa"/>
          </w:tcPr>
          <w:p w14:paraId="157FDA6D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Techno-economic analysis</w:t>
            </w:r>
          </w:p>
        </w:tc>
        <w:tc>
          <w:tcPr>
            <w:tcW w:w="1980" w:type="dxa"/>
          </w:tcPr>
          <w:p w14:paraId="64EB5226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Low to moderate</w:t>
            </w:r>
          </w:p>
        </w:tc>
        <w:tc>
          <w:tcPr>
            <w:tcW w:w="2160" w:type="dxa"/>
          </w:tcPr>
          <w:p w14:paraId="32BB71BE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Renewable energy, storage and EVs</w:t>
            </w:r>
          </w:p>
        </w:tc>
        <w:tc>
          <w:tcPr>
            <w:tcW w:w="1485" w:type="dxa"/>
          </w:tcPr>
          <w:p w14:paraId="5C075C1D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Economics</w:t>
            </w:r>
          </w:p>
        </w:tc>
      </w:tr>
      <w:tr w:rsidR="00E879B8" w:rsidRPr="00B70772" w14:paraId="57907761" w14:textId="77777777" w:rsidTr="00553CCE">
        <w:tc>
          <w:tcPr>
            <w:tcW w:w="1638" w:type="dxa"/>
          </w:tcPr>
          <w:p w14:paraId="56874BDC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Ojo et al. (2025)</w:t>
            </w:r>
          </w:p>
        </w:tc>
        <w:tc>
          <w:tcPr>
            <w:tcW w:w="1980" w:type="dxa"/>
          </w:tcPr>
          <w:p w14:paraId="1F7618C8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IoT and storage</w:t>
            </w:r>
          </w:p>
        </w:tc>
        <w:tc>
          <w:tcPr>
            <w:tcW w:w="1980" w:type="dxa"/>
          </w:tcPr>
          <w:p w14:paraId="10A16CAD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Moderate - sensor/digital grid data</w:t>
            </w:r>
          </w:p>
        </w:tc>
        <w:tc>
          <w:tcPr>
            <w:tcW w:w="2160" w:type="dxa"/>
          </w:tcPr>
          <w:p w14:paraId="1BD2EF48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IoT-enabled storage integration</w:t>
            </w:r>
          </w:p>
        </w:tc>
        <w:tc>
          <w:tcPr>
            <w:tcW w:w="1485" w:type="dxa"/>
          </w:tcPr>
          <w:p w14:paraId="06326D1C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Digitalization</w:t>
            </w:r>
          </w:p>
        </w:tc>
      </w:tr>
      <w:tr w:rsidR="00E879B8" w:rsidRPr="00B70772" w14:paraId="1137778D" w14:textId="77777777" w:rsidTr="00553CCE">
        <w:tc>
          <w:tcPr>
            <w:tcW w:w="1638" w:type="dxa"/>
          </w:tcPr>
          <w:p w14:paraId="5C40A485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Orhan et al. (2025)</w:t>
            </w:r>
          </w:p>
        </w:tc>
        <w:tc>
          <w:tcPr>
            <w:tcW w:w="1980" w:type="dxa"/>
          </w:tcPr>
          <w:p w14:paraId="36F46BD1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Power-system modelling</w:t>
            </w:r>
          </w:p>
        </w:tc>
        <w:tc>
          <w:tcPr>
            <w:tcW w:w="1980" w:type="dxa"/>
          </w:tcPr>
          <w:p w14:paraId="59D9012C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Low - simulation-focused</w:t>
            </w:r>
          </w:p>
        </w:tc>
        <w:tc>
          <w:tcPr>
            <w:tcW w:w="2160" w:type="dxa"/>
          </w:tcPr>
          <w:p w14:paraId="750EE36D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Hydrogen vs lithium-ion battery</w:t>
            </w:r>
          </w:p>
        </w:tc>
        <w:tc>
          <w:tcPr>
            <w:tcW w:w="1485" w:type="dxa"/>
          </w:tcPr>
          <w:p w14:paraId="5737C2C2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Technology</w:t>
            </w:r>
          </w:p>
        </w:tc>
      </w:tr>
      <w:tr w:rsidR="00E879B8" w:rsidRPr="00B70772" w14:paraId="261779AF" w14:textId="77777777" w:rsidTr="00553CCE">
        <w:tc>
          <w:tcPr>
            <w:tcW w:w="1638" w:type="dxa"/>
          </w:tcPr>
          <w:p w14:paraId="17F2255B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Audu et al. (2025)</w:t>
            </w:r>
          </w:p>
        </w:tc>
        <w:tc>
          <w:tcPr>
            <w:tcW w:w="1980" w:type="dxa"/>
          </w:tcPr>
          <w:p w14:paraId="3F8FD253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Storage advances review</w:t>
            </w:r>
          </w:p>
        </w:tc>
        <w:tc>
          <w:tcPr>
            <w:tcW w:w="1980" w:type="dxa"/>
          </w:tcPr>
          <w:p w14:paraId="0B8491D2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Low to moderate</w:t>
            </w:r>
          </w:p>
        </w:tc>
        <w:tc>
          <w:tcPr>
            <w:tcW w:w="2160" w:type="dxa"/>
          </w:tcPr>
          <w:p w14:paraId="77DAECB1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Advanced storage for renewable systems</w:t>
            </w:r>
          </w:p>
        </w:tc>
        <w:tc>
          <w:tcPr>
            <w:tcW w:w="1485" w:type="dxa"/>
          </w:tcPr>
          <w:p w14:paraId="24B7467A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Technology</w:t>
            </w:r>
          </w:p>
        </w:tc>
      </w:tr>
      <w:tr w:rsidR="00E879B8" w:rsidRPr="00B70772" w14:paraId="61898E1D" w14:textId="77777777" w:rsidTr="00553CCE">
        <w:tc>
          <w:tcPr>
            <w:tcW w:w="1638" w:type="dxa"/>
          </w:tcPr>
          <w:p w14:paraId="6DA3ED5D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Szpilko et al. (2024)</w:t>
            </w:r>
          </w:p>
        </w:tc>
        <w:tc>
          <w:tcPr>
            <w:tcW w:w="1980" w:type="dxa"/>
          </w:tcPr>
          <w:p w14:paraId="44D5EADE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Smart cities</w:t>
            </w:r>
          </w:p>
        </w:tc>
        <w:tc>
          <w:tcPr>
            <w:tcW w:w="1980" w:type="dxa"/>
          </w:tcPr>
          <w:p w14:paraId="5DA017A5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Moderate - smart-city geospatial and digital systems</w:t>
            </w:r>
          </w:p>
        </w:tc>
        <w:tc>
          <w:tcPr>
            <w:tcW w:w="2160" w:type="dxa"/>
          </w:tcPr>
          <w:p w14:paraId="61B7FC57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Energy in smart cities</w:t>
            </w:r>
          </w:p>
        </w:tc>
        <w:tc>
          <w:tcPr>
            <w:tcW w:w="1485" w:type="dxa"/>
          </w:tcPr>
          <w:p w14:paraId="6A5888EB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Digitalization; EO/GIS</w:t>
            </w:r>
          </w:p>
        </w:tc>
      </w:tr>
      <w:tr w:rsidR="00E879B8" w:rsidRPr="00B70772" w14:paraId="0967299E" w14:textId="77777777" w:rsidTr="00553CCE">
        <w:tc>
          <w:tcPr>
            <w:tcW w:w="1638" w:type="dxa"/>
          </w:tcPr>
          <w:p w14:paraId="751DDA34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Desai (2024)</w:t>
            </w:r>
          </w:p>
        </w:tc>
        <w:tc>
          <w:tcPr>
            <w:tcW w:w="1980" w:type="dxa"/>
          </w:tcPr>
          <w:p w14:paraId="1548FDC5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EV charging</w:t>
            </w:r>
          </w:p>
        </w:tc>
        <w:tc>
          <w:tcPr>
            <w:tcW w:w="1980" w:type="dxa"/>
          </w:tcPr>
          <w:p w14:paraId="2C3C323A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Low to moderate</w:t>
            </w:r>
          </w:p>
        </w:tc>
        <w:tc>
          <w:tcPr>
            <w:tcW w:w="2160" w:type="dxa"/>
          </w:tcPr>
          <w:p w14:paraId="1C5FB5BC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Storage and renewable charging infrastructure</w:t>
            </w:r>
          </w:p>
        </w:tc>
        <w:tc>
          <w:tcPr>
            <w:tcW w:w="1485" w:type="dxa"/>
          </w:tcPr>
          <w:p w14:paraId="1ECBBEE5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Technology; policy</w:t>
            </w:r>
          </w:p>
        </w:tc>
      </w:tr>
      <w:tr w:rsidR="00E879B8" w:rsidRPr="00B70772" w14:paraId="1D256CA1" w14:textId="77777777" w:rsidTr="00553CCE">
        <w:tc>
          <w:tcPr>
            <w:tcW w:w="1638" w:type="dxa"/>
          </w:tcPr>
          <w:p w14:paraId="55B43E61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Sayeed and Manikandan (2024)</w:t>
            </w:r>
          </w:p>
        </w:tc>
        <w:tc>
          <w:tcPr>
            <w:tcW w:w="1980" w:type="dxa"/>
          </w:tcPr>
          <w:p w14:paraId="7ECA00FA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Transportation energy</w:t>
            </w:r>
          </w:p>
        </w:tc>
        <w:tc>
          <w:tcPr>
            <w:tcW w:w="1980" w:type="dxa"/>
          </w:tcPr>
          <w:p w14:paraId="26946CAF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Low to moderate</w:t>
            </w:r>
          </w:p>
        </w:tc>
        <w:tc>
          <w:tcPr>
            <w:tcW w:w="2160" w:type="dxa"/>
          </w:tcPr>
          <w:p w14:paraId="271A44C6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Renewable integration in transport</w:t>
            </w:r>
          </w:p>
        </w:tc>
        <w:tc>
          <w:tcPr>
            <w:tcW w:w="1485" w:type="dxa"/>
          </w:tcPr>
          <w:p w14:paraId="35CD398B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Policy; technology</w:t>
            </w:r>
          </w:p>
        </w:tc>
      </w:tr>
      <w:tr w:rsidR="00E879B8" w:rsidRPr="00B70772" w14:paraId="26EAAECC" w14:textId="77777777" w:rsidTr="00553CCE">
        <w:tc>
          <w:tcPr>
            <w:tcW w:w="1638" w:type="dxa"/>
          </w:tcPr>
          <w:p w14:paraId="3FC51BE1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Albatayneh (2024)</w:t>
            </w:r>
          </w:p>
        </w:tc>
        <w:tc>
          <w:tcPr>
            <w:tcW w:w="1980" w:type="dxa"/>
          </w:tcPr>
          <w:p w14:paraId="07CB53D8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Renewables and water</w:t>
            </w:r>
          </w:p>
        </w:tc>
        <w:tc>
          <w:tcPr>
            <w:tcW w:w="1980" w:type="dxa"/>
          </w:tcPr>
          <w:p w14:paraId="1E5C356D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Moderate - arid-land and resource constraints</w:t>
            </w:r>
          </w:p>
        </w:tc>
        <w:tc>
          <w:tcPr>
            <w:tcW w:w="2160" w:type="dxa"/>
          </w:tcPr>
          <w:p w14:paraId="527A53AA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Renewables in water-scarce context</w:t>
            </w:r>
          </w:p>
        </w:tc>
        <w:tc>
          <w:tcPr>
            <w:tcW w:w="1485" w:type="dxa"/>
          </w:tcPr>
          <w:p w14:paraId="39E87C05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Policy; EO/GIS</w:t>
            </w:r>
          </w:p>
        </w:tc>
      </w:tr>
      <w:tr w:rsidR="00E879B8" w:rsidRPr="00B70772" w14:paraId="3781487F" w14:textId="77777777" w:rsidTr="00553CCE">
        <w:tc>
          <w:tcPr>
            <w:tcW w:w="1638" w:type="dxa"/>
          </w:tcPr>
          <w:p w14:paraId="14409FEE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Yang and Huang (2025)</w:t>
            </w:r>
          </w:p>
        </w:tc>
        <w:tc>
          <w:tcPr>
            <w:tcW w:w="1980" w:type="dxa"/>
          </w:tcPr>
          <w:p w14:paraId="0E441C72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Governance review</w:t>
            </w:r>
          </w:p>
        </w:tc>
        <w:tc>
          <w:tcPr>
            <w:tcW w:w="1980" w:type="dxa"/>
          </w:tcPr>
          <w:p w14:paraId="6603F09E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Low to moderate</w:t>
            </w:r>
          </w:p>
        </w:tc>
        <w:tc>
          <w:tcPr>
            <w:tcW w:w="2160" w:type="dxa"/>
          </w:tcPr>
          <w:p w14:paraId="4032C7DF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Storage governance and regional cooperation</w:t>
            </w:r>
          </w:p>
        </w:tc>
        <w:tc>
          <w:tcPr>
            <w:tcW w:w="1485" w:type="dxa"/>
          </w:tcPr>
          <w:p w14:paraId="772A941E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Policy</w:t>
            </w:r>
          </w:p>
        </w:tc>
      </w:tr>
      <w:tr w:rsidR="00E879B8" w:rsidRPr="00B70772" w14:paraId="0D950E1D" w14:textId="77777777" w:rsidTr="00553CCE">
        <w:tc>
          <w:tcPr>
            <w:tcW w:w="1638" w:type="dxa"/>
          </w:tcPr>
          <w:p w14:paraId="75C704E1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lastRenderedPageBreak/>
              <w:t>Kaczmarczyk et al. (2023)</w:t>
            </w:r>
          </w:p>
        </w:tc>
        <w:tc>
          <w:tcPr>
            <w:tcW w:w="1980" w:type="dxa"/>
          </w:tcPr>
          <w:p w14:paraId="6F131649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Desalination and renewables</w:t>
            </w:r>
          </w:p>
        </w:tc>
        <w:tc>
          <w:tcPr>
            <w:tcW w:w="1980" w:type="dxa"/>
          </w:tcPr>
          <w:p w14:paraId="4A4AD3BF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Moderate - resource complementarity</w:t>
            </w:r>
          </w:p>
        </w:tc>
        <w:tc>
          <w:tcPr>
            <w:tcW w:w="2160" w:type="dxa"/>
          </w:tcPr>
          <w:p w14:paraId="33AA2F83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Storage for renewable desalination</w:t>
            </w:r>
          </w:p>
        </w:tc>
        <w:tc>
          <w:tcPr>
            <w:tcW w:w="1485" w:type="dxa"/>
          </w:tcPr>
          <w:p w14:paraId="22ED885D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Technology; EO/GIS</w:t>
            </w:r>
          </w:p>
        </w:tc>
      </w:tr>
      <w:tr w:rsidR="00E879B8" w:rsidRPr="00B70772" w14:paraId="1B6DF79B" w14:textId="77777777" w:rsidTr="00553CCE">
        <w:tc>
          <w:tcPr>
            <w:tcW w:w="1638" w:type="dxa"/>
          </w:tcPr>
          <w:p w14:paraId="2A4B1619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Elliot et al. (2025)</w:t>
            </w:r>
          </w:p>
        </w:tc>
        <w:tc>
          <w:tcPr>
            <w:tcW w:w="1980" w:type="dxa"/>
          </w:tcPr>
          <w:p w14:paraId="1D9B9354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Community storage</w:t>
            </w:r>
          </w:p>
        </w:tc>
        <w:tc>
          <w:tcPr>
            <w:tcW w:w="1980" w:type="dxa"/>
          </w:tcPr>
          <w:p w14:paraId="746FB39C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Moderate - community-energy context</w:t>
            </w:r>
          </w:p>
        </w:tc>
        <w:tc>
          <w:tcPr>
            <w:tcW w:w="2160" w:type="dxa"/>
          </w:tcPr>
          <w:p w14:paraId="7C4A6D6A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Community energy storage</w:t>
            </w:r>
          </w:p>
        </w:tc>
        <w:tc>
          <w:tcPr>
            <w:tcW w:w="1485" w:type="dxa"/>
          </w:tcPr>
          <w:p w14:paraId="4E54848D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Justice/community</w:t>
            </w:r>
          </w:p>
        </w:tc>
      </w:tr>
      <w:tr w:rsidR="00E879B8" w:rsidRPr="00B70772" w14:paraId="6E59F26A" w14:textId="77777777" w:rsidTr="00553CCE">
        <w:tc>
          <w:tcPr>
            <w:tcW w:w="1638" w:type="dxa"/>
          </w:tcPr>
          <w:p w14:paraId="64C0BBBD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Dawn et al. (2025)</w:t>
            </w:r>
          </w:p>
        </w:tc>
        <w:tc>
          <w:tcPr>
            <w:tcW w:w="1980" w:type="dxa"/>
          </w:tcPr>
          <w:p w14:paraId="50EF37F9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Deregulated markets</w:t>
            </w:r>
          </w:p>
        </w:tc>
        <w:tc>
          <w:tcPr>
            <w:tcW w:w="1980" w:type="dxa"/>
          </w:tcPr>
          <w:p w14:paraId="04431E08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Low to moderate</w:t>
            </w:r>
          </w:p>
        </w:tc>
        <w:tc>
          <w:tcPr>
            <w:tcW w:w="2160" w:type="dxa"/>
          </w:tcPr>
          <w:p w14:paraId="1DE3D2D4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Storage, EVs and policy</w:t>
            </w:r>
          </w:p>
        </w:tc>
        <w:tc>
          <w:tcPr>
            <w:tcW w:w="1485" w:type="dxa"/>
          </w:tcPr>
          <w:p w14:paraId="481BD227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Policy; economics</w:t>
            </w:r>
          </w:p>
        </w:tc>
      </w:tr>
      <w:tr w:rsidR="00E879B8" w:rsidRPr="00B70772" w14:paraId="174CBF48" w14:textId="77777777" w:rsidTr="00553CCE">
        <w:tc>
          <w:tcPr>
            <w:tcW w:w="1638" w:type="dxa"/>
          </w:tcPr>
          <w:p w14:paraId="0BB5BAF5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Geels (2002)</w:t>
            </w:r>
          </w:p>
        </w:tc>
        <w:tc>
          <w:tcPr>
            <w:tcW w:w="1980" w:type="dxa"/>
          </w:tcPr>
          <w:p w14:paraId="55D1F297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Transition theory</w:t>
            </w:r>
          </w:p>
        </w:tc>
        <w:tc>
          <w:tcPr>
            <w:tcW w:w="1980" w:type="dxa"/>
          </w:tcPr>
          <w:p w14:paraId="72545D6C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Indirect</w:t>
            </w:r>
          </w:p>
        </w:tc>
        <w:tc>
          <w:tcPr>
            <w:tcW w:w="2160" w:type="dxa"/>
          </w:tcPr>
          <w:p w14:paraId="2990FEE2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Theoretical context for storage transition</w:t>
            </w:r>
          </w:p>
        </w:tc>
        <w:tc>
          <w:tcPr>
            <w:tcW w:w="1485" w:type="dxa"/>
          </w:tcPr>
          <w:p w14:paraId="3A8EE750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Theory</w:t>
            </w:r>
          </w:p>
        </w:tc>
      </w:tr>
      <w:tr w:rsidR="00E879B8" w:rsidRPr="00B70772" w14:paraId="53A8C29E" w14:textId="77777777" w:rsidTr="00553CCE">
        <w:tc>
          <w:tcPr>
            <w:tcW w:w="1638" w:type="dxa"/>
          </w:tcPr>
          <w:p w14:paraId="7652F11D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Sovacool and Dworkin (2015)</w:t>
            </w:r>
          </w:p>
        </w:tc>
        <w:tc>
          <w:tcPr>
            <w:tcW w:w="1980" w:type="dxa"/>
          </w:tcPr>
          <w:p w14:paraId="66F8DC12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Energy justice</w:t>
            </w:r>
          </w:p>
        </w:tc>
        <w:tc>
          <w:tcPr>
            <w:tcW w:w="1980" w:type="dxa"/>
          </w:tcPr>
          <w:p w14:paraId="741F8629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Indirect</w:t>
            </w:r>
          </w:p>
        </w:tc>
        <w:tc>
          <w:tcPr>
            <w:tcW w:w="2160" w:type="dxa"/>
          </w:tcPr>
          <w:p w14:paraId="786ADB1C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Justice lens for storage siting and access</w:t>
            </w:r>
          </w:p>
        </w:tc>
        <w:tc>
          <w:tcPr>
            <w:tcW w:w="1485" w:type="dxa"/>
          </w:tcPr>
          <w:p w14:paraId="3664CA11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Justice/community</w:t>
            </w:r>
          </w:p>
        </w:tc>
      </w:tr>
      <w:tr w:rsidR="00E879B8" w:rsidRPr="00B70772" w14:paraId="7612A562" w14:textId="77777777" w:rsidTr="00553CCE">
        <w:tc>
          <w:tcPr>
            <w:tcW w:w="1638" w:type="dxa"/>
          </w:tcPr>
          <w:p w14:paraId="0C3F1C71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Page et al. (2021)</w:t>
            </w:r>
          </w:p>
        </w:tc>
        <w:tc>
          <w:tcPr>
            <w:tcW w:w="1980" w:type="dxa"/>
          </w:tcPr>
          <w:p w14:paraId="6C32C3E2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Review methodology</w:t>
            </w:r>
          </w:p>
        </w:tc>
        <w:tc>
          <w:tcPr>
            <w:tcW w:w="1980" w:type="dxa"/>
          </w:tcPr>
          <w:p w14:paraId="7291B514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Indirect</w:t>
            </w:r>
          </w:p>
        </w:tc>
        <w:tc>
          <w:tcPr>
            <w:tcW w:w="2160" w:type="dxa"/>
          </w:tcPr>
          <w:p w14:paraId="5ADCA365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Review reporting standard</w:t>
            </w:r>
          </w:p>
        </w:tc>
        <w:tc>
          <w:tcPr>
            <w:tcW w:w="1485" w:type="dxa"/>
          </w:tcPr>
          <w:p w14:paraId="5D753F84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Methods</w:t>
            </w:r>
          </w:p>
        </w:tc>
      </w:tr>
      <w:tr w:rsidR="00E879B8" w:rsidRPr="00B70772" w14:paraId="2BE14AA1" w14:textId="77777777" w:rsidTr="00553CCE">
        <w:tc>
          <w:tcPr>
            <w:tcW w:w="1638" w:type="dxa"/>
          </w:tcPr>
          <w:p w14:paraId="445F9929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IRENA (2024)</w:t>
            </w:r>
          </w:p>
        </w:tc>
        <w:tc>
          <w:tcPr>
            <w:tcW w:w="1980" w:type="dxa"/>
          </w:tcPr>
          <w:p w14:paraId="22839DC7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Energy cost trends</w:t>
            </w:r>
          </w:p>
        </w:tc>
        <w:tc>
          <w:tcPr>
            <w:tcW w:w="1980" w:type="dxa"/>
          </w:tcPr>
          <w:p w14:paraId="2E4893A4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Indirect</w:t>
            </w:r>
          </w:p>
        </w:tc>
        <w:tc>
          <w:tcPr>
            <w:tcW w:w="2160" w:type="dxa"/>
          </w:tcPr>
          <w:p w14:paraId="3154C4D5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Renewable cost context for storage needs</w:t>
            </w:r>
          </w:p>
        </w:tc>
        <w:tc>
          <w:tcPr>
            <w:tcW w:w="1485" w:type="dxa"/>
          </w:tcPr>
          <w:p w14:paraId="1C0FF972" w14:textId="77777777" w:rsidR="00E879B8" w:rsidRPr="00B70772" w:rsidRDefault="00E879B8" w:rsidP="00553CCE">
            <w:pPr>
              <w:spacing w:after="0"/>
              <w:rPr>
                <w:rFonts w:ascii="Times New Roman" w:hAnsi="Times New Roman" w:cs="Times New Roman"/>
              </w:rPr>
            </w:pPr>
            <w:r w:rsidRPr="00B70772">
              <w:rPr>
                <w:rFonts w:ascii="Times New Roman" w:hAnsi="Times New Roman" w:cs="Times New Roman"/>
              </w:rPr>
              <w:t>Economics; policy</w:t>
            </w:r>
          </w:p>
        </w:tc>
      </w:tr>
    </w:tbl>
    <w:p w14:paraId="7CF8CF83" w14:textId="77777777" w:rsidR="00E879B8" w:rsidRPr="00B70772" w:rsidRDefault="00E879B8" w:rsidP="00E879B8">
      <w:pPr>
        <w:spacing w:line="360" w:lineRule="auto"/>
        <w:rPr>
          <w:rFonts w:ascii="Times New Roman" w:hAnsi="Times New Roman" w:cs="Times New Roman"/>
          <w:sz w:val="22"/>
        </w:rPr>
      </w:pPr>
    </w:p>
    <w:p w14:paraId="56508732" w14:textId="77777777" w:rsidR="008B07A6" w:rsidRDefault="008B07A6"/>
    <w:sectPr w:rsidR="008B07A6" w:rsidSect="00E879B8">
      <w:footerReference w:type="default" r:id="rId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827145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703DCA4D" w14:textId="77777777" w:rsidR="00E879B8" w:rsidRPr="00AD72CF" w:rsidRDefault="00E879B8">
        <w:pPr>
          <w:pStyle w:val="Footer"/>
          <w:jc w:val="center"/>
          <w:rPr>
            <w:sz w:val="22"/>
          </w:rPr>
        </w:pPr>
        <w:r w:rsidRPr="00AD72CF">
          <w:rPr>
            <w:sz w:val="22"/>
          </w:rPr>
          <w:fldChar w:fldCharType="begin"/>
        </w:r>
        <w:r w:rsidRPr="00AD72CF">
          <w:rPr>
            <w:sz w:val="22"/>
          </w:rPr>
          <w:instrText xml:space="preserve"> PAGE   \* MERGEFORMAT </w:instrText>
        </w:r>
        <w:r w:rsidRPr="00AD72CF">
          <w:rPr>
            <w:sz w:val="22"/>
          </w:rPr>
          <w:fldChar w:fldCharType="separate"/>
        </w:r>
        <w:r>
          <w:rPr>
            <w:noProof/>
            <w:sz w:val="22"/>
          </w:rPr>
          <w:t>1</w:t>
        </w:r>
        <w:r w:rsidRPr="00AD72CF">
          <w:rPr>
            <w:noProof/>
            <w:sz w:val="22"/>
          </w:rPr>
          <w:fldChar w:fldCharType="end"/>
        </w:r>
      </w:p>
    </w:sdtContent>
  </w:sdt>
  <w:p w14:paraId="0D86D39A" w14:textId="77777777" w:rsidR="00E879B8" w:rsidRDefault="00E879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B8"/>
    <w:rsid w:val="00066677"/>
    <w:rsid w:val="00153A17"/>
    <w:rsid w:val="001A37F3"/>
    <w:rsid w:val="003A4E89"/>
    <w:rsid w:val="00556784"/>
    <w:rsid w:val="006E7A55"/>
    <w:rsid w:val="008B07A6"/>
    <w:rsid w:val="0097029A"/>
    <w:rsid w:val="00987B63"/>
    <w:rsid w:val="00A234E6"/>
    <w:rsid w:val="00D31E7D"/>
    <w:rsid w:val="00E8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4D62"/>
  <w15:chartTrackingRefBased/>
  <w15:docId w15:val="{CB237A9A-933C-494A-8C5F-8018F531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B8"/>
    <w:pPr>
      <w:spacing w:after="120" w:line="276" w:lineRule="auto"/>
    </w:pPr>
    <w:rPr>
      <w:rFonts w:ascii="Arial" w:eastAsia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9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9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9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9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9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9B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9B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9B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9B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7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9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7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9B8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7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9B8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7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9B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87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9B8"/>
    <w:rPr>
      <w:rFonts w:ascii="Arial" w:eastAsia="Arial" w:hAnsi="Arial"/>
      <w:kern w:val="0"/>
      <w:szCs w:val="22"/>
      <w14:ligatures w14:val="none"/>
    </w:rPr>
  </w:style>
  <w:style w:type="table" w:styleId="TableGrid">
    <w:name w:val="Table Grid"/>
    <w:basedOn w:val="TableNormal"/>
    <w:uiPriority w:val="59"/>
    <w:rsid w:val="00E879B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2026-07-22T15:06:00Z</dcterms:created>
  <dcterms:modified xsi:type="dcterms:W3CDTF">2026-07-22T15:07:00Z</dcterms:modified>
</cp:coreProperties>
</file>