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02A7" w14:textId="77777777" w:rsidR="00BD387D" w:rsidRPr="005742D0" w:rsidRDefault="00BD387D" w:rsidP="00BD387D">
      <w:pPr>
        <w:pStyle w:val="Caption"/>
        <w:jc w:val="both"/>
        <w:rPr>
          <w:rFonts w:ascii="Times New Roman" w:eastAsia="Candara" w:hAnsi="Times New Roman" w:cs="Times New Roman"/>
          <w:b/>
          <w:bCs/>
          <w:i w:val="0"/>
          <w:iCs w:val="0"/>
          <w:color w:val="auto"/>
          <w:sz w:val="24"/>
          <w:szCs w:val="24"/>
          <w:lang/>
        </w:rPr>
      </w:pPr>
      <w:r w:rsidRPr="005742D0">
        <w:rPr>
          <w:rFonts w:ascii="Times New Roman" w:eastAsia="Candara" w:hAnsi="Times New Roman" w:cs="Times New Roman"/>
          <w:b/>
          <w:bCs/>
          <w:i w:val="0"/>
          <w:iCs w:val="0"/>
          <w:color w:val="auto"/>
          <w:sz w:val="24"/>
          <w:szCs w:val="24"/>
          <w:lang/>
        </w:rPr>
        <w:t>Supplementary Figure S1: Pause Point Completion by Time Period</w:t>
      </w:r>
    </w:p>
    <w:p w14:paraId="3AB8B2C9" w14:textId="77777777" w:rsidR="00BD387D" w:rsidRPr="005742D0" w:rsidRDefault="00BD387D" w:rsidP="00BD387D">
      <w:pPr>
        <w:spacing w:before="100" w:after="280"/>
        <w:rPr>
          <w:rFonts w:ascii="Times New Roman" w:hAnsi="Times New Roman" w:cs="Times New Roman"/>
          <w:i/>
          <w:iCs/>
          <w:sz w:val="17"/>
          <w:szCs w:val="17"/>
        </w:rPr>
      </w:pPr>
    </w:p>
    <w:p w14:paraId="5AAF94FF" w14:textId="77777777" w:rsidR="00BD387D" w:rsidRPr="005742D0" w:rsidRDefault="00BD387D" w:rsidP="00BD387D">
      <w:pPr>
        <w:spacing w:before="100" w:after="280"/>
        <w:rPr>
          <w:rFonts w:ascii="Times New Roman" w:hAnsi="Times New Roman" w:cs="Times New Roman"/>
        </w:rPr>
      </w:pPr>
      <w:r w:rsidRPr="005742D0">
        <w:rPr>
          <w:rFonts w:ascii="Times New Roman" w:hAnsi="Times New Roman" w:cs="Times New Roman"/>
          <w:noProof/>
        </w:rPr>
        <w:drawing>
          <wp:inline distT="0" distB="0" distL="0" distR="0" wp14:anchorId="1CF3DB85" wp14:editId="523951D6">
            <wp:extent cx="4535805" cy="2057400"/>
            <wp:effectExtent l="0" t="0" r="17145" b="0"/>
            <wp:docPr id="11406907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9D11E8D-ACE4-0CC3-C7BF-9E9926EF5A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3A3A717" w14:textId="77777777" w:rsidR="00F60FDE" w:rsidRPr="005742D0" w:rsidRDefault="00F60FDE">
      <w:pPr>
        <w:rPr>
          <w:rFonts w:ascii="Times New Roman" w:hAnsi="Times New Roman" w:cs="Times New Roman"/>
        </w:rPr>
      </w:pPr>
    </w:p>
    <w:sectPr w:rsidR="00F60FDE" w:rsidRPr="005742D0" w:rsidSect="00BD387D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7D"/>
    <w:rsid w:val="000D3123"/>
    <w:rsid w:val="00132F82"/>
    <w:rsid w:val="002C1F3D"/>
    <w:rsid w:val="005742D0"/>
    <w:rsid w:val="0059101D"/>
    <w:rsid w:val="006A7420"/>
    <w:rsid w:val="009C1DD7"/>
    <w:rsid w:val="00BD387D"/>
    <w:rsid w:val="00F60FDE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AF661"/>
  <w15:chartTrackingRefBased/>
  <w15:docId w15:val="{01784F37-130E-C342-9C03-65E97438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87D"/>
    <w:pPr>
      <w:spacing w:after="0" w:line="240" w:lineRule="auto"/>
    </w:pPr>
    <w:rPr>
      <w:rFonts w:ascii="Candara" w:eastAsia="Candara" w:hAnsi="Candara" w:cs="Candara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8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8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8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8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8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8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8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8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8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8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8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8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8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3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8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38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8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87D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D387D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/>
              <a:t>Mean Completion Over Time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ID4096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'SCC Semi-Annual Trends'!$A$2</c:f>
              <c:strCache>
                <c:ptCount val="1"/>
                <c:pt idx="0">
                  <c:v>Jul-Dec 2024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LID4096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'SCC Semi-Annual Trends'!$B$1:$E$1</c:f>
              <c:strCache>
                <c:ptCount val="4"/>
                <c:pt idx="0">
                  <c:v>PP1 (%)</c:v>
                </c:pt>
                <c:pt idx="1">
                  <c:v>PP2 (%)</c:v>
                </c:pt>
                <c:pt idx="2">
                  <c:v>PP3 (%)</c:v>
                </c:pt>
                <c:pt idx="3">
                  <c:v>PP4 (%)</c:v>
                </c:pt>
              </c:strCache>
            </c:strRef>
          </c:cat>
          <c:val>
            <c:numRef>
              <c:f>'SCC Semi-Annual Trends'!$B$2:$E$2</c:f>
              <c:numCache>
                <c:formatCode>0</c:formatCode>
                <c:ptCount val="4"/>
                <c:pt idx="0">
                  <c:v>19</c:v>
                </c:pt>
                <c:pt idx="1">
                  <c:v>19.7</c:v>
                </c:pt>
                <c:pt idx="2">
                  <c:v>13.3</c:v>
                </c:pt>
                <c:pt idx="3">
                  <c:v>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C0-DA47-AE0D-0FC767CC9C0D}"/>
            </c:ext>
          </c:extLst>
        </c:ser>
        <c:ser>
          <c:idx val="1"/>
          <c:order val="1"/>
          <c:tx>
            <c:strRef>
              <c:f>'SCC Semi-Annual Trends'!$A$3</c:f>
              <c:strCache>
                <c:ptCount val="1"/>
                <c:pt idx="0">
                  <c:v>Jan-Jun 2025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LID4096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'SCC Semi-Annual Trends'!$B$1:$E$1</c:f>
              <c:strCache>
                <c:ptCount val="4"/>
                <c:pt idx="0">
                  <c:v>PP1 (%)</c:v>
                </c:pt>
                <c:pt idx="1">
                  <c:v>PP2 (%)</c:v>
                </c:pt>
                <c:pt idx="2">
                  <c:v>PP3 (%)</c:v>
                </c:pt>
                <c:pt idx="3">
                  <c:v>PP4 (%)</c:v>
                </c:pt>
              </c:strCache>
            </c:strRef>
          </c:cat>
          <c:val>
            <c:numRef>
              <c:f>'SCC Semi-Annual Trends'!$B$3:$E$3</c:f>
              <c:numCache>
                <c:formatCode>0</c:formatCode>
                <c:ptCount val="4"/>
                <c:pt idx="0">
                  <c:v>33.200000000000003</c:v>
                </c:pt>
                <c:pt idx="1">
                  <c:v>33.5</c:v>
                </c:pt>
                <c:pt idx="2">
                  <c:v>29.5</c:v>
                </c:pt>
                <c:pt idx="3">
                  <c:v>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C0-DA47-AE0D-0FC767CC9C0D}"/>
            </c:ext>
          </c:extLst>
        </c:ser>
        <c:ser>
          <c:idx val="2"/>
          <c:order val="2"/>
          <c:tx>
            <c:strRef>
              <c:f>'SCC Semi-Annual Trends'!$A$4</c:f>
              <c:strCache>
                <c:ptCount val="1"/>
                <c:pt idx="0">
                  <c:v>Jul-Dec 2025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LID4096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'SCC Semi-Annual Trends'!$B$1:$E$1</c:f>
              <c:strCache>
                <c:ptCount val="4"/>
                <c:pt idx="0">
                  <c:v>PP1 (%)</c:v>
                </c:pt>
                <c:pt idx="1">
                  <c:v>PP2 (%)</c:v>
                </c:pt>
                <c:pt idx="2">
                  <c:v>PP3 (%)</c:v>
                </c:pt>
                <c:pt idx="3">
                  <c:v>PP4 (%)</c:v>
                </c:pt>
              </c:strCache>
            </c:strRef>
          </c:cat>
          <c:val>
            <c:numRef>
              <c:f>'SCC Semi-Annual Trends'!$B$4:$E$4</c:f>
              <c:numCache>
                <c:formatCode>0</c:formatCode>
                <c:ptCount val="4"/>
                <c:pt idx="0">
                  <c:v>47.8</c:v>
                </c:pt>
                <c:pt idx="1">
                  <c:v>48.2</c:v>
                </c:pt>
                <c:pt idx="2">
                  <c:v>51.4</c:v>
                </c:pt>
                <c:pt idx="3">
                  <c:v>40.5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CC0-DA47-AE0D-0FC767CC9C0D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19384224"/>
        <c:axId val="419401024"/>
      </c:lineChart>
      <c:catAx>
        <c:axId val="41938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ID4096"/>
          </a:p>
        </c:txPr>
        <c:crossAx val="419401024"/>
        <c:crosses val="autoZero"/>
        <c:auto val="1"/>
        <c:lblAlgn val="ctr"/>
        <c:lblOffset val="100"/>
        <c:noMultiLvlLbl val="0"/>
      </c:catAx>
      <c:valAx>
        <c:axId val="419401024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Mean Completion (%)</a:t>
                </a:r>
              </a:p>
            </c:rich>
          </c:tx>
          <c:layout>
            <c:manualLayout>
              <c:xMode val="edge"/>
              <c:yMode val="edge"/>
              <c:x val="3.0799384012319752E-2"/>
              <c:y val="0.144567901234567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LID4096"/>
            </a:p>
          </c:txPr>
        </c:title>
        <c:numFmt formatCode="0" sourceLinked="1"/>
        <c:majorTickMark val="none"/>
        <c:minorTickMark val="none"/>
        <c:tickLblPos val="nextTo"/>
        <c:crossAx val="41938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ID4096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LID4096"/>
    </a:p>
  </c:txPr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Lizah Nyawira</dc:creator>
  <cp:keywords/>
  <dc:description/>
  <cp:lastModifiedBy>Mike Mulongo</cp:lastModifiedBy>
  <cp:revision>3</cp:revision>
  <dcterms:created xsi:type="dcterms:W3CDTF">2026-06-30T20:34:00Z</dcterms:created>
  <dcterms:modified xsi:type="dcterms:W3CDTF">2026-06-30T20:34:00Z</dcterms:modified>
</cp:coreProperties>
</file>