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439E" w14:textId="77777777" w:rsidR="00030FB0" w:rsidRPr="001F5447" w:rsidRDefault="00030FB0" w:rsidP="00030FB0">
      <w:pPr>
        <w:pStyle w:val="Heading2"/>
        <w:rPr>
          <w:rFonts w:ascii="Times New Roman" w:hAnsi="Times New Roman" w:cs="Times New Roman"/>
          <w:color w:val="auto"/>
        </w:rPr>
      </w:pPr>
      <w:r w:rsidRPr="001F5447">
        <w:rPr>
          <w:rFonts w:ascii="Times New Roman" w:hAnsi="Times New Roman" w:cs="Times New Roman"/>
          <w:color w:val="auto"/>
        </w:rPr>
        <w:t>Supplementary Table S2</w:t>
      </w:r>
    </w:p>
    <w:tbl>
      <w:tblPr>
        <w:tblStyle w:val="TableGrid"/>
        <w:tblW w:w="9360" w:type="dxa"/>
        <w:tblLook w:val="0000" w:firstRow="0" w:lastRow="0" w:firstColumn="0" w:lastColumn="0" w:noHBand="0" w:noVBand="0"/>
      </w:tblPr>
      <w:tblGrid>
        <w:gridCol w:w="2700"/>
        <w:gridCol w:w="2100"/>
        <w:gridCol w:w="1000"/>
        <w:gridCol w:w="1000"/>
        <w:gridCol w:w="1300"/>
        <w:gridCol w:w="1260"/>
      </w:tblGrid>
      <w:tr w:rsidR="00030FB0" w:rsidRPr="001F5447" w14:paraId="189B25D6" w14:textId="77777777" w:rsidTr="001F5447">
        <w:tc>
          <w:tcPr>
            <w:tcW w:w="2700" w:type="dxa"/>
          </w:tcPr>
          <w:p w14:paraId="7B71FE61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Scenario</w:t>
            </w:r>
          </w:p>
        </w:tc>
        <w:tc>
          <w:tcPr>
            <w:tcW w:w="2100" w:type="dxa"/>
          </w:tcPr>
          <w:p w14:paraId="5F38C45A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Clinical Rule</w:t>
            </w:r>
          </w:p>
        </w:tc>
        <w:tc>
          <w:tcPr>
            <w:tcW w:w="1000" w:type="dxa"/>
          </w:tcPr>
          <w:p w14:paraId="1FD186F1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Eligible</w:t>
            </w:r>
          </w:p>
        </w:tc>
        <w:tc>
          <w:tcPr>
            <w:tcW w:w="1000" w:type="dxa"/>
          </w:tcPr>
          <w:p w14:paraId="443281A6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 Adherent</w:t>
            </w:r>
          </w:p>
        </w:tc>
        <w:tc>
          <w:tcPr>
            <w:tcW w:w="1300" w:type="dxa"/>
          </w:tcPr>
          <w:p w14:paraId="60A49CB0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Adherence % (95% CI)</w:t>
            </w:r>
          </w:p>
        </w:tc>
        <w:tc>
          <w:tcPr>
            <w:tcW w:w="1260" w:type="dxa"/>
          </w:tcPr>
          <w:p w14:paraId="261BEE8C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χ² / p-value</w:t>
            </w:r>
          </w:p>
        </w:tc>
      </w:tr>
      <w:tr w:rsidR="00030FB0" w:rsidRPr="001F5447" w14:paraId="0D1A34ED" w14:textId="77777777" w:rsidTr="001F5447">
        <w:tc>
          <w:tcPr>
            <w:tcW w:w="2700" w:type="dxa"/>
          </w:tcPr>
          <w:p w14:paraId="13074655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1. Partograph initiation</w:t>
            </w:r>
          </w:p>
        </w:tc>
        <w:tc>
          <w:tcPr>
            <w:tcW w:w="2100" w:type="dxa"/>
          </w:tcPr>
          <w:p w14:paraId="1921D837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VE ≥4 cm → Start partograph</w:t>
            </w:r>
          </w:p>
        </w:tc>
        <w:tc>
          <w:tcPr>
            <w:tcW w:w="1000" w:type="dxa"/>
          </w:tcPr>
          <w:p w14:paraId="42706556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000" w:type="dxa"/>
          </w:tcPr>
          <w:p w14:paraId="6CEC6649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300" w:type="dxa"/>
          </w:tcPr>
          <w:p w14:paraId="441CFAC0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39.3% (31.2–48.5)</w:t>
            </w:r>
          </w:p>
        </w:tc>
        <w:tc>
          <w:tcPr>
            <w:tcW w:w="1260" w:type="dxa"/>
          </w:tcPr>
          <w:p w14:paraId="26CC77BC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2.66 / 0.103</w:t>
            </w:r>
          </w:p>
        </w:tc>
      </w:tr>
      <w:tr w:rsidR="00030FB0" w:rsidRPr="001F5447" w14:paraId="68B637CF" w14:textId="77777777" w:rsidTr="001F5447">
        <w:tc>
          <w:tcPr>
            <w:tcW w:w="2700" w:type="dxa"/>
          </w:tcPr>
          <w:p w14:paraId="416D2278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2. Antibiotics</w:t>
            </w:r>
          </w:p>
        </w:tc>
        <w:tc>
          <w:tcPr>
            <w:tcW w:w="2100" w:type="dxa"/>
          </w:tcPr>
          <w:p w14:paraId="12D01C2E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Temp ≥38°C or foul discharge → Abx</w:t>
            </w:r>
          </w:p>
        </w:tc>
        <w:tc>
          <w:tcPr>
            <w:tcW w:w="1000" w:type="dxa"/>
          </w:tcPr>
          <w:p w14:paraId="54D5C83B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0" w:type="dxa"/>
          </w:tcPr>
          <w:p w14:paraId="286F7021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562D5CA8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33.3% (0.0–86.7)</w:t>
            </w:r>
          </w:p>
        </w:tc>
        <w:tc>
          <w:tcPr>
            <w:tcW w:w="1260" w:type="dxa"/>
          </w:tcPr>
          <w:p w14:paraId="25487B7D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0.00 / 1.000</w:t>
            </w:r>
          </w:p>
        </w:tc>
      </w:tr>
      <w:tr w:rsidR="00030FB0" w:rsidRPr="001F5447" w14:paraId="63C9656B" w14:textId="77777777" w:rsidTr="001F5447">
        <w:tc>
          <w:tcPr>
            <w:tcW w:w="2700" w:type="dxa"/>
          </w:tcPr>
          <w:p w14:paraId="3187F264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3. Antihyp. / MgSO4</w:t>
            </w:r>
          </w:p>
        </w:tc>
        <w:tc>
          <w:tcPr>
            <w:tcW w:w="2100" w:type="dxa"/>
          </w:tcPr>
          <w:p w14:paraId="476AB946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Syst ≥160 or Diast ≥110 → Rx</w:t>
            </w:r>
          </w:p>
        </w:tc>
        <w:tc>
          <w:tcPr>
            <w:tcW w:w="1000" w:type="dxa"/>
          </w:tcPr>
          <w:p w14:paraId="64528F30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0" w:type="dxa"/>
          </w:tcPr>
          <w:p w14:paraId="4E4C1FB2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0" w:type="dxa"/>
          </w:tcPr>
          <w:p w14:paraId="5968C1C9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50.0% (0.0–100.0)</w:t>
            </w:r>
          </w:p>
        </w:tc>
        <w:tc>
          <w:tcPr>
            <w:tcW w:w="1260" w:type="dxa"/>
          </w:tcPr>
          <w:p w14:paraId="22DF18DC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0.00 / 1.000</w:t>
            </w:r>
          </w:p>
        </w:tc>
      </w:tr>
      <w:tr w:rsidR="00030FB0" w:rsidRPr="001F5447" w14:paraId="22C9172A" w14:textId="77777777" w:rsidTr="001F5447">
        <w:tc>
          <w:tcPr>
            <w:tcW w:w="2700" w:type="dxa"/>
          </w:tcPr>
          <w:p w14:paraId="4044AE3C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4. PPH recognition</w:t>
            </w:r>
          </w:p>
        </w:tc>
        <w:tc>
          <w:tcPr>
            <w:tcW w:w="2100" w:type="dxa"/>
          </w:tcPr>
          <w:p w14:paraId="25DD1102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Blood loss ≥500 ml → Document PPH</w:t>
            </w:r>
          </w:p>
        </w:tc>
        <w:tc>
          <w:tcPr>
            <w:tcW w:w="1000" w:type="dxa"/>
          </w:tcPr>
          <w:p w14:paraId="2CE25212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00" w:type="dxa"/>
          </w:tcPr>
          <w:p w14:paraId="017335F0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0" w:type="dxa"/>
          </w:tcPr>
          <w:p w14:paraId="3BE8F0E9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30.4% (11.6–49.2)</w:t>
            </w:r>
          </w:p>
        </w:tc>
        <w:tc>
          <w:tcPr>
            <w:tcW w:w="1260" w:type="dxa"/>
          </w:tcPr>
          <w:p w14:paraId="726EE160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0.41 / 0.521</w:t>
            </w:r>
          </w:p>
        </w:tc>
      </w:tr>
      <w:tr w:rsidR="00030FB0" w:rsidRPr="001F5447" w14:paraId="1F0C9933" w14:textId="77777777" w:rsidTr="001F5447">
        <w:tc>
          <w:tcPr>
            <w:tcW w:w="2700" w:type="dxa"/>
          </w:tcPr>
          <w:p w14:paraId="178A6054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5. Special care (neonate)</w:t>
            </w:r>
          </w:p>
        </w:tc>
        <w:tc>
          <w:tcPr>
            <w:tcW w:w="2100" w:type="dxa"/>
          </w:tcPr>
          <w:p w14:paraId="329E4797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Birthweight &lt;2,500 g → Special monitoring</w:t>
            </w:r>
          </w:p>
        </w:tc>
        <w:tc>
          <w:tcPr>
            <w:tcW w:w="1000" w:type="dxa"/>
          </w:tcPr>
          <w:p w14:paraId="7D2D33DC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0" w:type="dxa"/>
          </w:tcPr>
          <w:p w14:paraId="4A2B6E1D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0" w:type="dxa"/>
          </w:tcPr>
          <w:p w14:paraId="7F2C3DA6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66.7% (13.3–100.0)</w:t>
            </w:r>
          </w:p>
        </w:tc>
        <w:tc>
          <w:tcPr>
            <w:tcW w:w="1260" w:type="dxa"/>
          </w:tcPr>
          <w:p w14:paraId="5F4617D1" w14:textId="77777777" w:rsidR="00030FB0" w:rsidRPr="001F5447" w:rsidRDefault="00030FB0" w:rsidP="0092518F">
            <w:pPr>
              <w:rPr>
                <w:rFonts w:ascii="Times New Roman" w:hAnsi="Times New Roman" w:cs="Times New Roman"/>
              </w:rPr>
            </w:pPr>
            <w:r w:rsidRPr="001F5447">
              <w:rPr>
                <w:rFonts w:ascii="Times New Roman" w:hAnsi="Times New Roman" w:cs="Times New Roman"/>
                <w:sz w:val="18"/>
                <w:szCs w:val="18"/>
              </w:rPr>
              <w:t>0.25 / 0.614</w:t>
            </w:r>
          </w:p>
        </w:tc>
      </w:tr>
    </w:tbl>
    <w:p w14:paraId="415DFF10" w14:textId="77777777" w:rsidR="00030FB0" w:rsidRPr="001F5447" w:rsidRDefault="00030FB0" w:rsidP="00030FB0">
      <w:pPr>
        <w:spacing w:before="100" w:after="280"/>
        <w:rPr>
          <w:rFonts w:ascii="Times New Roman" w:hAnsi="Times New Roman" w:cs="Times New Roman"/>
        </w:rPr>
      </w:pPr>
      <w:r w:rsidRPr="001F5447">
        <w:rPr>
          <w:rFonts w:ascii="Times New Roman" w:hAnsi="Times New Roman" w:cs="Times New Roman"/>
          <w:i/>
          <w:iCs/>
          <w:sz w:val="17"/>
          <w:szCs w:val="17"/>
        </w:rPr>
        <w:t>MgSO4 = magnesium sulphate; VE = vaginal examination; Abx = antibiotics; CI = confidence interval. Fisher's exact test used for sparse cells. Low N for Scenarios 2, 3, and 5 is discussed in the main text.</w:t>
      </w:r>
    </w:p>
    <w:p w14:paraId="029D77D8" w14:textId="77777777" w:rsidR="00F60FDE" w:rsidRPr="001F5447" w:rsidRDefault="00F60FDE">
      <w:pPr>
        <w:rPr>
          <w:rFonts w:ascii="Times New Roman" w:hAnsi="Times New Roman" w:cs="Times New Roman"/>
        </w:rPr>
      </w:pPr>
    </w:p>
    <w:sectPr w:rsidR="00F60FDE" w:rsidRPr="001F5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B0"/>
    <w:rsid w:val="00030FB0"/>
    <w:rsid w:val="000D3123"/>
    <w:rsid w:val="001F5447"/>
    <w:rsid w:val="002C1F3D"/>
    <w:rsid w:val="0059101D"/>
    <w:rsid w:val="006A7420"/>
    <w:rsid w:val="009C1DD7"/>
    <w:rsid w:val="00F60FDE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188D"/>
  <w15:chartTrackingRefBased/>
  <w15:docId w15:val="{B12A87F3-AAA2-104C-A394-F4310095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B0"/>
    <w:pPr>
      <w:spacing w:after="0" w:line="240" w:lineRule="auto"/>
    </w:pPr>
    <w:rPr>
      <w:rFonts w:ascii="Candara" w:eastAsia="Candara" w:hAnsi="Candara" w:cs="Candara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F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F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0FB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0FB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FB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FB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FB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FB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FB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0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0F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F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0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FB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0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F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0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0FB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0F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F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F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F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Mulongo</dc:creator>
  <cp:keywords/>
  <dc:description/>
  <cp:lastModifiedBy>Mike Mulongo</cp:lastModifiedBy>
  <cp:revision>2</cp:revision>
  <dcterms:created xsi:type="dcterms:W3CDTF">2026-06-29T20:49:00Z</dcterms:created>
  <dcterms:modified xsi:type="dcterms:W3CDTF">2026-06-29T20:49:00Z</dcterms:modified>
</cp:coreProperties>
</file>