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360" w:before="0" w:after="0"/>
        <w:ind w:hanging="0" w:left="0" w:right="0"/>
        <w:jc w:val="center"/>
        <w:rPr>
          <w:rFonts w:ascii="Helvetica-Bold" w:hAnsi="Helvetica-Bold" w:eastAsia="Helvetica-Bold" w:cs="Helvetica-Bold"/>
          <w:b/>
          <w:bCs/>
          <w:color w:val="000000"/>
          <w:sz w:val="24"/>
          <w:szCs w:val="24"/>
        </w:rPr>
      </w:pPr>
      <w:r>
        <w:rPr>
          <w:rFonts w:eastAsia="Helvetica-Bold" w:cs="Helvetica-Bold" w:ascii="Helvetica-Bold" w:hAnsi="Helvetica-Bold"/>
          <w:b/>
          <w:bCs/>
          <w:color w:val="000000"/>
          <w:sz w:val="24"/>
          <w:szCs w:val="24"/>
        </w:rPr>
        <w:t>Anatomizing spatiotemporal LULC changes and anthropogenic drivers of forest loss in Eastern Assam of India</w:t>
      </w:r>
    </w:p>
    <w:p>
      <w:pPr>
        <w:pStyle w:val="Normal"/>
        <w:widowControl/>
        <w:bidi w:val="0"/>
        <w:spacing w:lineRule="auto" w:line="360" w:before="240" w:after="0"/>
        <w:ind w:hanging="0" w:left="0" w:right="0"/>
        <w:jc w:val="center"/>
        <w:rPr/>
      </w:pPr>
      <w:r>
        <w:rPr>
          <w:rFonts w:eastAsia="Helvetica-Bold" w:cs="Helvetica-Bold" w:ascii="Helvetica-Bold" w:hAnsi="Helvetica-Bold"/>
          <w:b/>
          <w:bCs/>
          <w:color w:val="000000"/>
          <w:sz w:val="24"/>
          <w:szCs w:val="24"/>
        </w:rPr>
        <w:t>Lonkham Boruah*</w:t>
      </w:r>
      <w:r>
        <w:rPr>
          <w:rFonts w:eastAsia="Helvetica-Bold" w:cs="Helvetica-Bold" w:ascii="Helvetica-Bold" w:hAnsi="Helvetica-Bold"/>
          <w:b/>
          <w:bCs/>
          <w:color w:val="000000"/>
          <w:sz w:val="24"/>
          <w:szCs w:val="24"/>
          <w:vertAlign w:val="superscript"/>
        </w:rPr>
        <w:t>1</w:t>
      </w:r>
      <w:r>
        <w:rPr>
          <w:rFonts w:eastAsia="Helvetica-Bold" w:cs="Helvetica-Bold" w:ascii="Helvetica-Bold" w:hAnsi="Helvetica-Bold"/>
          <w:b/>
          <w:bCs/>
          <w:color w:val="000000"/>
          <w:sz w:val="24"/>
          <w:szCs w:val="24"/>
        </w:rPr>
        <w:t xml:space="preserve"> and Pranjit Kr. Sarma</w:t>
      </w:r>
      <w:r>
        <w:rPr>
          <w:rFonts w:eastAsia="Helvetica-Bold" w:cs="Helvetica-Bold" w:ascii="Helvetica-Bold" w:hAnsi="Helvetica-Bold"/>
          <w:b/>
          <w:bCs/>
          <w:color w:val="000000"/>
          <w:sz w:val="24"/>
          <w:szCs w:val="24"/>
          <w:vertAlign w:val="superscript"/>
        </w:rPr>
        <w:t>2</w:t>
      </w:r>
    </w:p>
    <w:p>
      <w:pPr>
        <w:pStyle w:val="Normal"/>
        <w:widowControl/>
        <w:bidi w:val="0"/>
        <w:spacing w:lineRule="auto" w:line="360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360" w:before="0" w:after="0"/>
        <w:ind w:hanging="0" w:left="0" w:right="0"/>
        <w:jc w:val="both"/>
        <w:rPr>
          <w:rFonts w:ascii="Helvetica-Bold" w:hAnsi="Helvetica-Bold" w:eastAsia="Helvetica-Bold" w:cs="Helvetica-Bold"/>
          <w:b/>
          <w:bCs/>
          <w:color w:val="000000"/>
          <w:sz w:val="24"/>
          <w:szCs w:val="24"/>
          <w:lang w:val="en-US"/>
        </w:rPr>
      </w:pPr>
      <w:r>
        <w:rPr>
          <w:rFonts w:eastAsia="Helvetica-Bold" w:cs="Helvetica-Bold" w:ascii="Helvetica-Bold" w:hAnsi="Helvetica-Bold"/>
          <w:b/>
          <w:bCs/>
          <w:color w:val="000000"/>
          <w:sz w:val="24"/>
          <w:szCs w:val="24"/>
          <w:lang w:val="en-US"/>
        </w:rPr>
        <w:t>Datasets</w:t>
      </w:r>
    </w:p>
    <w:p>
      <w:pPr>
        <w:pStyle w:val="Normal"/>
        <w:widowControl w:val="false"/>
        <w:bidi w:val="0"/>
        <w:spacing w:lineRule="auto" w:line="360" w:before="240" w:after="0"/>
        <w:ind w:hanging="0" w:left="0" w:right="0"/>
        <w:jc w:val="center"/>
        <w:rPr/>
      </w:pPr>
      <w:r>
        <w:rPr>
          <w:rFonts w:eastAsia="Helvetica" w:cs="Helvetica" w:ascii="Helvetica" w:hAnsi="Helvetica"/>
          <w:color w:val="000000"/>
          <w:sz w:val="24"/>
          <w:szCs w:val="24"/>
        </w:rPr>
        <w:t xml:space="preserve">Table </w:t>
      </w:r>
      <w:r>
        <w:rPr>
          <w:rFonts w:eastAsia="Helvetica" w:cs="Helvetica" w:ascii="Helvetica" w:hAnsi="Helvetica"/>
          <w:color w:val="000000"/>
          <w:sz w:val="24"/>
          <w:szCs w:val="24"/>
          <w:lang w:val="en-US"/>
        </w:rPr>
        <w:t>1</w:t>
      </w:r>
      <w:r>
        <w:rPr>
          <w:rFonts w:eastAsia="Helvetica" w:cs="Helvetica" w:ascii="Helvetica" w:hAnsi="Helvetica"/>
          <w:color w:val="000000"/>
          <w:sz w:val="24"/>
          <w:szCs w:val="24"/>
        </w:rPr>
        <w:t xml:space="preserve"> Land use land cover change dynamics in Dibrugarh district, 2000-2023</w:t>
      </w:r>
    </w:p>
    <w:tbl>
      <w:tblPr>
        <w:tblW w:w="8818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2061"/>
        <w:gridCol w:w="1249"/>
        <w:gridCol w:w="828"/>
        <w:gridCol w:w="1276"/>
        <w:gridCol w:w="910"/>
        <w:gridCol w:w="1216"/>
        <w:gridCol w:w="1278"/>
      </w:tblGrid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-Bold" w:hAnsi="Helvetica-Bold" w:eastAsia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LULC classes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-Bold" w:hAnsi="Helvetica-Bold" w:eastAsia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LULC, 2000 (Area in sq.km)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-Bold" w:hAnsi="Helvetica-Bold" w:eastAsia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LULC, 2000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-Bold" w:hAnsi="Helvetica-Bold" w:eastAsia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LULC, 2023 (Area in sq.km)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-Bold" w:hAnsi="Helvetica-Bold" w:eastAsia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LULC, 2023 (%)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/>
            </w:pP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Net change (</w:t>
            </w:r>
            <w:r>
              <w:rPr>
                <w:rFonts w:eastAsia="Helvetica-Bold" w:cs="Helvetica-Bold" w:ascii="Helvetica-Bold" w:hAnsi="Helvetica-Bold"/>
                <w:b/>
                <w:bCs/>
                <w:color w:val="202020"/>
                <w:sz w:val="20"/>
                <w:szCs w:val="20"/>
              </w:rPr>
              <w:t>NCi)</w:t>
            </w:r>
          </w:p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-Bold" w:hAnsi="Helvetica-Bold" w:eastAsia="Helvetica-Bold" w:cs="Helvetica-Bold"/>
                <w:b/>
                <w:bCs/>
                <w:color w:val="202020"/>
                <w:sz w:val="20"/>
                <w:szCs w:val="20"/>
              </w:rPr>
            </w:pPr>
            <w:r>
              <w:rPr>
                <w:rFonts w:eastAsia="Helvetica-Bold" w:cs="Helvetica-Bold" w:ascii="Helvetica-Bold" w:hAnsi="Helvetica-Bold"/>
                <w:b/>
                <w:bCs/>
                <w:color w:val="202020"/>
                <w:sz w:val="20"/>
                <w:szCs w:val="20"/>
              </w:rPr>
              <w:t>NCi = AFi-APi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/>
            </w:pPr>
            <w:r>
              <w:rPr>
                <w:rFonts w:eastAsia="Helvetica-Bold" w:cs="Helvetica-Bold" w:ascii="Helvetica-Bold" w:hAnsi="Helvetica-Bold"/>
                <w:b/>
                <w:bCs/>
                <w:color w:val="202020"/>
                <w:sz w:val="20"/>
                <w:szCs w:val="20"/>
              </w:rPr>
              <w:t xml:space="preserve">Annual rate of change (ARi) </w:t>
            </w:r>
            <w:r>
              <w:rPr>
                <w:rFonts w:eastAsia="Helvetica-Bold" w:cs="Helvetica-Bold" w:ascii="Helvetica-Bold" w:hAnsi="Helvetica-Bold"/>
                <w:b/>
                <w:bCs/>
                <w:color w:val="000000"/>
                <w:sz w:val="20"/>
                <w:szCs w:val="20"/>
              </w:rPr>
              <w:t>ARi = NCi / T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Agricultural Land-Crop Land-Kharif Crop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965.53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28.56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969.18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28.67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+3.65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+0.16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Agricultural Land-Crop Land-Rabi Crop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48.15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42.25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-5.9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-0.26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Agricultural Land-Crop Land-Two crop area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32.19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-0.13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Agricultural Land-Plantation- Tea Garden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535.81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15.84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557.24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16.48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+21.43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+0.93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Built Up (Urban)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32.42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42.47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+10.05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+0.44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Forest-Evergreen / Semi Evergreen-Dense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192.41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162.29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-30.12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-1.31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Forest-Evergreen / Semi Evergreen-Open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159.57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142.32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-17.25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-0.75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Forest-Scrub Forest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49.11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69.29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+20.18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+0.88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 xml:space="preserve">Agri-plantation / Settlement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587.9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17.39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597.54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17.67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+9.64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+0.42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Water Bodies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612.09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18.12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619.11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18.31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+7.02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+0.31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left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 xml:space="preserve">River Sand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162.82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147.12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-15.7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-0.68</w:t>
            </w:r>
          </w:p>
        </w:tc>
      </w:tr>
      <w:tr>
        <w:trPr>
          <w:trHeight w:val="320" w:hRule="exact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3381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3381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bidi w:val="0"/>
              <w:spacing w:lineRule="auto" w:line="360" w:before="0" w:after="0"/>
              <w:ind w:hanging="0" w:left="0" w:right="0"/>
              <w:jc w:val="center"/>
              <w:rPr>
                <w:rFonts w:ascii="Helvetica" w:hAnsi="Helvetica" w:eastAsia="Helvetica" w:cs="Helvetica"/>
                <w:color w:val="000000"/>
                <w:sz w:val="20"/>
                <w:szCs w:val="20"/>
              </w:rPr>
            </w:pPr>
            <w:r>
              <w:rPr>
                <w:rFonts w:eastAsia="Helvetica" w:cs="Helvetica" w:ascii="Helvetica" w:hAnsi="Helvetica"/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 w:val="false"/>
        <w:bidi w:val="0"/>
        <w:spacing w:lineRule="auto" w:line="360" w:before="240" w:after="0"/>
        <w:ind w:hanging="0" w:left="0" w:right="0"/>
        <w:jc w:val="both"/>
        <w:rPr>
          <w:rFonts w:ascii="Helvetica" w:hAnsi="Helvetica" w:eastAsia="Helvetica" w:cs="Helvetica"/>
          <w:color w:val="000000"/>
          <w:sz w:val="20"/>
          <w:szCs w:val="20"/>
        </w:rPr>
      </w:pPr>
      <w:r>
        <w:rPr>
          <w:rFonts w:eastAsia="Helvetica" w:cs="Helvetica" w:ascii="Helvetica" w:hAnsi="Helvetica"/>
          <w:color w:val="000000"/>
          <w:sz w:val="20"/>
          <w:szCs w:val="20"/>
        </w:rPr>
        <w:t>Source: Calculated by the author</w:t>
      </w:r>
    </w:p>
    <w:p>
      <w:pPr>
        <w:pStyle w:val="Normal"/>
        <w:widowControl/>
        <w:bidi w:val="0"/>
        <w:spacing w:lineRule="auto" w:line="360" w:before="240" w:after="0"/>
        <w:ind w:hanging="0" w:left="0" w:right="0"/>
        <w:jc w:val="center"/>
        <w:rPr>
          <w:rFonts w:ascii="Helvetica" w:hAnsi="Helvetica" w:eastAsia="Helvetica" w:cs="Helvetica"/>
          <w:color w:val="000000"/>
          <w:sz w:val="20"/>
          <w:szCs w:val="20"/>
          <w:lang w:val="en-US"/>
        </w:rPr>
      </w:pPr>
      <w:r>
        <w:rPr>
          <w:rFonts w:eastAsia="Helvetica" w:cs="Helvetica" w:ascii="Helvetica" w:hAnsi="Helvetica"/>
          <w:color w:val="000000"/>
          <w:sz w:val="20"/>
          <w:szCs w:val="20"/>
          <w:lang w:val="en-US"/>
        </w:rPr>
        <w:t>Table 2 Decadal population growth of Dibrugarh district, 1901-2011</w:t>
      </w:r>
    </w:p>
    <w:tbl>
      <w:tblPr>
        <w:tblW w:w="9632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6"/>
        <w:gridCol w:w="4816"/>
      </w:tblGrid>
      <w:tr>
        <w:trPr>
          <w:tblHeader w:val="true"/>
          <w:trHeight w:val="461" w:hRule="exact"/>
        </w:trPr>
        <w:tc>
          <w:tcPr>
            <w:tcW w:w="4816" w:type="dxa"/>
            <w:tcBorders/>
          </w:tcPr>
          <w:p>
            <w:pPr>
              <w:pStyle w:val="TableHeading"/>
              <w:widowControl/>
              <w:bidi w:val="0"/>
              <w:spacing w:before="0" w:after="0"/>
              <w:ind w:hanging="0" w:left="0" w:right="0"/>
              <w:jc w:val="left"/>
              <w:rPr>
                <w:rFonts w:ascii="Arial-BoldMT" w:hAnsi="Arial-BoldMT" w:eastAsia="Arial-BoldMT" w:cs="Arial-BoldMT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Arial-BoldMT" w:cs="Arial-BoldMT" w:ascii="Arial-BoldMT" w:hAnsi="Arial-BoldMT"/>
                <w:b/>
                <w:bCs/>
                <w:color w:val="000000"/>
                <w:sz w:val="36"/>
                <w:szCs w:val="36"/>
              </w:rPr>
              <w:t>Year</w:t>
            </w:r>
          </w:p>
        </w:tc>
        <w:tc>
          <w:tcPr>
            <w:tcW w:w="4816" w:type="dxa"/>
            <w:tcBorders/>
          </w:tcPr>
          <w:p>
            <w:pPr>
              <w:pStyle w:val="TableHeading"/>
              <w:widowControl/>
              <w:bidi w:val="0"/>
              <w:spacing w:before="0" w:after="0"/>
              <w:ind w:hanging="0" w:left="0" w:right="0"/>
              <w:jc w:val="left"/>
              <w:rPr>
                <w:rFonts w:ascii="Arial-BoldMT" w:hAnsi="Arial-BoldMT" w:eastAsia="Arial-BoldMT" w:cs="Arial-BoldMT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Arial-BoldMT" w:cs="Arial-BoldMT" w:ascii="Arial-BoldMT" w:hAnsi="Arial-BoldMT"/>
                <w:b/>
                <w:bCs/>
                <w:color w:val="000000"/>
                <w:sz w:val="36"/>
                <w:szCs w:val="36"/>
              </w:rPr>
              <w:t>Population</w:t>
            </w:r>
          </w:p>
        </w:tc>
      </w:tr>
      <w:tr>
        <w:trPr>
          <w:trHeight w:val="461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1901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155172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1911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195966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1921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262735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1931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325568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1941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399461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1951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471130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1961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615489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1971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756609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1991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1.04246e+06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2001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1.18507e+06</w:t>
            </w:r>
          </w:p>
        </w:tc>
      </w:tr>
      <w:tr>
        <w:trPr>
          <w:trHeight w:val="453" w:hRule="exact"/>
        </w:trPr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2011</w:t>
            </w:r>
          </w:p>
        </w:tc>
        <w:tc>
          <w:tcPr>
            <w:tcW w:w="4816" w:type="dxa"/>
            <w:tcBorders/>
            <w:shd w:fill="000000" w:val="clea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1.32634e+06</w:t>
            </w:r>
          </w:p>
        </w:tc>
      </w:tr>
    </w:tbl>
    <w:p>
      <w:pPr>
        <w:pStyle w:val="Normal"/>
        <w:widowControl/>
        <w:bidi w:val="0"/>
        <w:spacing w:lineRule="auto" w:line="480" w:before="0" w:after="0"/>
        <w:ind w:hanging="0" w:left="0" w:right="0"/>
        <w:jc w:val="center"/>
        <w:rPr>
          <w:rFonts w:ascii="TimesNewRomanPSMT" w:hAnsi="TimesNewRomanPSMT" w:eastAsia="TimesNewRomanPSMT" w:cs="TimesNewRomanPSMT"/>
          <w:color w:val="000000"/>
          <w:sz w:val="24"/>
          <w:szCs w:val="24"/>
          <w:lang w:val="en-US"/>
        </w:rPr>
      </w:pPr>
      <w:r>
        <w:rPr>
          <w:rFonts w:eastAsia="TimesNewRomanPSMT" w:cs="TimesNewRomanPSMT" w:ascii="TimesNewRomanPSMT" w:hAnsi="TimesNewRomanPSMT"/>
          <w:color w:val="000000"/>
          <w:sz w:val="24"/>
          <w:szCs w:val="24"/>
          <w:lang w:val="en-US"/>
        </w:rPr>
        <w:t>Source: Statistical Handbook of Assam, 2021</w:t>
      </w:r>
    </w:p>
    <w:sectPr>
      <w:footerReference w:type="default" r:id="rId2"/>
      <w:footerReference w:type="first" r:id="rId3"/>
      <w:type w:val="nextPage"/>
      <w:pgSz w:w="11900" w:h="16840"/>
      <w:pgMar w:left="1134" w:right="1134" w:gutter="0" w:header="0" w:top="1134" w:footer="1134" w:bottom="1417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-Bold">
    <w:charset w:val="00"/>
    <w:family w:val="auto"/>
    <w:pitch w:val="default"/>
  </w:font>
  <w:font w:name="Helvetica">
    <w:altName w:val="Arial"/>
    <w:charset w:val="00"/>
    <w:family w:val="auto"/>
    <w:pitch w:val="default"/>
  </w:font>
  <w:font w:name="Arial-BoldMT">
    <w:charset w:val="00"/>
    <w:family w:val="auto"/>
    <w:pitch w:val="default"/>
  </w:font>
  <w:font w:name="TimesNewRomanPSMT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bidi w:val="0"/>
      <w:spacing w:before="0" w:after="0"/>
      <w:ind w:hanging="0" w:left="0" w:right="0"/>
      <w:jc w:val="center"/>
      <w:rPr>
        <w:rFonts w:ascii="TimesNewRomanPSMT" w:hAnsi="TimesNewRomanPSMT" w:eastAsia="TimesNewRomanPSMT" w:cs="TimesNewRomanPSMT"/>
        <w:color w:val="000000"/>
        <w:sz w:val="24"/>
        <w:szCs w:val="24"/>
      </w:rPr>
    </w:pPr>
    <w:r>
      <w:rPr>
        <w:rFonts w:eastAsia="TimesNewRomanPSMT" w:cs="TimesNewRomanPSMT" w:ascii="TimesNewRomanPSMT" w:hAnsi="TimesNewRomanPSMT"/>
        <w:color w:val="000000"/>
        <w:sz w:val="24"/>
        <w:szCs w:val="24"/>
      </w:rPr>
      <w:fldChar w:fldCharType="begin"/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instrText xml:space="preserve"> PAGE \* ARABIC </w:instrText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fldChar w:fldCharType="separate"/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t>3</w:t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bidi w:val="0"/>
      <w:spacing w:before="0" w:after="0"/>
      <w:ind w:hanging="0" w:left="0" w:right="0"/>
      <w:jc w:val="center"/>
      <w:rPr>
        <w:rFonts w:ascii="TimesNewRomanPSMT" w:hAnsi="TimesNewRomanPSMT" w:eastAsia="TimesNewRomanPSMT" w:cs="TimesNewRomanPSMT"/>
        <w:color w:val="000000"/>
        <w:sz w:val="24"/>
        <w:szCs w:val="24"/>
      </w:rPr>
    </w:pPr>
    <w:r>
      <w:rPr>
        <w:rFonts w:eastAsia="TimesNewRomanPSMT" w:cs="TimesNewRomanPSMT" w:ascii="TimesNewRomanPSMT" w:hAnsi="TimesNewRomanPSMT"/>
        <w:color w:val="000000"/>
        <w:sz w:val="24"/>
        <w:szCs w:val="24"/>
      </w:rPr>
      <w:fldChar w:fldCharType="begin"/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instrText xml:space="preserve"> PAGE \* ARABIC </w:instrText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fldChar w:fldCharType="separate"/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t>1</w:t>
    </w:r>
    <w:r>
      <w:rPr>
        <w:sz w:val="24"/>
        <w:szCs w:val="24"/>
        <w:rFonts w:eastAsia="TimesNewRomanPSMT" w:cs="TimesNewRomanPSMT" w:ascii="TimesNewRomanPSMT" w:hAnsi="TimesNewRomanPSMT"/>
        <w:color w:val="000000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