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F3A4B1" w14:textId="69EB51E1" w:rsidR="00A53621" w:rsidRPr="00736822" w:rsidRDefault="00A53621" w:rsidP="00A53621">
      <w:pPr>
        <w:rPr>
          <w:rFonts w:ascii="Times New Roman" w:hAnsi="Times New Roman" w:cs="Times New Roman"/>
          <w:sz w:val="22"/>
          <w:szCs w:val="22"/>
        </w:rPr>
      </w:pPr>
      <w:r w:rsidRPr="00A53621">
        <w:rPr>
          <w:rFonts w:ascii="Times New Roman" w:hAnsi="Times New Roman" w:cs="Times New Roman"/>
          <w:b/>
          <w:bCs/>
          <w:sz w:val="22"/>
          <w:szCs w:val="22"/>
        </w:rPr>
        <w:t xml:space="preserve">Supplementary Table </w:t>
      </w:r>
      <w:r w:rsidR="0087668E">
        <w:rPr>
          <w:rFonts w:ascii="Times New Roman" w:hAnsi="Times New Roman" w:cs="Times New Roman"/>
          <w:b/>
          <w:bCs/>
          <w:sz w:val="22"/>
          <w:szCs w:val="22"/>
        </w:rPr>
        <w:t>2</w:t>
      </w:r>
      <w:r w:rsidRPr="00A53621">
        <w:rPr>
          <w:rFonts w:ascii="Times New Roman" w:hAnsi="Times New Roman" w:cs="Times New Roman"/>
          <w:b/>
          <w:bCs/>
          <w:sz w:val="22"/>
          <w:szCs w:val="22"/>
        </w:rPr>
        <w:t>.</w:t>
      </w:r>
      <w:r w:rsidR="000C78E0">
        <w:rPr>
          <w:rFonts w:ascii="Times New Roman" w:hAnsi="Times New Roman" w:cs="Times New Roman" w:hint="eastAsia"/>
          <w:b/>
          <w:bCs/>
          <w:sz w:val="22"/>
          <w:szCs w:val="22"/>
        </w:rPr>
        <w:t>1</w:t>
      </w:r>
      <w:r w:rsidRPr="00A53621">
        <w:rPr>
          <w:rFonts w:ascii="Times New Roman" w:hAnsi="Times New Roman" w:cs="Times New Roman"/>
          <w:b/>
          <w:bCs/>
          <w:sz w:val="22"/>
          <w:szCs w:val="22"/>
        </w:rPr>
        <w:t xml:space="preserve"> </w:t>
      </w:r>
      <w:r w:rsidRPr="00A53621">
        <w:rPr>
          <w:rFonts w:ascii="Times New Roman" w:hAnsi="Times New Roman" w:cs="Times New Roman"/>
          <w:sz w:val="22"/>
          <w:szCs w:val="22"/>
        </w:rPr>
        <w:t xml:space="preserve">Description of </w:t>
      </w:r>
      <w:r w:rsidR="000C78E0">
        <w:rPr>
          <w:rFonts w:ascii="Times New Roman" w:hAnsi="Times New Roman" w:cs="Times New Roman" w:hint="eastAsia"/>
          <w:sz w:val="22"/>
          <w:szCs w:val="22"/>
        </w:rPr>
        <w:t xml:space="preserve">Major </w:t>
      </w:r>
      <w:r w:rsidRPr="00A53621">
        <w:rPr>
          <w:rFonts w:ascii="Times New Roman" w:hAnsi="Times New Roman" w:cs="Times New Roman"/>
          <w:sz w:val="22"/>
          <w:szCs w:val="22"/>
        </w:rPr>
        <w:t>Policies and Activities Across the Four Phases of the Hainan Digital Therapeutics (</w:t>
      </w:r>
      <w:proofErr w:type="spellStart"/>
      <w:r w:rsidRPr="00A53621">
        <w:rPr>
          <w:rFonts w:ascii="Times New Roman" w:hAnsi="Times New Roman" w:cs="Times New Roman"/>
          <w:sz w:val="22"/>
          <w:szCs w:val="22"/>
        </w:rPr>
        <w:t>DTx</w:t>
      </w:r>
      <w:proofErr w:type="spellEnd"/>
      <w:r w:rsidRPr="00A53621">
        <w:rPr>
          <w:rFonts w:ascii="Times New Roman" w:hAnsi="Times New Roman" w:cs="Times New Roman"/>
          <w:sz w:val="22"/>
          <w:szCs w:val="22"/>
        </w:rPr>
        <w:t>) Policy Lifecycle</w:t>
      </w:r>
    </w:p>
    <w:tbl>
      <w:tblPr>
        <w:tblStyle w:val="TableGrid"/>
        <w:tblW w:w="8359" w:type="dxa"/>
        <w:tblLook w:val="04A0" w:firstRow="1" w:lastRow="0" w:firstColumn="1" w:lastColumn="0" w:noHBand="0" w:noVBand="1"/>
      </w:tblPr>
      <w:tblGrid>
        <w:gridCol w:w="1696"/>
        <w:gridCol w:w="2694"/>
        <w:gridCol w:w="3969"/>
      </w:tblGrid>
      <w:tr w:rsidR="00A53621" w:rsidRPr="00BC6BBC" w14:paraId="2A36DA6E" w14:textId="77777777" w:rsidTr="000C78E0">
        <w:tc>
          <w:tcPr>
            <w:tcW w:w="1696" w:type="dxa"/>
            <w:tcBorders>
              <w:left w:val="nil"/>
              <w:bottom w:val="single" w:sz="4" w:space="0" w:color="auto"/>
              <w:right w:val="nil"/>
            </w:tcBorders>
          </w:tcPr>
          <w:p w14:paraId="0CACA041" w14:textId="56210BEC"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Phase</w:t>
            </w:r>
          </w:p>
        </w:tc>
        <w:tc>
          <w:tcPr>
            <w:tcW w:w="2694" w:type="dxa"/>
            <w:tcBorders>
              <w:left w:val="nil"/>
              <w:bottom w:val="single" w:sz="4" w:space="0" w:color="auto"/>
              <w:right w:val="nil"/>
            </w:tcBorders>
          </w:tcPr>
          <w:p w14:paraId="558CA5FE" w14:textId="36881765"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hint="eastAsia"/>
                <w:sz w:val="20"/>
                <w:szCs w:val="20"/>
              </w:rPr>
              <w:t>Policies or Activities</w:t>
            </w:r>
          </w:p>
        </w:tc>
        <w:tc>
          <w:tcPr>
            <w:tcW w:w="3969" w:type="dxa"/>
            <w:tcBorders>
              <w:left w:val="nil"/>
              <w:bottom w:val="single" w:sz="4" w:space="0" w:color="auto"/>
              <w:right w:val="nil"/>
            </w:tcBorders>
          </w:tcPr>
          <w:p w14:paraId="0FC8ECF3" w14:textId="65754BF4" w:rsidR="00A53621"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hint="eastAsia"/>
                <w:sz w:val="20"/>
                <w:szCs w:val="20"/>
              </w:rPr>
              <w:t>Description</w:t>
            </w:r>
          </w:p>
        </w:tc>
      </w:tr>
      <w:tr w:rsidR="00A53621" w:rsidRPr="00BC6BBC" w14:paraId="15004E97" w14:textId="77777777" w:rsidTr="000C78E0">
        <w:tc>
          <w:tcPr>
            <w:tcW w:w="1696" w:type="dxa"/>
            <w:tcBorders>
              <w:left w:val="nil"/>
              <w:bottom w:val="nil"/>
              <w:right w:val="nil"/>
            </w:tcBorders>
          </w:tcPr>
          <w:p w14:paraId="156671A0" w14:textId="4A054343"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Origin</w:t>
            </w:r>
          </w:p>
        </w:tc>
        <w:tc>
          <w:tcPr>
            <w:tcW w:w="2694" w:type="dxa"/>
            <w:tcBorders>
              <w:left w:val="nil"/>
              <w:bottom w:val="nil"/>
              <w:right w:val="nil"/>
            </w:tcBorders>
          </w:tcPr>
          <w:p w14:paraId="1545D14A" w14:textId="77777777"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14th Five-Year Plan for Digital Health Development in Hainan Province</w:t>
            </w:r>
          </w:p>
          <w:p w14:paraId="1621BB6E" w14:textId="294544EB" w:rsidR="00A53621" w:rsidRPr="00BC6BBC" w:rsidRDefault="00A53621" w:rsidP="00A53621">
            <w:pPr>
              <w:rPr>
                <w:rFonts w:ascii="Times New Roman" w:eastAsia="SimSun" w:hAnsi="Times New Roman" w:cs="Times New Roman"/>
                <w:sz w:val="20"/>
                <w:szCs w:val="20"/>
              </w:rPr>
            </w:pPr>
            <w:r w:rsidRPr="00BC6BBC">
              <w:rPr>
                <w:rFonts w:ascii="Times New Roman" w:eastAsia="SimSun" w:hAnsi="Times New Roman" w:cs="Times New Roman" w:hint="eastAsia"/>
                <w:sz w:val="20"/>
                <w:szCs w:val="20"/>
              </w:rPr>
              <w:t>《海南省数字健康“十四五”发展规划》</w:t>
            </w:r>
          </w:p>
        </w:tc>
        <w:tc>
          <w:tcPr>
            <w:tcW w:w="3969" w:type="dxa"/>
            <w:tcBorders>
              <w:left w:val="nil"/>
              <w:bottom w:val="nil"/>
              <w:right w:val="nil"/>
            </w:tcBorders>
          </w:tcPr>
          <w:p w14:paraId="27201632" w14:textId="40800C09" w:rsidR="00A53621"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Established digital health as a strategic priority for Hainan and outlined the development direction for digital medicine, healthcare data infrastructure, and innovative digital health technologies, creating the policy foundation for subsequent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initiatives.</w:t>
            </w:r>
          </w:p>
        </w:tc>
      </w:tr>
      <w:tr w:rsidR="00A53621" w:rsidRPr="00BC6BBC" w14:paraId="30A1A2FC" w14:textId="77777777" w:rsidTr="000C78E0">
        <w:tc>
          <w:tcPr>
            <w:tcW w:w="1696" w:type="dxa"/>
            <w:tcBorders>
              <w:top w:val="nil"/>
              <w:left w:val="nil"/>
              <w:bottom w:val="nil"/>
              <w:right w:val="nil"/>
            </w:tcBorders>
          </w:tcPr>
          <w:p w14:paraId="47D3A2D7" w14:textId="09EEFAC0"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Design</w:t>
            </w:r>
          </w:p>
        </w:tc>
        <w:tc>
          <w:tcPr>
            <w:tcW w:w="2694" w:type="dxa"/>
            <w:tcBorders>
              <w:top w:val="nil"/>
              <w:left w:val="nil"/>
              <w:bottom w:val="nil"/>
              <w:right w:val="nil"/>
            </w:tcBorders>
          </w:tcPr>
          <w:p w14:paraId="24DF065B" w14:textId="77777777"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Hainan Digital Therapeutics Policy Innovation Week</w:t>
            </w:r>
          </w:p>
          <w:p w14:paraId="1D1ADD7C" w14:textId="28040DEA"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海南数字疗法创新周</w:t>
            </w:r>
          </w:p>
        </w:tc>
        <w:tc>
          <w:tcPr>
            <w:tcW w:w="3969" w:type="dxa"/>
            <w:tcBorders>
              <w:top w:val="nil"/>
              <w:left w:val="nil"/>
              <w:bottom w:val="nil"/>
              <w:right w:val="nil"/>
            </w:tcBorders>
          </w:tcPr>
          <w:p w14:paraId="2AAFAD8C" w14:textId="5B184C96" w:rsidR="00A53621"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Brought together policymakers, regulators, industry representatives, clinicians, and researchers to identify barriers to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development and build consensus on a coordinated policy framework supporting the emerging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ecosystem.</w:t>
            </w:r>
          </w:p>
        </w:tc>
      </w:tr>
      <w:tr w:rsidR="00BC72D3" w:rsidRPr="00BC6BBC" w14:paraId="053DD512" w14:textId="77777777" w:rsidTr="000C78E0">
        <w:tc>
          <w:tcPr>
            <w:tcW w:w="1696" w:type="dxa"/>
            <w:tcBorders>
              <w:top w:val="nil"/>
              <w:left w:val="nil"/>
              <w:bottom w:val="nil"/>
              <w:right w:val="nil"/>
            </w:tcBorders>
          </w:tcPr>
          <w:p w14:paraId="43F67031" w14:textId="04446073"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Active Implementation</w:t>
            </w:r>
          </w:p>
        </w:tc>
        <w:tc>
          <w:tcPr>
            <w:tcW w:w="2694" w:type="dxa"/>
            <w:tcBorders>
              <w:top w:val="nil"/>
              <w:left w:val="nil"/>
              <w:bottom w:val="nil"/>
              <w:right w:val="nil"/>
            </w:tcBorders>
          </w:tcPr>
          <w:p w14:paraId="7F336208" w14:textId="5B4C9AE9" w:rsidR="00BC72D3" w:rsidRPr="00BC6BBC" w:rsidRDefault="00BC72D3">
            <w:pPr>
              <w:rPr>
                <w:rFonts w:ascii="Times New Roman" w:eastAsia="SimSun" w:hAnsi="Times New Roman" w:cs="Times New Roman"/>
                <w:b/>
                <w:bCs/>
                <w:sz w:val="20"/>
                <w:szCs w:val="20"/>
              </w:rPr>
            </w:pPr>
            <w:r w:rsidRPr="00BC6BBC">
              <w:rPr>
                <w:rFonts w:ascii="Times New Roman" w:eastAsia="SimSun" w:hAnsi="Times New Roman" w:cs="Times New Roman"/>
                <w:b/>
                <w:bCs/>
                <w:sz w:val="20"/>
                <w:szCs w:val="20"/>
              </w:rPr>
              <w:t xml:space="preserve">Hainan </w:t>
            </w:r>
            <w:proofErr w:type="spellStart"/>
            <w:r w:rsidRPr="00BC6BBC">
              <w:rPr>
                <w:rFonts w:ascii="Times New Roman" w:eastAsia="SimSun" w:hAnsi="Times New Roman" w:cs="Times New Roman"/>
                <w:b/>
                <w:bCs/>
                <w:sz w:val="20"/>
                <w:szCs w:val="20"/>
              </w:rPr>
              <w:t>DTx</w:t>
            </w:r>
            <w:proofErr w:type="spellEnd"/>
            <w:r w:rsidRPr="00BC6BBC">
              <w:rPr>
                <w:rFonts w:ascii="Times New Roman" w:eastAsia="SimSun" w:hAnsi="Times New Roman" w:cs="Times New Roman"/>
                <w:b/>
                <w:bCs/>
                <w:sz w:val="20"/>
                <w:szCs w:val="20"/>
              </w:rPr>
              <w:t xml:space="preserve"> Policy Package to Accelerate the Development of the Digital Therapeutics Industry</w:t>
            </w:r>
            <w:r w:rsidR="00BC6BBC" w:rsidRPr="00BC6BBC">
              <w:rPr>
                <w:rFonts w:ascii="Times New Roman" w:eastAsia="SimSun" w:hAnsi="Times New Roman" w:cs="Times New Roman" w:hint="eastAsia"/>
                <w:b/>
                <w:bCs/>
                <w:sz w:val="20"/>
                <w:szCs w:val="20"/>
              </w:rPr>
              <w:t>*</w:t>
            </w:r>
          </w:p>
          <w:p w14:paraId="603AEF0D" w14:textId="70709AC6"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《海南省加快推进数字疗法产业发展的若干措施》</w:t>
            </w:r>
          </w:p>
        </w:tc>
        <w:tc>
          <w:tcPr>
            <w:tcW w:w="3969" w:type="dxa"/>
            <w:tcBorders>
              <w:top w:val="nil"/>
              <w:left w:val="nil"/>
              <w:bottom w:val="nil"/>
              <w:right w:val="nil"/>
            </w:tcBorders>
          </w:tcPr>
          <w:p w14:paraId="4FF1AB1A" w14:textId="60B6950B"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Introduced comprehensive measures covering product development, clinical evaluation, regulatory approval, market access, payment innovation, and industrial support, forming China’s first systematic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policy package.</w:t>
            </w:r>
          </w:p>
        </w:tc>
      </w:tr>
      <w:tr w:rsidR="00BC72D3" w:rsidRPr="00BC6BBC" w14:paraId="629EACE8" w14:textId="77777777" w:rsidTr="000C78E0">
        <w:tc>
          <w:tcPr>
            <w:tcW w:w="1696" w:type="dxa"/>
            <w:tcBorders>
              <w:top w:val="nil"/>
              <w:left w:val="nil"/>
              <w:bottom w:val="nil"/>
              <w:right w:val="nil"/>
            </w:tcBorders>
          </w:tcPr>
          <w:p w14:paraId="3023D81A" w14:textId="38BA33D7"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Active Implementation</w:t>
            </w:r>
          </w:p>
        </w:tc>
        <w:tc>
          <w:tcPr>
            <w:tcW w:w="2694" w:type="dxa"/>
            <w:tcBorders>
              <w:top w:val="nil"/>
              <w:left w:val="nil"/>
              <w:bottom w:val="nil"/>
              <w:right w:val="nil"/>
            </w:tcBorders>
          </w:tcPr>
          <w:p w14:paraId="50D429EC" w14:textId="77777777"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Policy Notice Regarding the Classification of Digital Therapeutics Software as Medical Devices in Hainan Province</w:t>
            </w:r>
          </w:p>
          <w:p w14:paraId="6A2618A3" w14:textId="2D0915F1"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《海南省数字疗法软件医疗器械分类界定工作指引（试行）》</w:t>
            </w:r>
          </w:p>
        </w:tc>
        <w:tc>
          <w:tcPr>
            <w:tcW w:w="3969" w:type="dxa"/>
            <w:tcBorders>
              <w:top w:val="nil"/>
              <w:left w:val="nil"/>
              <w:bottom w:val="nil"/>
              <w:right w:val="nil"/>
            </w:tcBorders>
          </w:tcPr>
          <w:p w14:paraId="528C1216" w14:textId="431A12EC"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Clarified the criteria and procedures for classifying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software as medical devices, providing regulatory certainty and facilitating product registration, approval, and commercialization pathways.</w:t>
            </w:r>
          </w:p>
        </w:tc>
      </w:tr>
      <w:tr w:rsidR="00BC72D3" w:rsidRPr="00BC6BBC" w14:paraId="57457F04" w14:textId="77777777" w:rsidTr="000C78E0">
        <w:tc>
          <w:tcPr>
            <w:tcW w:w="1696" w:type="dxa"/>
            <w:tcBorders>
              <w:top w:val="nil"/>
              <w:left w:val="nil"/>
              <w:bottom w:val="nil"/>
              <w:right w:val="nil"/>
            </w:tcBorders>
          </w:tcPr>
          <w:p w14:paraId="7C5C3517" w14:textId="5A63895C"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Active Implementation</w:t>
            </w:r>
          </w:p>
        </w:tc>
        <w:tc>
          <w:tcPr>
            <w:tcW w:w="2694" w:type="dxa"/>
            <w:tcBorders>
              <w:top w:val="nil"/>
              <w:left w:val="nil"/>
              <w:bottom w:val="nil"/>
              <w:right w:val="nil"/>
            </w:tcBorders>
          </w:tcPr>
          <w:p w14:paraId="1400CB47" w14:textId="77777777"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Three-Year Action Plan (2024–2026) for High-Quality Development of Hainan Province’s Digital Health System and Digital Health Economy</w:t>
            </w:r>
          </w:p>
          <w:p w14:paraId="786DBA60" w14:textId="3EFE3BD8"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《海南省数字健康体系与数字健康经济高质量发展三年攻坚行动计划（</w:t>
            </w:r>
            <w:r w:rsidRPr="00BC6BBC">
              <w:rPr>
                <w:rFonts w:ascii="Times New Roman" w:eastAsia="SimSun" w:hAnsi="Times New Roman" w:cs="Times New Roman"/>
                <w:sz w:val="20"/>
                <w:szCs w:val="20"/>
              </w:rPr>
              <w:t>2024—2026</w:t>
            </w:r>
            <w:r w:rsidRPr="00BC6BBC">
              <w:rPr>
                <w:rFonts w:ascii="Times New Roman" w:eastAsia="SimSun" w:hAnsi="Times New Roman" w:cs="Times New Roman"/>
                <w:sz w:val="20"/>
                <w:szCs w:val="20"/>
              </w:rPr>
              <w:t>年）》</w:t>
            </w:r>
          </w:p>
        </w:tc>
        <w:tc>
          <w:tcPr>
            <w:tcW w:w="3969" w:type="dxa"/>
            <w:tcBorders>
              <w:top w:val="nil"/>
              <w:left w:val="nil"/>
              <w:bottom w:val="nil"/>
              <w:right w:val="nil"/>
            </w:tcBorders>
          </w:tcPr>
          <w:p w14:paraId="2493DB01" w14:textId="52373111"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Set specific targets and implementation priorities for digital health infrastructure, innovation, industrial development, and healthcare digitalization, further integrating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into Hainan’s broader digital health strategy.</w:t>
            </w:r>
          </w:p>
        </w:tc>
      </w:tr>
      <w:tr w:rsidR="00BC72D3" w:rsidRPr="00BC6BBC" w14:paraId="7B57A89E" w14:textId="77777777" w:rsidTr="000C78E0">
        <w:tc>
          <w:tcPr>
            <w:tcW w:w="1696" w:type="dxa"/>
            <w:tcBorders>
              <w:top w:val="nil"/>
              <w:left w:val="nil"/>
              <w:bottom w:val="nil"/>
              <w:right w:val="nil"/>
            </w:tcBorders>
          </w:tcPr>
          <w:p w14:paraId="124861A9" w14:textId="3799687D"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Active Implementation</w:t>
            </w:r>
          </w:p>
        </w:tc>
        <w:tc>
          <w:tcPr>
            <w:tcW w:w="2694" w:type="dxa"/>
            <w:tcBorders>
              <w:top w:val="nil"/>
              <w:left w:val="nil"/>
              <w:bottom w:val="nil"/>
              <w:right w:val="nil"/>
            </w:tcBorders>
          </w:tcPr>
          <w:p w14:paraId="1B09A4F3" w14:textId="77777777"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Policy Notice on the Management of Pricing and Reimbursement for Digital Therapeutics</w:t>
            </w:r>
          </w:p>
          <w:p w14:paraId="7DD74FDB" w14:textId="44D11F0E"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lastRenderedPageBreak/>
              <w:t>《海南省卫生健康委员会关于做好数字疗法收费管理工作的通知》</w:t>
            </w:r>
          </w:p>
        </w:tc>
        <w:tc>
          <w:tcPr>
            <w:tcW w:w="3969" w:type="dxa"/>
            <w:tcBorders>
              <w:top w:val="nil"/>
              <w:left w:val="nil"/>
              <w:bottom w:val="nil"/>
              <w:right w:val="nil"/>
            </w:tcBorders>
          </w:tcPr>
          <w:p w14:paraId="481F7EFE" w14:textId="33C8B991" w:rsidR="00BC72D3"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lastRenderedPageBreak/>
              <w:t xml:space="preserve">Established principles for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pricing and service charging, creating an initial payment framework and exploring reimbursement </w:t>
            </w:r>
            <w:r w:rsidRPr="00BC6BBC">
              <w:rPr>
                <w:rFonts w:ascii="Times New Roman" w:eastAsia="SimSun" w:hAnsi="Times New Roman" w:cs="Times New Roman"/>
                <w:sz w:val="20"/>
                <w:szCs w:val="20"/>
              </w:rPr>
              <w:lastRenderedPageBreak/>
              <w:t>mechanisms to support sustainable adoption in clinical practice.</w:t>
            </w:r>
          </w:p>
        </w:tc>
      </w:tr>
      <w:tr w:rsidR="00A53621" w:rsidRPr="00BC6BBC" w14:paraId="5CD53770" w14:textId="77777777" w:rsidTr="000C78E0">
        <w:tc>
          <w:tcPr>
            <w:tcW w:w="1696" w:type="dxa"/>
            <w:tcBorders>
              <w:top w:val="nil"/>
              <w:left w:val="nil"/>
              <w:right w:val="nil"/>
            </w:tcBorders>
          </w:tcPr>
          <w:p w14:paraId="2AA25421" w14:textId="0F18879D"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lastRenderedPageBreak/>
              <w:t xml:space="preserve">Early </w:t>
            </w:r>
            <w:r w:rsidRPr="00BC6BBC">
              <w:rPr>
                <w:rFonts w:ascii="Times New Roman" w:eastAsia="SimSun" w:hAnsi="Times New Roman" w:cs="Times New Roman" w:hint="eastAsia"/>
                <w:sz w:val="20"/>
                <w:szCs w:val="20"/>
              </w:rPr>
              <w:t>S</w:t>
            </w:r>
            <w:r w:rsidRPr="00BC6BBC">
              <w:rPr>
                <w:rFonts w:ascii="Times New Roman" w:eastAsia="SimSun" w:hAnsi="Times New Roman" w:cs="Times New Roman"/>
                <w:sz w:val="20"/>
                <w:szCs w:val="20"/>
              </w:rPr>
              <w:t>ustainment</w:t>
            </w:r>
          </w:p>
        </w:tc>
        <w:tc>
          <w:tcPr>
            <w:tcW w:w="2694" w:type="dxa"/>
            <w:tcBorders>
              <w:top w:val="nil"/>
              <w:left w:val="nil"/>
              <w:right w:val="nil"/>
            </w:tcBorders>
          </w:tcPr>
          <w:p w14:paraId="5EA3C7C0" w14:textId="77777777" w:rsidR="00A53621" w:rsidRPr="00BC6BBC" w:rsidRDefault="00A53621">
            <w:pPr>
              <w:rPr>
                <w:rFonts w:ascii="Times New Roman" w:eastAsia="SimSun" w:hAnsi="Times New Roman" w:cs="Times New Roman"/>
                <w:sz w:val="20"/>
                <w:szCs w:val="20"/>
              </w:rPr>
            </w:pPr>
            <w:r w:rsidRPr="00BC6BBC">
              <w:rPr>
                <w:rFonts w:ascii="Times New Roman" w:eastAsia="SimSun" w:hAnsi="Times New Roman" w:cs="Times New Roman"/>
                <w:sz w:val="20"/>
                <w:szCs w:val="20"/>
              </w:rPr>
              <w:t>Measures to Support the High-Quality Development of the Digital Therapeutics Industry in Hainan Province</w:t>
            </w:r>
          </w:p>
          <w:p w14:paraId="308233A8" w14:textId="2AF911A3" w:rsidR="00BC72D3" w:rsidRPr="00BC6BBC" w:rsidRDefault="00BC72D3">
            <w:pPr>
              <w:rPr>
                <w:rFonts w:ascii="Times New Roman" w:eastAsia="SimSun" w:hAnsi="Times New Roman" w:cs="Times New Roman"/>
                <w:sz w:val="20"/>
                <w:szCs w:val="20"/>
              </w:rPr>
            </w:pPr>
            <w:r w:rsidRPr="00BC6BBC">
              <w:rPr>
                <w:rFonts w:ascii="Times New Roman" w:eastAsia="SimSun" w:hAnsi="Times New Roman" w:cs="Times New Roman"/>
                <w:sz w:val="20"/>
                <w:szCs w:val="20"/>
              </w:rPr>
              <w:t>《关于支持数字疗法产业高质量发展的若干措施》</w:t>
            </w:r>
          </w:p>
        </w:tc>
        <w:tc>
          <w:tcPr>
            <w:tcW w:w="3969" w:type="dxa"/>
            <w:tcBorders>
              <w:top w:val="nil"/>
              <w:left w:val="nil"/>
              <w:right w:val="nil"/>
            </w:tcBorders>
          </w:tcPr>
          <w:p w14:paraId="0E047A51" w14:textId="3F53CEFF" w:rsidR="00A53621" w:rsidRPr="00BC6BBC" w:rsidRDefault="000C78E0">
            <w:pPr>
              <w:rPr>
                <w:rFonts w:ascii="Times New Roman" w:eastAsia="SimSun" w:hAnsi="Times New Roman" w:cs="Times New Roman"/>
                <w:sz w:val="20"/>
                <w:szCs w:val="20"/>
              </w:rPr>
            </w:pPr>
            <w:r w:rsidRPr="00BC6BBC">
              <w:rPr>
                <w:rFonts w:ascii="Times New Roman" w:eastAsia="SimSun" w:hAnsi="Times New Roman" w:cs="Times New Roman"/>
                <w:sz w:val="20"/>
                <w:szCs w:val="20"/>
              </w:rPr>
              <w:t xml:space="preserve">Strengthened long-term support through enhanced regulatory facilitation, industrial incentives, clinical application promotion, and ecosystem development, aiming to sustain </w:t>
            </w:r>
            <w:proofErr w:type="spellStart"/>
            <w:r w:rsidRPr="00BC6BBC">
              <w:rPr>
                <w:rFonts w:ascii="Times New Roman" w:eastAsia="SimSun" w:hAnsi="Times New Roman" w:cs="Times New Roman"/>
                <w:sz w:val="20"/>
                <w:szCs w:val="20"/>
              </w:rPr>
              <w:t>DTx</w:t>
            </w:r>
            <w:proofErr w:type="spellEnd"/>
            <w:r w:rsidRPr="00BC6BBC">
              <w:rPr>
                <w:rFonts w:ascii="Times New Roman" w:eastAsia="SimSun" w:hAnsi="Times New Roman" w:cs="Times New Roman"/>
                <w:sz w:val="20"/>
                <w:szCs w:val="20"/>
              </w:rPr>
              <w:t xml:space="preserve"> innovation and scale-up.</w:t>
            </w:r>
          </w:p>
        </w:tc>
      </w:tr>
    </w:tbl>
    <w:p w14:paraId="79DDE65C" w14:textId="248ADE23" w:rsidR="000C78E0" w:rsidRPr="00BC6BBC" w:rsidRDefault="000C78E0">
      <w:pPr>
        <w:rPr>
          <w:rFonts w:ascii="Times New Roman" w:hAnsi="Times New Roman" w:cs="Times New Roman"/>
          <w:sz w:val="22"/>
          <w:szCs w:val="22"/>
        </w:rPr>
      </w:pPr>
      <w:r w:rsidRPr="00BC6BBC">
        <w:rPr>
          <w:rFonts w:ascii="Times New Roman" w:hAnsi="Times New Roman" w:cs="Times New Roman"/>
          <w:sz w:val="22"/>
          <w:szCs w:val="22"/>
        </w:rPr>
        <w:t>NOTE</w:t>
      </w:r>
      <w:r w:rsidR="00BC6BBC" w:rsidRPr="00BC6BBC">
        <w:rPr>
          <w:rFonts w:ascii="Times New Roman" w:hAnsi="Times New Roman" w:cs="Times New Roman"/>
          <w:sz w:val="22"/>
          <w:szCs w:val="22"/>
        </w:rPr>
        <w:t xml:space="preserve">: </w:t>
      </w:r>
      <w:r w:rsidR="00BC6BBC" w:rsidRPr="00BC6BBC">
        <w:rPr>
          <w:rFonts w:ascii="Times New Roman" w:hAnsi="Times New Roman" w:cs="Times New Roman"/>
          <w:sz w:val="22"/>
          <w:szCs w:val="22"/>
          <w:vertAlign w:val="superscript"/>
        </w:rPr>
        <w:t>*</w:t>
      </w:r>
      <w:r w:rsidR="00BC6BBC" w:rsidRPr="00BC6BBC">
        <w:rPr>
          <w:rFonts w:ascii="Times New Roman" w:hAnsi="Times New Roman" w:cs="Times New Roman"/>
          <w:sz w:val="22"/>
          <w:szCs w:val="22"/>
        </w:rPr>
        <w:t>The specific content of the policy texts is provided in Table S1.2.</w:t>
      </w:r>
    </w:p>
    <w:p w14:paraId="78DBE910" w14:textId="77777777" w:rsidR="00BC6BBC" w:rsidRDefault="00BC6BBC">
      <w:pPr>
        <w:sectPr w:rsidR="00BC6BBC">
          <w:pgSz w:w="11906" w:h="16838"/>
          <w:pgMar w:top="1440" w:right="1800" w:bottom="1440" w:left="1800" w:header="851" w:footer="992" w:gutter="0"/>
          <w:cols w:space="425"/>
          <w:docGrid w:type="lines" w:linePitch="312"/>
        </w:sectPr>
      </w:pPr>
    </w:p>
    <w:p w14:paraId="33885189" w14:textId="3CF18E16" w:rsidR="000C78E0" w:rsidRPr="00736822" w:rsidRDefault="000C78E0" w:rsidP="000C78E0">
      <w:pPr>
        <w:rPr>
          <w:rFonts w:ascii="Times New Roman" w:hAnsi="Times New Roman" w:cs="Times New Roman"/>
          <w:sz w:val="22"/>
          <w:szCs w:val="22"/>
        </w:rPr>
      </w:pPr>
      <w:r w:rsidRPr="00A53621">
        <w:rPr>
          <w:rFonts w:ascii="Times New Roman" w:hAnsi="Times New Roman" w:cs="Times New Roman"/>
          <w:b/>
          <w:bCs/>
          <w:sz w:val="22"/>
          <w:szCs w:val="22"/>
        </w:rPr>
        <w:lastRenderedPageBreak/>
        <w:t xml:space="preserve">Supplementary Table </w:t>
      </w:r>
      <w:r w:rsidR="0087668E">
        <w:rPr>
          <w:rFonts w:ascii="Times New Roman" w:hAnsi="Times New Roman" w:cs="Times New Roman"/>
          <w:b/>
          <w:bCs/>
          <w:sz w:val="22"/>
          <w:szCs w:val="22"/>
        </w:rPr>
        <w:t>2</w:t>
      </w:r>
      <w:r w:rsidRPr="00A53621">
        <w:rPr>
          <w:rFonts w:ascii="Times New Roman" w:hAnsi="Times New Roman" w:cs="Times New Roman"/>
          <w:b/>
          <w:bCs/>
          <w:sz w:val="22"/>
          <w:szCs w:val="22"/>
        </w:rPr>
        <w:t>.</w:t>
      </w:r>
      <w:r>
        <w:rPr>
          <w:rFonts w:ascii="Times New Roman" w:hAnsi="Times New Roman" w:cs="Times New Roman" w:hint="eastAsia"/>
          <w:b/>
          <w:bCs/>
          <w:sz w:val="22"/>
          <w:szCs w:val="22"/>
        </w:rPr>
        <w:t>2</w:t>
      </w:r>
      <w:r w:rsidRPr="00A53621">
        <w:rPr>
          <w:rFonts w:ascii="Times New Roman" w:hAnsi="Times New Roman" w:cs="Times New Roman"/>
          <w:b/>
          <w:bCs/>
          <w:sz w:val="22"/>
          <w:szCs w:val="22"/>
        </w:rPr>
        <w:t xml:space="preserve"> </w:t>
      </w:r>
      <w:r w:rsidRPr="00736822">
        <w:rPr>
          <w:rFonts w:ascii="Times New Roman" w:hAnsi="Times New Roman" w:cs="Times New Roman"/>
          <w:sz w:val="22"/>
          <w:szCs w:val="22"/>
        </w:rPr>
        <w:t>Detailed descriptions of 21 individual measures of the Digital Therapeutics (</w:t>
      </w:r>
      <w:proofErr w:type="spellStart"/>
      <w:r w:rsidRPr="00736822">
        <w:rPr>
          <w:rFonts w:ascii="Times New Roman" w:hAnsi="Times New Roman" w:cs="Times New Roman"/>
          <w:sz w:val="22"/>
          <w:szCs w:val="22"/>
        </w:rPr>
        <w:t>DTx</w:t>
      </w:r>
      <w:proofErr w:type="spellEnd"/>
      <w:r w:rsidRPr="00736822">
        <w:rPr>
          <w:rFonts w:ascii="Times New Roman" w:hAnsi="Times New Roman" w:cs="Times New Roman"/>
          <w:sz w:val="22"/>
          <w:szCs w:val="22"/>
        </w:rPr>
        <w:t xml:space="preserve">) Policy Package to Accelerate </w:t>
      </w:r>
      <w:proofErr w:type="spellStart"/>
      <w:r w:rsidRPr="00736822">
        <w:rPr>
          <w:rFonts w:ascii="Times New Roman" w:hAnsi="Times New Roman" w:cs="Times New Roman"/>
          <w:sz w:val="22"/>
          <w:szCs w:val="22"/>
        </w:rPr>
        <w:t>DTx</w:t>
      </w:r>
      <w:proofErr w:type="spellEnd"/>
      <w:r w:rsidRPr="00736822">
        <w:rPr>
          <w:rFonts w:ascii="Times New Roman" w:hAnsi="Times New Roman" w:cs="Times New Roman"/>
          <w:sz w:val="22"/>
          <w:szCs w:val="22"/>
        </w:rPr>
        <w:t xml:space="preserve"> Development in Hainan, China</w:t>
      </w:r>
    </w:p>
    <w:tbl>
      <w:tblPr>
        <w:tblStyle w:val="TableGrid"/>
        <w:tblW w:w="14029" w:type="dxa"/>
        <w:tblLook w:val="04A0" w:firstRow="1" w:lastRow="0" w:firstColumn="1" w:lastColumn="0" w:noHBand="0" w:noVBand="1"/>
      </w:tblPr>
      <w:tblGrid>
        <w:gridCol w:w="2689"/>
        <w:gridCol w:w="4536"/>
        <w:gridCol w:w="6804"/>
      </w:tblGrid>
      <w:tr w:rsidR="000C78E0" w:rsidRPr="00BC6BBC" w14:paraId="6CD6DFE9" w14:textId="77777777" w:rsidTr="00BC6BBC">
        <w:tc>
          <w:tcPr>
            <w:tcW w:w="2689" w:type="dxa"/>
          </w:tcPr>
          <w:p w14:paraId="0FACC6E5"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Policy Measure Categories</w:t>
            </w:r>
          </w:p>
        </w:tc>
        <w:tc>
          <w:tcPr>
            <w:tcW w:w="4536" w:type="dxa"/>
          </w:tcPr>
          <w:p w14:paraId="7256F5A9"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Policy Measures (in Chinese)</w:t>
            </w:r>
          </w:p>
        </w:tc>
        <w:tc>
          <w:tcPr>
            <w:tcW w:w="6804" w:type="dxa"/>
          </w:tcPr>
          <w:p w14:paraId="0D1B56A0"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Policy Measures (Measures and details in English)</w:t>
            </w:r>
          </w:p>
        </w:tc>
      </w:tr>
      <w:tr w:rsidR="000C78E0" w:rsidRPr="00BC6BBC" w14:paraId="775F33A4" w14:textId="77777777" w:rsidTr="00BC6BBC">
        <w:tc>
          <w:tcPr>
            <w:tcW w:w="2689" w:type="dxa"/>
          </w:tcPr>
          <w:p w14:paraId="0A58D8CC"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建设全国领先的数字疗法临床科研示范基地</w:t>
            </w:r>
            <w:r w:rsidRPr="00BC6BBC">
              <w:rPr>
                <w:rFonts w:ascii="Times New Roman" w:eastAsia="SimSun" w:hAnsi="Times New Roman" w:cs="Times New Roman"/>
                <w:kern w:val="0"/>
                <w:sz w:val="20"/>
                <w:szCs w:val="20"/>
                <w:lang w:bidi="ar"/>
              </w:rPr>
              <w:t xml:space="preserve"> / Build a Nationally Leading Digital Therapeutics Clinical and Research Demonstration Base</w:t>
            </w:r>
          </w:p>
        </w:tc>
        <w:tc>
          <w:tcPr>
            <w:tcW w:w="4536" w:type="dxa"/>
          </w:tcPr>
          <w:p w14:paraId="0D81B3FF"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（一）建设一批数字疗法临床试验中心</w:t>
            </w:r>
            <w:r w:rsidRPr="00BC6BBC">
              <w:rPr>
                <w:rFonts w:ascii="Times New Roman" w:eastAsia="SimSun" w:hAnsi="Times New Roman" w:cs="Times New Roman"/>
                <w:kern w:val="0"/>
                <w:sz w:val="20"/>
                <w:szCs w:val="20"/>
                <w:lang w:bidi="ar"/>
              </w:rPr>
              <w:t>。在全省选择一批具有优势学科的三级医院建立数字疗法临床试验中心，如博鳌乐城国际医疗旅游先行区数字疗法临床研究及转化基地、精神障碍数字疗法临床试验中心、儿童注意力缺陷与多动障碍及孤独症数字疗法临床试验中心、肿瘤数字疗法临床试验中心、眼科数字疗法临床试验中心、睡眠数字疗法临床试验中心等。</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责任单位：省卫生健康委、省药监局、博鳌乐城国际医疗旅游先行区管理局；落实期限：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10</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643D4ADD"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b/>
                <w:bCs/>
                <w:kern w:val="0"/>
                <w:sz w:val="20"/>
                <w:szCs w:val="20"/>
                <w:lang w:bidi="ar"/>
              </w:rPr>
              <w:t>1. Establish digital therapeutics clinical trial centers</w:t>
            </w:r>
            <w:r w:rsidRPr="00BC6BBC">
              <w:rPr>
                <w:rFonts w:ascii="Times New Roman" w:eastAsia="SimSun" w:hAnsi="Times New Roman" w:cs="Times New Roman"/>
                <w:kern w:val="0"/>
                <w:sz w:val="20"/>
                <w:szCs w:val="20"/>
                <w:lang w:bidi="ar"/>
              </w:rPr>
              <w:br/>
              <w:t xml:space="preserve">- Select a group of top-tier hospitals across the province with strong specialty disciplines to establish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centers. </w:t>
            </w:r>
          </w:p>
          <w:p w14:paraId="0828B6B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Specific centers include: Boao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International Medical Tourism Pilot Zone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Research and Translation Base, Mental disorders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 ADHD and Autism in Children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 Oncology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 Ophthalmology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 Sleep Disorders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Center.</w:t>
            </w:r>
          </w:p>
          <w:p w14:paraId="3D09C3F3"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Responsible Units/Actors: Provincial Health Commission, Provincial Drug Administration, Boao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Admin Bureau</w:t>
            </w:r>
          </w:p>
          <w:p w14:paraId="43E305B8" w14:textId="3505DD5B"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Deadline: October 31, 2022</w:t>
            </w:r>
          </w:p>
        </w:tc>
      </w:tr>
      <w:tr w:rsidR="000C78E0" w:rsidRPr="00BC6BBC" w14:paraId="483F8E8E" w14:textId="77777777" w:rsidTr="00BC6BBC">
        <w:tc>
          <w:tcPr>
            <w:tcW w:w="2689" w:type="dxa"/>
          </w:tcPr>
          <w:p w14:paraId="1A4D0594"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建设全国领先的数字疗法临床科研示范基地</w:t>
            </w:r>
            <w:r w:rsidRPr="00BC6BBC">
              <w:rPr>
                <w:rFonts w:ascii="Times New Roman" w:eastAsia="SimSun" w:hAnsi="Times New Roman" w:cs="Times New Roman"/>
                <w:kern w:val="0"/>
                <w:sz w:val="20"/>
                <w:szCs w:val="20"/>
                <w:lang w:bidi="ar"/>
              </w:rPr>
              <w:t xml:space="preserve"> / Build a Nationally Leading Digital Therapeutics Clinical and Research Demonstration Base</w:t>
            </w:r>
          </w:p>
        </w:tc>
        <w:tc>
          <w:tcPr>
            <w:tcW w:w="4536" w:type="dxa"/>
          </w:tcPr>
          <w:p w14:paraId="17DBC0EE"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（二）鼓励开展数字疗法技术攻关与临床转化。</w:t>
            </w:r>
            <w:r w:rsidRPr="00BC6BBC">
              <w:rPr>
                <w:rFonts w:ascii="Times New Roman" w:eastAsia="SimSun" w:hAnsi="Times New Roman" w:cs="Times New Roman"/>
                <w:kern w:val="0"/>
                <w:sz w:val="20"/>
                <w:szCs w:val="20"/>
                <w:lang w:bidi="ar"/>
              </w:rPr>
              <w:t>鼓励医疗机构及高校院所开展数字疗法科学研究，推动临床转化。积极组织申报省重点研发专项、省自然科学基金等科技专项资金，探索通过</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揭榜挂帅</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等方式吸引优势力量进行数字疗法产业重点关键技术攻关。鼓励开展国际科研合作，发展数字疗法全球科研项目合作平台。支持数字疗法产品研发创新，可利用省生物医药产业研发券及省内其他研发创新支持政策，根据数字疗法产品研发及产业化的不同阶段性成果，分步给予企业、高校和医疗机构相应补助和奖励。支持医</w:t>
            </w:r>
            <w:r w:rsidRPr="00BC6BBC">
              <w:rPr>
                <w:rFonts w:ascii="Times New Roman" w:eastAsia="SimSun" w:hAnsi="Times New Roman" w:cs="Times New Roman"/>
                <w:kern w:val="0"/>
                <w:sz w:val="20"/>
                <w:szCs w:val="20"/>
                <w:lang w:bidi="ar"/>
              </w:rPr>
              <w:lastRenderedPageBreak/>
              <w:t>疗机构对积极开展和承接数字疗法临床研究的人员在岗位设置、职务晋升、评奖推优等方面给予一定的倾斜，在公立医院内部绩效分配时适当加大对数字疗法临床研究人员的倾斜，允许数字疗法职务科技成果转化现金奖励计入当年单位绩效工资总量，不受总量限制，不纳入总量基数，不作为社会保险缴费基数。</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责任单位：省科技厅、省工业和信息化厅、省卫生健康委、省委人才发展局、省人力资源社会保障厅、省教育厅；落实期限：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07818BA0"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b/>
                <w:bCs/>
                <w:kern w:val="0"/>
                <w:sz w:val="20"/>
                <w:szCs w:val="20"/>
                <w:lang w:bidi="ar"/>
              </w:rPr>
              <w:lastRenderedPageBreak/>
              <w:t xml:space="preserve">2. Promote R&amp;D and clinical translation of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kern w:val="0"/>
                <w:sz w:val="20"/>
                <w:szCs w:val="20"/>
                <w:lang w:bidi="ar"/>
              </w:rPr>
              <w:t xml:space="preserve"> </w:t>
            </w:r>
          </w:p>
          <w:p w14:paraId="38CBA3D2" w14:textId="1AB4071C"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Encourage hospitals and research institutes to engage in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scientific research and clinical translation.</w:t>
            </w:r>
          </w:p>
          <w:p w14:paraId="5FD8E7D6"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Apply for special provincial R&amp;D funds such as the Key R&amp;D Projects and the Natural Science Foundation. </w:t>
            </w:r>
          </w:p>
          <w:p w14:paraId="766A200F"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Explore “revealed champion” (</w:t>
            </w:r>
            <w:r w:rsidRPr="00BC6BBC">
              <w:rPr>
                <w:rFonts w:ascii="Times New Roman" w:eastAsia="SimSun" w:hAnsi="Times New Roman" w:cs="Times New Roman"/>
                <w:kern w:val="0"/>
                <w:sz w:val="20"/>
                <w:szCs w:val="20"/>
                <w:lang w:bidi="ar"/>
              </w:rPr>
              <w:t>揭榜挂帅</w:t>
            </w:r>
            <w:r w:rsidRPr="00BC6BBC">
              <w:rPr>
                <w:rFonts w:ascii="Times New Roman" w:eastAsia="SimSun" w:hAnsi="Times New Roman" w:cs="Times New Roman"/>
                <w:kern w:val="0"/>
                <w:sz w:val="20"/>
                <w:szCs w:val="20"/>
                <w:lang w:bidi="ar"/>
              </w:rPr>
              <w:t xml:space="preserve">) innovation models to attract top talent for key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technological breakthroughs.</w:t>
            </w:r>
          </w:p>
          <w:p w14:paraId="69EE70E0"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Promote international collaborations and create global research project platforms.</w:t>
            </w:r>
          </w:p>
          <w:p w14:paraId="2DCBBB7B"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Use biopharmaceutical R&amp;D vouchers and other provincial innovation support to provide phased subsidies and awards to enterprises, universities, and hospitals. </w:t>
            </w:r>
          </w:p>
          <w:p w14:paraId="64852CD8" w14:textId="28826790"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lastRenderedPageBreak/>
              <w:t>- Support clinical researchers with advantages in job settings, promotion, awards, and internal performance evaluation in public hospitals.</w:t>
            </w:r>
          </w:p>
          <w:p w14:paraId="31E7E12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Permit earning cash rewards from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-related scientific achievements, and it need to be excluded from performance pay caps and social insurance contribution base.</w:t>
            </w:r>
          </w:p>
          <w:p w14:paraId="37E769FC"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Department of Science and Technology, Department of Industry and IT, Provincial Health Commission, Provincial Talent Development Office, Department of Human Resources and Social Security, Department of Education</w:t>
            </w:r>
          </w:p>
          <w:p w14:paraId="6416581F" w14:textId="66286CEB"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2022</w:t>
            </w:r>
          </w:p>
        </w:tc>
      </w:tr>
      <w:tr w:rsidR="000C78E0" w:rsidRPr="00BC6BBC" w14:paraId="5FABBA21" w14:textId="77777777" w:rsidTr="00BC6BBC">
        <w:tc>
          <w:tcPr>
            <w:tcW w:w="2689" w:type="dxa"/>
          </w:tcPr>
          <w:p w14:paraId="494CA9A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建设全国领先的数字疗法临床科研示范基地</w:t>
            </w:r>
            <w:r w:rsidRPr="00BC6BBC">
              <w:rPr>
                <w:rFonts w:ascii="Times New Roman" w:eastAsia="SimSun" w:hAnsi="Times New Roman" w:cs="Times New Roman"/>
                <w:kern w:val="0"/>
                <w:sz w:val="20"/>
                <w:szCs w:val="20"/>
                <w:lang w:bidi="ar"/>
              </w:rPr>
              <w:t xml:space="preserve"> / </w:t>
            </w:r>
            <w:bookmarkStart w:id="0" w:name="OLE_LINK2"/>
            <w:bookmarkStart w:id="1" w:name="OLE_LINK1"/>
            <w:r w:rsidRPr="00BC6BBC">
              <w:rPr>
                <w:rFonts w:ascii="Times New Roman" w:eastAsia="SimSun" w:hAnsi="Times New Roman" w:cs="Times New Roman"/>
                <w:kern w:val="0"/>
                <w:sz w:val="20"/>
                <w:szCs w:val="20"/>
                <w:lang w:bidi="ar"/>
              </w:rPr>
              <w:t xml:space="preserve">Build a Nationally Leading Digital Therapeutics Clinical and Research Demonstration </w:t>
            </w:r>
            <w:bookmarkEnd w:id="0"/>
            <w:bookmarkEnd w:id="1"/>
            <w:r w:rsidRPr="00BC6BBC">
              <w:rPr>
                <w:rFonts w:ascii="Times New Roman" w:eastAsia="SimSun" w:hAnsi="Times New Roman" w:cs="Times New Roman"/>
                <w:kern w:val="0"/>
                <w:sz w:val="20"/>
                <w:szCs w:val="20"/>
                <w:lang w:bidi="ar"/>
              </w:rPr>
              <w:t>Base</w:t>
            </w:r>
          </w:p>
        </w:tc>
        <w:tc>
          <w:tcPr>
            <w:tcW w:w="4536" w:type="dxa"/>
          </w:tcPr>
          <w:p w14:paraId="1D14BA11"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（三）加快建设数字疗法公共服务和管理平台。</w:t>
            </w:r>
            <w:r w:rsidRPr="00BC6BBC">
              <w:rPr>
                <w:rFonts w:ascii="Times New Roman" w:eastAsia="SimSun" w:hAnsi="Times New Roman" w:cs="Times New Roman"/>
                <w:kern w:val="0"/>
                <w:sz w:val="20"/>
                <w:szCs w:val="20"/>
                <w:lang w:bidi="ar"/>
              </w:rPr>
              <w:t>在相关部门网站上建立数字疗法产业发展专项通道，支持企业、医疗机构、临床医生等数字疗法参与方提交临床试验需求，帮助各方快速对接和匹配资源。建立数字疗法临床试验公示系统，数字疗法企业及时上报临床试验具体情况和试验结果，相关信息可作为审批部门的凭证依据。引入一批数字疗法</w:t>
            </w:r>
            <w:r w:rsidRPr="00BC6BBC">
              <w:rPr>
                <w:rFonts w:ascii="Times New Roman" w:eastAsia="SimSun" w:hAnsi="Times New Roman" w:cs="Times New Roman"/>
                <w:kern w:val="0"/>
                <w:sz w:val="20"/>
                <w:szCs w:val="20"/>
                <w:lang w:bidi="ar"/>
              </w:rPr>
              <w:t>CRO</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CDMO</w:t>
            </w:r>
            <w:r w:rsidRPr="00BC6BBC">
              <w:rPr>
                <w:rFonts w:ascii="Times New Roman" w:eastAsia="SimSun" w:hAnsi="Times New Roman" w:cs="Times New Roman"/>
                <w:kern w:val="0"/>
                <w:sz w:val="20"/>
                <w:szCs w:val="20"/>
                <w:lang w:bidi="ar"/>
              </w:rPr>
              <w:t>企业落户海南，支持海南数字疗法</w:t>
            </w:r>
            <w:r w:rsidRPr="00BC6BBC">
              <w:rPr>
                <w:rFonts w:ascii="Times New Roman" w:eastAsia="SimSun" w:hAnsi="Times New Roman" w:cs="Times New Roman"/>
                <w:kern w:val="0"/>
                <w:sz w:val="20"/>
                <w:szCs w:val="20"/>
                <w:lang w:bidi="ar"/>
              </w:rPr>
              <w:t>CDMO</w:t>
            </w:r>
            <w:r w:rsidRPr="00BC6BBC">
              <w:rPr>
                <w:rFonts w:ascii="Times New Roman" w:eastAsia="SimSun" w:hAnsi="Times New Roman" w:cs="Times New Roman"/>
                <w:kern w:val="0"/>
                <w:sz w:val="20"/>
                <w:szCs w:val="20"/>
                <w:lang w:bidi="ar"/>
              </w:rPr>
              <w:t>平台建设，支持</w:t>
            </w:r>
            <w:r w:rsidRPr="00BC6BBC">
              <w:rPr>
                <w:rFonts w:ascii="Times New Roman" w:eastAsia="SimSun" w:hAnsi="Times New Roman" w:cs="Times New Roman"/>
                <w:kern w:val="0"/>
                <w:sz w:val="20"/>
                <w:szCs w:val="20"/>
                <w:lang w:bidi="ar"/>
              </w:rPr>
              <w:t>CDMO</w:t>
            </w:r>
            <w:r w:rsidRPr="00BC6BBC">
              <w:rPr>
                <w:rFonts w:ascii="Times New Roman" w:eastAsia="SimSun" w:hAnsi="Times New Roman" w:cs="Times New Roman"/>
                <w:kern w:val="0"/>
                <w:sz w:val="20"/>
                <w:szCs w:val="20"/>
                <w:lang w:bidi="ar"/>
              </w:rPr>
              <w:t>等平台与海南实体医院、互联网医院进行临床试验和市场化合作。</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责任单位：省卫生健康委、省药监局、省工业和信息化厅；落实期限：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10</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3FFE3B8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b/>
                <w:bCs/>
                <w:kern w:val="0"/>
                <w:sz w:val="20"/>
                <w:szCs w:val="20"/>
                <w:lang w:bidi="ar"/>
              </w:rPr>
              <w:t xml:space="preserve">3. Develop public service and management platforms for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kern w:val="0"/>
                <w:sz w:val="20"/>
                <w:szCs w:val="20"/>
                <w:lang w:bidi="ar"/>
              </w:rPr>
              <w:t xml:space="preserve"> </w:t>
            </w:r>
          </w:p>
          <w:p w14:paraId="5453ADD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Create a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special access channel on relevant government department websites.</w:t>
            </w:r>
          </w:p>
          <w:p w14:paraId="596BCE9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Support enterprises, hospitals, and doctors to submit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clinical trial requests and quickly match resources.</w:t>
            </w:r>
          </w:p>
          <w:p w14:paraId="7CF18C77"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Build a public trial disclosure system where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firms report trial details and outcomes, which can serve as regulatory evidence.</w:t>
            </w:r>
          </w:p>
          <w:p w14:paraId="3E74A39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Attract CRO/CDMO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firms to Hainan and support the development of a local CDMO platform.</w:t>
            </w:r>
          </w:p>
          <w:p w14:paraId="3F32EE93" w14:textId="67E10473"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Encourage clinical and commercial partnerships between CDMO platforms and physical/online hospitals.</w:t>
            </w:r>
          </w:p>
          <w:p w14:paraId="1FF7536C"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Units: Provincial Health Commission, Drug Administration, Department of Industry and IT</w:t>
            </w:r>
          </w:p>
          <w:p w14:paraId="6E481DCA"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October 31, 2022</w:t>
            </w:r>
          </w:p>
        </w:tc>
      </w:tr>
      <w:tr w:rsidR="000C78E0" w:rsidRPr="00BC6BBC" w14:paraId="733D61F4" w14:textId="77777777" w:rsidTr="00BC6BBC">
        <w:tc>
          <w:tcPr>
            <w:tcW w:w="2689" w:type="dxa"/>
          </w:tcPr>
          <w:p w14:paraId="5A10659E"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加快数字疗法产品注册审批</w:t>
            </w:r>
            <w:r w:rsidRPr="00BC6BBC">
              <w:rPr>
                <w:rFonts w:ascii="Times New Roman" w:eastAsia="SimSun" w:hAnsi="Times New Roman" w:cs="Times New Roman"/>
                <w:kern w:val="0"/>
                <w:sz w:val="20"/>
                <w:szCs w:val="20"/>
                <w:lang w:bidi="ar"/>
              </w:rPr>
              <w:t xml:space="preserve"> / Accelerate Registration and Approval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4217523D"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b/>
                <w:bCs/>
                <w:kern w:val="0"/>
                <w:sz w:val="20"/>
                <w:szCs w:val="20"/>
                <w:lang w:bidi="ar"/>
              </w:rPr>
              <w:t>四）制定数字疗法产品分类监管和注册审批指导文件。</w:t>
            </w:r>
            <w:r w:rsidRPr="00BC6BBC">
              <w:rPr>
                <w:rFonts w:ascii="Times New Roman" w:eastAsia="SimSun" w:hAnsi="Times New Roman" w:cs="Times New Roman"/>
                <w:kern w:val="0"/>
                <w:sz w:val="20"/>
                <w:szCs w:val="20"/>
                <w:lang w:bidi="ar"/>
              </w:rPr>
              <w:t>在部门网站上设置数字疗法专栏，列示数字疗法注册审批相关的监管政策和指导文件。依据国家药品监督管理局医疗器械软件类产品分类指导原则、移动医疗器械注册技术审查指导原则及国家标准管理中心分类界定结果等，形成数字疗法分类界定意见并于专栏公布；对数字疗法产品在临床试验、注册审评审批、更新迭代等关键环节可以适用的监管政策、监管文件和操作指引进行分类说明。</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责任单位：省药监局；落实期限：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67A2120B"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4. Issue classification and regulatory guidance documents</w:t>
            </w:r>
          </w:p>
          <w:p w14:paraId="13BAC0F5" w14:textId="2541C7FE"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Create a dedicated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section on government websites listing all relevant regulations.</w:t>
            </w:r>
          </w:p>
          <w:p w14:paraId="7E8945D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Follow NMPA software classification, mobile health registration guidance, and national classification outcomes to publish suggestions on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classification definition</w:t>
            </w:r>
          </w:p>
          <w:p w14:paraId="7348B326"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Publish instructions on applicable regulations for clinical trials, registration, iteration, etc.</w:t>
            </w:r>
          </w:p>
          <w:p w14:paraId="470DB09D"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 Provincial Drug Administration</w:t>
            </w:r>
            <w:r w:rsidRPr="00BC6BBC">
              <w:rPr>
                <w:rFonts w:ascii="Times New Roman" w:eastAsia="SimSun" w:hAnsi="Times New Roman" w:cs="Times New Roman"/>
                <w:kern w:val="0"/>
                <w:sz w:val="20"/>
                <w:szCs w:val="20"/>
                <w:lang w:bidi="ar"/>
              </w:rPr>
              <w:br/>
              <w:t>Deadline: December 31, 2022</w:t>
            </w:r>
          </w:p>
        </w:tc>
      </w:tr>
      <w:tr w:rsidR="000C78E0" w:rsidRPr="00BC6BBC" w14:paraId="30BA197D" w14:textId="77777777" w:rsidTr="00BC6BBC">
        <w:tc>
          <w:tcPr>
            <w:tcW w:w="2689" w:type="dxa"/>
          </w:tcPr>
          <w:p w14:paraId="14E3D590"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加快数字疗法产品注册审批</w:t>
            </w:r>
            <w:r w:rsidRPr="00BC6BBC">
              <w:rPr>
                <w:rFonts w:ascii="Times New Roman" w:eastAsia="SimSun" w:hAnsi="Times New Roman" w:cs="Times New Roman"/>
                <w:kern w:val="0"/>
                <w:sz w:val="20"/>
                <w:szCs w:val="20"/>
                <w:lang w:bidi="ar"/>
              </w:rPr>
              <w:t xml:space="preserve"> / </w:t>
            </w:r>
            <w:bookmarkStart w:id="2" w:name="OLE_LINK3"/>
            <w:bookmarkStart w:id="3" w:name="OLE_LINK4"/>
            <w:r w:rsidRPr="00BC6BBC">
              <w:rPr>
                <w:rFonts w:ascii="Times New Roman" w:eastAsia="SimSun" w:hAnsi="Times New Roman" w:cs="Times New Roman"/>
                <w:kern w:val="0"/>
                <w:sz w:val="20"/>
                <w:szCs w:val="20"/>
                <w:lang w:bidi="ar"/>
              </w:rPr>
              <w:t xml:space="preserve">Accelerate Registration and Approval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bookmarkEnd w:id="2"/>
            <w:bookmarkEnd w:id="3"/>
          </w:p>
        </w:tc>
        <w:tc>
          <w:tcPr>
            <w:tcW w:w="4536" w:type="dxa"/>
          </w:tcPr>
          <w:p w14:paraId="0384BBF9"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（五）建立第二类医疗器械数字疗法产品注册辅导专项通道。</w:t>
            </w:r>
            <w:r w:rsidRPr="00BC6BBC">
              <w:rPr>
                <w:rFonts w:ascii="Times New Roman" w:eastAsia="SimSun" w:hAnsi="Times New Roman" w:cs="Times New Roman"/>
                <w:kern w:val="0"/>
                <w:sz w:val="20"/>
                <w:szCs w:val="20"/>
                <w:lang w:bidi="ar"/>
              </w:rPr>
              <w:t>在相关部门网站公示数字疗法监管政策咨询专线及邮箱，建立第二类医疗器械数字疗法产品专项辅导快速响应机制，由专人负责数字疗法产品技术咨询，原则上在收到咨询后</w:t>
            </w:r>
            <w:r w:rsidRPr="00BC6BBC">
              <w:rPr>
                <w:rFonts w:ascii="Times New Roman" w:eastAsia="SimSun" w:hAnsi="Times New Roman" w:cs="Times New Roman"/>
                <w:kern w:val="0"/>
                <w:sz w:val="20"/>
                <w:szCs w:val="20"/>
                <w:lang w:bidi="ar"/>
              </w:rPr>
              <w:t>10</w:t>
            </w:r>
            <w:r w:rsidRPr="00BC6BBC">
              <w:rPr>
                <w:rFonts w:ascii="Times New Roman" w:eastAsia="SimSun" w:hAnsi="Times New Roman" w:cs="Times New Roman"/>
                <w:kern w:val="0"/>
                <w:sz w:val="20"/>
                <w:szCs w:val="20"/>
                <w:lang w:bidi="ar"/>
              </w:rPr>
              <w:t>个工作日内给予回复。针对企业申请数字疗法产品注册流程和政策开展培训，提升企业申报标准和质量，提高审批通过率。</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责任单位：省药监局；落实期限：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10</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313B4E46"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kern w:val="0"/>
                <w:sz w:val="20"/>
                <w:szCs w:val="20"/>
                <w:lang w:bidi="ar"/>
              </w:rPr>
              <w:t>5</w:t>
            </w:r>
            <w:r w:rsidRPr="00BC6BBC">
              <w:rPr>
                <w:rFonts w:ascii="Times New Roman" w:eastAsia="SimSun" w:hAnsi="Times New Roman" w:cs="Times New Roman"/>
                <w:b/>
                <w:bCs/>
                <w:kern w:val="0"/>
                <w:sz w:val="20"/>
                <w:szCs w:val="20"/>
                <w:lang w:bidi="ar"/>
              </w:rPr>
              <w:t xml:space="preserve">. Establish dedicated consultation channels for Class II medical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product registration</w:t>
            </w:r>
          </w:p>
          <w:p w14:paraId="47F37FCB"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Publish hotline and email contacts for regulatory inquiries on relevant department websites. </w:t>
            </w:r>
          </w:p>
          <w:p w14:paraId="1D08AD5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Set up a fast-response mechanism dedicated to guiding companies through the registration of Class II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p w14:paraId="065D9B6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Assign dedicated personnel for technical consultation, with a general requirement to respond within 10 working days. </w:t>
            </w:r>
          </w:p>
          <w:p w14:paraId="35445BDF"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Conduct training for enterprises on registration procedures and policies to improve their application standards and quality. Increase the approval rate for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 registrations. </w:t>
            </w:r>
          </w:p>
          <w:p w14:paraId="162BFDF3" w14:textId="6D2B6812"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Provincial Drug Administration</w:t>
            </w:r>
            <w:r w:rsidRPr="00BC6BBC">
              <w:rPr>
                <w:rFonts w:ascii="Times New Roman" w:eastAsia="SimSun" w:hAnsi="Times New Roman" w:cs="Times New Roman"/>
                <w:kern w:val="0"/>
                <w:sz w:val="20"/>
                <w:szCs w:val="20"/>
                <w:lang w:bidi="ar"/>
              </w:rPr>
              <w:br/>
              <w:t>Deadline: December 31, 2022</w:t>
            </w:r>
          </w:p>
        </w:tc>
      </w:tr>
      <w:tr w:rsidR="000C78E0" w:rsidRPr="00BC6BBC" w14:paraId="0AA0AB76" w14:textId="77777777" w:rsidTr="00BC6BBC">
        <w:tc>
          <w:tcPr>
            <w:tcW w:w="2689" w:type="dxa"/>
          </w:tcPr>
          <w:p w14:paraId="6E708B7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加快数字疗法产品注册审批</w:t>
            </w:r>
            <w:r w:rsidRPr="00BC6BBC">
              <w:rPr>
                <w:rFonts w:ascii="Times New Roman" w:eastAsia="SimSun" w:hAnsi="Times New Roman" w:cs="Times New Roman"/>
                <w:kern w:val="0"/>
                <w:sz w:val="20"/>
                <w:szCs w:val="20"/>
                <w:lang w:bidi="ar"/>
              </w:rPr>
              <w:t xml:space="preserve"> / Accelerate Registration and Approval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6EA2C012"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（六）出台数字疗法鼓励发展目录，</w:t>
            </w:r>
            <w:r w:rsidRPr="00BC6BBC">
              <w:rPr>
                <w:rFonts w:ascii="Times New Roman" w:eastAsia="SimSun" w:hAnsi="Times New Roman" w:cs="Times New Roman"/>
                <w:kern w:val="0"/>
                <w:sz w:val="20"/>
                <w:szCs w:val="20"/>
                <w:lang w:bidi="ar"/>
              </w:rPr>
              <w:t>建立特定种类数字疗法绿色审批通道。优先鼓励发展一批循证依据坚实、技术成熟度高、海南临床急需、发展前景广阔的数字疗法产品，建立优先审批通道。制定数字疗法优先审批程序，明确适用优先审批程序需满足的条件及工作程序，在企业按医疗器械注册申报资料要求提交数字疗法产品注册申请后</w:t>
            </w:r>
            <w:r w:rsidRPr="00BC6BBC">
              <w:rPr>
                <w:rFonts w:ascii="Times New Roman" w:eastAsia="SimSun" w:hAnsi="Times New Roman" w:cs="Times New Roman"/>
                <w:kern w:val="0"/>
                <w:sz w:val="20"/>
                <w:szCs w:val="20"/>
                <w:lang w:bidi="ar"/>
              </w:rPr>
              <w:t>3</w:t>
            </w:r>
            <w:r w:rsidRPr="00BC6BBC">
              <w:rPr>
                <w:rFonts w:ascii="Times New Roman" w:eastAsia="SimSun" w:hAnsi="Times New Roman" w:cs="Times New Roman"/>
                <w:kern w:val="0"/>
                <w:sz w:val="20"/>
                <w:szCs w:val="20"/>
                <w:lang w:bidi="ar"/>
              </w:rPr>
              <w:t>个月内完成审评审批，其中企业补正资料、专家技术审评不计入时限要求。对未获批的，告知申请方未能通过原因及建议。</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责任单位：省药监局；落实期限：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10</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127767AA"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6. Develop a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Encouraged Products Directory and fast-track approval channel</w:t>
            </w:r>
          </w:p>
          <w:p w14:paraId="62F46812"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Prioritize development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 with strong evidence base, high technological maturity, urgent clinical needs in Hainan, and promising future applications. </w:t>
            </w:r>
          </w:p>
          <w:p w14:paraId="5EB8E560"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Establish a priority approval pathway for these products.</w:t>
            </w:r>
          </w:p>
          <w:p w14:paraId="47D04A4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Define the conditions and procedures required for inclusion in the fast-track process. </w:t>
            </w:r>
          </w:p>
          <w:p w14:paraId="663FF386"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Ensure that qualified applications are reviewed and approved within three months (excluding time for applicant resubmissions or expert reviews).</w:t>
            </w:r>
          </w:p>
          <w:p w14:paraId="3C3AF662"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Provide feedback on unsuccessful applications with reasons and improvement suggestions.</w:t>
            </w:r>
          </w:p>
          <w:p w14:paraId="74AF7822" w14:textId="2A774265"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Units: Provincial Drug Administration</w:t>
            </w:r>
            <w:r w:rsidRPr="00BC6BBC">
              <w:rPr>
                <w:rFonts w:ascii="Times New Roman" w:eastAsia="SimSun" w:hAnsi="Times New Roman" w:cs="Times New Roman"/>
                <w:kern w:val="0"/>
                <w:sz w:val="20"/>
                <w:szCs w:val="20"/>
                <w:lang w:bidi="ar"/>
              </w:rPr>
              <w:br/>
              <w:t>Deadline: December 31, 2022</w:t>
            </w:r>
          </w:p>
        </w:tc>
      </w:tr>
      <w:tr w:rsidR="000C78E0" w:rsidRPr="00BC6BBC" w14:paraId="0FC2C233" w14:textId="77777777" w:rsidTr="00BC6BBC">
        <w:tc>
          <w:tcPr>
            <w:tcW w:w="2689" w:type="dxa"/>
          </w:tcPr>
          <w:p w14:paraId="50DE9220"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加快数字疗法产品注册审批</w:t>
            </w:r>
            <w:r w:rsidRPr="00BC6BBC">
              <w:rPr>
                <w:rFonts w:ascii="Times New Roman" w:eastAsia="SimSun" w:hAnsi="Times New Roman" w:cs="Times New Roman"/>
                <w:kern w:val="0"/>
                <w:sz w:val="20"/>
                <w:szCs w:val="20"/>
                <w:lang w:bidi="ar"/>
              </w:rPr>
              <w:t xml:space="preserve"> / Accelerate Registration and Approval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0598C1AD"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b/>
                <w:bCs/>
                <w:kern w:val="0"/>
                <w:sz w:val="20"/>
                <w:szCs w:val="20"/>
                <w:lang w:bidi="ar"/>
              </w:rPr>
              <w:t>七）探索数字疗法备案制，鼓励真实世界数据在产品注册审批和上市临床验证中的应用</w:t>
            </w:r>
            <w:r w:rsidRPr="00BC6BBC">
              <w:rPr>
                <w:rFonts w:ascii="Times New Roman" w:eastAsia="SimSun" w:hAnsi="Times New Roman" w:cs="Times New Roman"/>
                <w:kern w:val="0"/>
                <w:sz w:val="20"/>
                <w:szCs w:val="20"/>
                <w:lang w:bidi="ar"/>
              </w:rPr>
              <w:t>。对于风险低、适用于筛查、干预等公共卫生领域的数字疗法产品，在符合国家有关审评审批要求的前提下探索通过备案方式快速推广应用。鼓励真实世界研究，充分发挥国家药品监督管理局药品医疗器械监管科学研究基地和国家药品监督管理局海南真实世界数据研究与评价重点实验室的引领作用，以及特许医疗器械产品通过真实世界研究政策获批上市的经验，推进将真实世界数据用于数字疗法产品申报注册依据和数字疗法产品监管</w:t>
            </w:r>
            <w:r w:rsidRPr="00BC6BBC">
              <w:rPr>
                <w:rFonts w:ascii="Times New Roman" w:eastAsia="SimSun" w:hAnsi="Times New Roman" w:cs="Times New Roman"/>
                <w:kern w:val="0"/>
                <w:sz w:val="20"/>
                <w:szCs w:val="20"/>
                <w:lang w:bidi="ar"/>
              </w:rPr>
              <w:lastRenderedPageBreak/>
              <w:t>决策及上市后临床验证。</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责任单位：省药监局；落实期限：长期推进</w:t>
            </w:r>
            <w:r w:rsidRPr="00BC6BBC">
              <w:rPr>
                <w:rFonts w:ascii="Times New Roman" w:eastAsia="SimSun" w:hAnsi="Times New Roman" w:cs="Times New Roman"/>
                <w:kern w:val="0"/>
                <w:sz w:val="20"/>
                <w:szCs w:val="20"/>
                <w:lang w:bidi="ar"/>
              </w:rPr>
              <w:t>)</w:t>
            </w:r>
          </w:p>
        </w:tc>
        <w:tc>
          <w:tcPr>
            <w:tcW w:w="6804" w:type="dxa"/>
          </w:tcPr>
          <w:p w14:paraId="504ABA7A"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lastRenderedPageBreak/>
              <w:t xml:space="preserve">7. Explore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product notification system and promote real-world data (RWD) use</w:t>
            </w:r>
          </w:p>
          <w:p w14:paraId="1F6DABDA"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For low-risk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 intended for screening and public health interventions, explore a notification-based fast-track application model, provided national evaluation requirements are met.</w:t>
            </w:r>
          </w:p>
          <w:p w14:paraId="74621B37"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Encourage real-world research (RWR) to support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registration and post-market validation.</w:t>
            </w:r>
          </w:p>
          <w:p w14:paraId="05B325F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Leverage the scientific leadership of NMPA’s regulatory scientific research base and Hainan’s RWD evaluation lab, and apply successful regulatory experiences from other pilot devices that used RWD </w:t>
            </w:r>
          </w:p>
          <w:p w14:paraId="34578F91"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Promote the integration of RWD into regulatory decisions and clinical validation for marketed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p w14:paraId="5DE0AFBD" w14:textId="3DEC7BD6"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Responsible Units: Provincial Drug Administration</w:t>
            </w:r>
            <w:r w:rsidRPr="00BC6BBC">
              <w:rPr>
                <w:rFonts w:ascii="Times New Roman" w:eastAsia="SimSun" w:hAnsi="Times New Roman" w:cs="Times New Roman"/>
                <w:kern w:val="0"/>
                <w:sz w:val="20"/>
                <w:szCs w:val="20"/>
                <w:lang w:bidi="ar"/>
              </w:rPr>
              <w:br/>
              <w:t>Deadline: December 31, 2022</w:t>
            </w:r>
          </w:p>
        </w:tc>
      </w:tr>
      <w:tr w:rsidR="000C78E0" w:rsidRPr="00BC6BBC" w14:paraId="77FD6F7B" w14:textId="77777777" w:rsidTr="00BC6BBC">
        <w:tc>
          <w:tcPr>
            <w:tcW w:w="2689" w:type="dxa"/>
          </w:tcPr>
          <w:p w14:paraId="3DA0DE84"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积极推广数字疗法产品应用</w:t>
            </w:r>
            <w:r w:rsidRPr="00BC6BBC">
              <w:rPr>
                <w:rFonts w:ascii="Times New Roman" w:eastAsia="SimSun" w:hAnsi="Times New Roman" w:cs="Times New Roman"/>
                <w:kern w:val="0"/>
                <w:sz w:val="20"/>
                <w:szCs w:val="20"/>
                <w:lang w:bidi="ar"/>
              </w:rPr>
              <w:t xml:space="preserve"> / Promote Application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5F854C70"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b/>
                <w:bCs/>
                <w:kern w:val="0"/>
                <w:sz w:val="20"/>
                <w:szCs w:val="20"/>
                <w:lang w:bidi="ar"/>
              </w:rPr>
              <w:t>八）建设数字疗法推广基地。</w:t>
            </w:r>
            <w:r w:rsidRPr="00BC6BBC">
              <w:rPr>
                <w:rFonts w:ascii="Times New Roman" w:eastAsia="SimSun" w:hAnsi="Times New Roman" w:cs="Times New Roman"/>
                <w:kern w:val="0"/>
                <w:sz w:val="20"/>
                <w:szCs w:val="20"/>
                <w:lang w:bidi="ar"/>
              </w:rPr>
              <w:t>遴选符合条件的医疗机构作为首批数字疗法诊疗中心，逐步将数字疗法纳入所有符合条件医疗机构的疾病常规诊疗路径。结合海南省</w:t>
            </w:r>
            <w:r w:rsidRPr="00BC6BBC">
              <w:rPr>
                <w:rFonts w:ascii="Times New Roman" w:eastAsia="SimSun" w:hAnsi="Times New Roman" w:cs="Times New Roman"/>
                <w:kern w:val="0"/>
                <w:sz w:val="20"/>
                <w:szCs w:val="20"/>
                <w:lang w:bidi="ar"/>
              </w:rPr>
              <w:t>“2+3”</w:t>
            </w:r>
            <w:r w:rsidRPr="00BC6BBC">
              <w:rPr>
                <w:rFonts w:ascii="Times New Roman" w:eastAsia="SimSun" w:hAnsi="Times New Roman" w:cs="Times New Roman"/>
                <w:kern w:val="0"/>
                <w:sz w:val="20"/>
                <w:szCs w:val="20"/>
                <w:lang w:bidi="ar"/>
              </w:rPr>
              <w:t>健康服务包等工作，依托数字疗法提升基层医疗机构医疗服务供给能力和患者个人与家庭的疾病管理能力。鼓励医疗机构在院内推广宣传数字疗法，提高患者和公众对数字疗法的认知水平和使用能力。</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4CA49AB4"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8. Establish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application bases in medical institutions</w:t>
            </w:r>
          </w:p>
          <w:p w14:paraId="5478DA17"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Select eligible hospitals as pilot centers for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-based care delivery.</w:t>
            </w:r>
          </w:p>
          <w:p w14:paraId="472AB153"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Gradually incorporate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into the standard care pathways of all qualifying medical institutions.</w:t>
            </w:r>
          </w:p>
          <w:p w14:paraId="3705753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Leverage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as part of Hainan’s “2+3” Health Service Package to improve primary healthcare service supply and enhance individual/family-based chronic care.</w:t>
            </w:r>
          </w:p>
          <w:p w14:paraId="7BD3B71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Encourage hospitals to actively promote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internally.</w:t>
            </w:r>
          </w:p>
          <w:p w14:paraId="1CAE08E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Raise awareness and capability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usage among patients and the public.</w:t>
            </w:r>
          </w:p>
          <w:p w14:paraId="17D24067" w14:textId="413F018A"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Responsible Units: </w:t>
            </w:r>
            <w:bookmarkStart w:id="4" w:name="OLE_LINK5"/>
            <w:bookmarkStart w:id="5" w:name="OLE_LINK6"/>
            <w:r w:rsidRPr="00BC6BBC">
              <w:rPr>
                <w:rFonts w:ascii="Times New Roman" w:eastAsia="SimSun" w:hAnsi="Times New Roman" w:cs="Times New Roman"/>
                <w:kern w:val="0"/>
                <w:sz w:val="20"/>
                <w:szCs w:val="20"/>
                <w:lang w:bidi="ar"/>
              </w:rPr>
              <w:t xml:space="preserve">Provincial Health Commission </w:t>
            </w:r>
            <w:bookmarkEnd w:id="4"/>
            <w:bookmarkEnd w:id="5"/>
            <w:r w:rsidRPr="00BC6BBC">
              <w:rPr>
                <w:rFonts w:ascii="Times New Roman" w:eastAsia="SimSun" w:hAnsi="Times New Roman" w:cs="Times New Roman"/>
                <w:kern w:val="0"/>
                <w:sz w:val="20"/>
                <w:szCs w:val="20"/>
                <w:lang w:bidi="ar"/>
              </w:rPr>
              <w:t>Deadline: December 31, 2022</w:t>
            </w:r>
          </w:p>
        </w:tc>
      </w:tr>
      <w:tr w:rsidR="000C78E0" w:rsidRPr="00BC6BBC" w14:paraId="0636586E" w14:textId="77777777" w:rsidTr="00BC6BBC">
        <w:tc>
          <w:tcPr>
            <w:tcW w:w="2689" w:type="dxa"/>
          </w:tcPr>
          <w:p w14:paraId="50AAA72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积极推广数字疗法产品应用</w:t>
            </w:r>
            <w:r w:rsidRPr="00BC6BBC">
              <w:rPr>
                <w:rFonts w:ascii="Times New Roman" w:eastAsia="SimSun" w:hAnsi="Times New Roman" w:cs="Times New Roman"/>
                <w:kern w:val="0"/>
                <w:sz w:val="20"/>
                <w:szCs w:val="20"/>
                <w:lang w:bidi="ar"/>
              </w:rPr>
              <w:t xml:space="preserve"> / Promote Application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3DDAC175"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九</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促进数字疗法与互联网医院融合发展。</w:t>
            </w:r>
            <w:r w:rsidRPr="00BC6BBC">
              <w:rPr>
                <w:rFonts w:ascii="Times New Roman" w:eastAsia="SimSun" w:hAnsi="Times New Roman" w:cs="Times New Roman"/>
                <w:kern w:val="0"/>
                <w:sz w:val="20"/>
                <w:szCs w:val="20"/>
                <w:lang w:bidi="ar"/>
              </w:rPr>
              <w:t>鼓励医疗机构将数字疗法与互联网医院平台整合，赋予医生在互联网医院开具数字疗法处方的权限。推动互联网医院加大数字疗法产品应用，提升在专病防治和健康干预等领域的服务功能。鼓励医生将数字疗法作为院外管理患者的工具，并结合互联网医院复诊续方、处方流转、医药配送等功能，实现全方位的患者院外管理。通过海南省互联网医院监管平台实现对数字疗法的运营监管。</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7A503F75"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9. Promote integration of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with internet hospitals</w:t>
            </w:r>
          </w:p>
          <w:p w14:paraId="0490FC0F"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Encourage integration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with internet hospital platforms, allowing physicians to prescribe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online.</w:t>
            </w:r>
          </w:p>
          <w:p w14:paraId="3F0F625F"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Promote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application in specialty disease management and digital health interventions.</w:t>
            </w:r>
          </w:p>
          <w:p w14:paraId="5FB3EE9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Enable outpatient follow-up, e-prescription transfer, and medication delivery services.</w:t>
            </w:r>
          </w:p>
          <w:p w14:paraId="471BF4D0"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Monitor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operation via Hainan’s internet hospital regulatory platform.</w:t>
            </w:r>
          </w:p>
          <w:p w14:paraId="0C3C73E2" w14:textId="4EE5207B"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Units: Provincial Health Commission</w:t>
            </w:r>
            <w:r w:rsidRPr="00BC6BBC">
              <w:rPr>
                <w:rFonts w:ascii="Times New Roman" w:eastAsia="SimSun" w:hAnsi="Times New Roman" w:cs="Times New Roman"/>
                <w:kern w:val="0"/>
                <w:sz w:val="20"/>
                <w:szCs w:val="20"/>
                <w:lang w:bidi="ar"/>
              </w:rPr>
              <w:br/>
              <w:t>Deadline: December 31, 2025</w:t>
            </w:r>
          </w:p>
        </w:tc>
      </w:tr>
      <w:tr w:rsidR="000C78E0" w:rsidRPr="00BC6BBC" w14:paraId="3F975CBC" w14:textId="77777777" w:rsidTr="00BC6BBC">
        <w:tc>
          <w:tcPr>
            <w:tcW w:w="2689" w:type="dxa"/>
          </w:tcPr>
          <w:p w14:paraId="6DEB37B2"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积极推广数字疗法产品应用</w:t>
            </w:r>
            <w:r w:rsidRPr="00BC6BBC">
              <w:rPr>
                <w:rFonts w:ascii="Times New Roman" w:eastAsia="SimSun" w:hAnsi="Times New Roman" w:cs="Times New Roman"/>
                <w:kern w:val="0"/>
                <w:sz w:val="20"/>
                <w:szCs w:val="20"/>
                <w:lang w:bidi="ar"/>
              </w:rPr>
              <w:t xml:space="preserve"> / Promote Application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73C4894B"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十</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建设全国领先的数字疗法应用示范区域。</w:t>
            </w:r>
            <w:r w:rsidRPr="00BC6BBC">
              <w:rPr>
                <w:rFonts w:ascii="Times New Roman" w:eastAsia="SimSun" w:hAnsi="Times New Roman" w:cs="Times New Roman"/>
                <w:kern w:val="0"/>
                <w:sz w:val="20"/>
                <w:szCs w:val="20"/>
                <w:lang w:bidi="ar"/>
              </w:rPr>
              <w:t>将数字疗法引入海南医疗卫生改革发展全过程，协同海南分级诊疗制度建设、诊疗中心建设等改革</w:t>
            </w:r>
            <w:r w:rsidRPr="00BC6BBC">
              <w:rPr>
                <w:rFonts w:ascii="Times New Roman" w:eastAsia="SimSun" w:hAnsi="Times New Roman" w:cs="Times New Roman"/>
                <w:kern w:val="0"/>
                <w:sz w:val="20"/>
                <w:szCs w:val="20"/>
                <w:lang w:bidi="ar"/>
              </w:rPr>
              <w:lastRenderedPageBreak/>
              <w:t>发展工作，支持在城市医疗集团、县域医共体、胸痛中心等五大中心中推广应用临床需求急迫、临床价值突出的数字疗法产品。鼓励应用数字疗法产生的患者数据支持二级、三级医院医生对疑难重症的诊断，支撑基层医疗机构医务人员完成慢病患者管理和病情追踪。推进区域医疗信息化建设，打通数字疗法与区域电子病历数据库、电子健康档案数据库接口。依托海南省</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三医联动一张网</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平台，实现对数字疗法的综合监管。</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12B6D779"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lastRenderedPageBreak/>
              <w:t xml:space="preserve">10. Establish national demonstration zones for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applications</w:t>
            </w:r>
          </w:p>
          <w:p w14:paraId="3962B6AA"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Integrate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throughout Hainan’s healthcare reform initiatives.</w:t>
            </w:r>
          </w:p>
          <w:p w14:paraId="29DF6C13"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lastRenderedPageBreak/>
              <w:t>- Support deployment in urban medical groups, county health communities, and major specialty centers.</w:t>
            </w:r>
          </w:p>
          <w:p w14:paraId="00745665"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Use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-generated data to aid secondary and tertiary hospitals in diagnosing complex diseases and help primary care in chronic disease management.</w:t>
            </w:r>
          </w:p>
          <w:p w14:paraId="4D90F1C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Promote health IT integration between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and regional EHR/EMR systems.</w:t>
            </w:r>
          </w:p>
          <w:p w14:paraId="4F1F7244"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Supervise comprehensively through Hainan’s “Three Medical Linkage One Network” platform.</w:t>
            </w:r>
          </w:p>
          <w:p w14:paraId="55D3F629" w14:textId="53E68F9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Units: Provincial Health Commission</w:t>
            </w:r>
            <w:r w:rsidRPr="00BC6BBC">
              <w:rPr>
                <w:rFonts w:ascii="Times New Roman" w:eastAsia="SimSun" w:hAnsi="Times New Roman" w:cs="Times New Roman"/>
                <w:kern w:val="0"/>
                <w:sz w:val="20"/>
                <w:szCs w:val="20"/>
                <w:lang w:bidi="ar"/>
              </w:rPr>
              <w:br/>
              <w:t>Deadline: December 31, 2022</w:t>
            </w:r>
          </w:p>
        </w:tc>
      </w:tr>
      <w:tr w:rsidR="000C78E0" w:rsidRPr="00BC6BBC" w14:paraId="285EDF0E" w14:textId="77777777" w:rsidTr="00BC6BBC">
        <w:tc>
          <w:tcPr>
            <w:tcW w:w="2689" w:type="dxa"/>
          </w:tcPr>
          <w:p w14:paraId="2CCD69F8"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积极推广数字疗法产品应用</w:t>
            </w:r>
            <w:r w:rsidRPr="00BC6BBC">
              <w:rPr>
                <w:rFonts w:ascii="Times New Roman" w:eastAsia="SimSun" w:hAnsi="Times New Roman" w:cs="Times New Roman"/>
                <w:kern w:val="0"/>
                <w:sz w:val="20"/>
                <w:szCs w:val="20"/>
                <w:lang w:bidi="ar"/>
              </w:rPr>
              <w:t xml:space="preserve"> / Promote Application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w:t>
            </w:r>
          </w:p>
        </w:tc>
        <w:tc>
          <w:tcPr>
            <w:tcW w:w="4536" w:type="dxa"/>
          </w:tcPr>
          <w:p w14:paraId="5F67287B"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十一</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鼓励社会各方面加大数字疗法产品应用。</w:t>
            </w:r>
            <w:r w:rsidRPr="00BC6BBC">
              <w:rPr>
                <w:rFonts w:ascii="Times New Roman" w:eastAsia="SimSun" w:hAnsi="Times New Roman" w:cs="Times New Roman"/>
                <w:kern w:val="0"/>
                <w:sz w:val="20"/>
                <w:szCs w:val="20"/>
                <w:lang w:bidi="ar"/>
              </w:rPr>
              <w:t>鼓励相关部门、公益基金会等机构和组织采购数字疗法产品，围绕重点人群、疾病以及多元化、多层次数字健康需求，在更大范围内将数字疗法产品用于心理健康和行为认知等的治疗，有效提升慢性病干预和筛查效果，通过数字疗法技术赋能社区家庭医生，创新服务形式，提高居民健康干预能力。</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责任单位：省卫生健康委、省残联；落实期限：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7A628C71"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11. Encourage broader societal use of </w:t>
            </w:r>
            <w:proofErr w:type="spellStart"/>
            <w:r w:rsidRPr="00BC6BBC">
              <w:rPr>
                <w:rFonts w:ascii="Times New Roman" w:eastAsia="SimSun" w:hAnsi="Times New Roman" w:cs="Times New Roman"/>
                <w:b/>
                <w:bCs/>
                <w:kern w:val="0"/>
                <w:sz w:val="20"/>
                <w:szCs w:val="20"/>
                <w:lang w:bidi="ar"/>
              </w:rPr>
              <w:t>DTx</w:t>
            </w:r>
            <w:proofErr w:type="spellEnd"/>
          </w:p>
          <w:p w14:paraId="1871280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Encourage government agencies, foundations, and organizations to purchase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products. </w:t>
            </w:r>
          </w:p>
          <w:p w14:paraId="231E4D9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Promote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use for key populations and disease areas, including mental health and behavioral therapy.</w:t>
            </w:r>
          </w:p>
          <w:p w14:paraId="1388EB46" w14:textId="3461B30A"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Improve chronic disease screening and intervention outcomes.</w:t>
            </w:r>
          </w:p>
          <w:p w14:paraId="19DD10F6"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Empower community family doctors with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tools and innovate service delivery to boost population health.</w:t>
            </w:r>
          </w:p>
          <w:p w14:paraId="3AB0A17A"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Provincial Health Commission, Provincial Disabled Persons' Federation</w:t>
            </w:r>
          </w:p>
          <w:p w14:paraId="06B6A830" w14:textId="4D546B99"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2022</w:t>
            </w:r>
          </w:p>
        </w:tc>
      </w:tr>
      <w:tr w:rsidR="000C78E0" w:rsidRPr="00BC6BBC" w14:paraId="7F2A3C78" w14:textId="77777777" w:rsidTr="00BC6BBC">
        <w:tc>
          <w:tcPr>
            <w:tcW w:w="2689" w:type="dxa"/>
          </w:tcPr>
          <w:p w14:paraId="5A9FD69B"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四、鼓励探索多种支付方式</w:t>
            </w:r>
            <w:r w:rsidRPr="00BC6BBC">
              <w:rPr>
                <w:rFonts w:ascii="Times New Roman" w:eastAsia="SimSun" w:hAnsi="Times New Roman" w:cs="Times New Roman"/>
                <w:kern w:val="0"/>
                <w:sz w:val="20"/>
                <w:szCs w:val="20"/>
                <w:lang w:bidi="ar"/>
              </w:rPr>
              <w:t xml:space="preserve"> / Encourage Diverse Payment Mechanisms</w:t>
            </w:r>
          </w:p>
        </w:tc>
        <w:tc>
          <w:tcPr>
            <w:tcW w:w="4536" w:type="dxa"/>
          </w:tcPr>
          <w:p w14:paraId="40F8CCD4"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（十二）鼓励探索</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数字疗法</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商业保险</w:t>
            </w:r>
            <w:r w:rsidRPr="00BC6BBC">
              <w:rPr>
                <w:rFonts w:ascii="Times New Roman" w:eastAsia="SimSun" w:hAnsi="Times New Roman" w:cs="Times New Roman"/>
                <w:b/>
                <w:bCs/>
                <w:kern w:val="0"/>
                <w:sz w:val="20"/>
                <w:szCs w:val="20"/>
                <w:lang w:bidi="ar"/>
              </w:rPr>
              <w:t>”</w:t>
            </w:r>
            <w:r w:rsidRPr="00BC6BBC">
              <w:rPr>
                <w:rFonts w:ascii="Times New Roman" w:eastAsia="SimSun" w:hAnsi="Times New Roman" w:cs="Times New Roman"/>
                <w:b/>
                <w:bCs/>
                <w:kern w:val="0"/>
                <w:sz w:val="20"/>
                <w:szCs w:val="20"/>
                <w:lang w:bidi="ar"/>
              </w:rPr>
              <w:t>产品创新。</w:t>
            </w:r>
            <w:r w:rsidRPr="00BC6BBC">
              <w:rPr>
                <w:rFonts w:ascii="Times New Roman" w:eastAsia="SimSun" w:hAnsi="Times New Roman" w:cs="Times New Roman"/>
                <w:kern w:val="0"/>
                <w:sz w:val="20"/>
                <w:szCs w:val="20"/>
                <w:lang w:bidi="ar"/>
              </w:rPr>
              <w:t>在博鳌乐城国际医疗旅游先行区试点探索将数字疗法作为特药险的健康管理服务。鼓励保险公司依法合规将数字疗法作为用户健康管理服务</w:t>
            </w:r>
            <w:r w:rsidRPr="00BC6BBC">
              <w:rPr>
                <w:rFonts w:ascii="Times New Roman" w:eastAsia="SimSun" w:hAnsi="Times New Roman" w:cs="Times New Roman"/>
                <w:kern w:val="0"/>
                <w:sz w:val="20"/>
                <w:szCs w:val="20"/>
                <w:lang w:bidi="ar"/>
              </w:rPr>
              <w:lastRenderedPageBreak/>
              <w:t>工具，并根据数字疗法收集的真实世界数据按有关规定合理定价。探索开发海南惠民保升级版，将部分数字疗法产品作为健康管理服务纳入保险产品的保障范围。鼓励将数字疗法产品纳入保险机构的保险产品设计体系。支持保险机构产品开发人员参加医疗主管部门组织的数字疗法培训，提升对数字疗法的认知。</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责任单位：银保监会海南监管局、省财政厅、省医保局、省卫生健康委、省税务局、博鳌乐城国际医疗旅游先行区管理局；落实期限：</w:t>
            </w:r>
            <w:r w:rsidRPr="00BC6BBC">
              <w:rPr>
                <w:rFonts w:ascii="Times New Roman" w:eastAsia="SimSun" w:hAnsi="Times New Roman" w:cs="Times New Roman"/>
                <w:kern w:val="0"/>
                <w:sz w:val="20"/>
                <w:szCs w:val="20"/>
                <w:lang w:bidi="ar"/>
              </w:rPr>
              <w:t>2025</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5EFC2E53"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lastRenderedPageBreak/>
              <w:t xml:space="preserve">12. Explore integration of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with commercial insurance</w:t>
            </w:r>
          </w:p>
          <w:p w14:paraId="390D7E9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Pilot inclusion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 special drug insurance in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as well as explore including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 upgraded 'Hainan </w:t>
            </w:r>
            <w:proofErr w:type="spellStart"/>
            <w:r w:rsidRPr="00BC6BBC">
              <w:rPr>
                <w:rFonts w:ascii="Times New Roman" w:eastAsia="SimSun" w:hAnsi="Times New Roman" w:cs="Times New Roman"/>
                <w:kern w:val="0"/>
                <w:sz w:val="20"/>
                <w:szCs w:val="20"/>
                <w:lang w:bidi="ar"/>
              </w:rPr>
              <w:t>Huiminbao</w:t>
            </w:r>
            <w:proofErr w:type="spellEnd"/>
            <w:r w:rsidRPr="00BC6BBC">
              <w:rPr>
                <w:rFonts w:ascii="Times New Roman" w:eastAsia="SimSun" w:hAnsi="Times New Roman" w:cs="Times New Roman"/>
                <w:kern w:val="0"/>
                <w:sz w:val="20"/>
                <w:szCs w:val="20"/>
                <w:lang w:bidi="ar"/>
              </w:rPr>
              <w:t>' plan.</w:t>
            </w:r>
          </w:p>
          <w:p w14:paraId="7E29000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Allow insurers to price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services based on RWD. </w:t>
            </w:r>
          </w:p>
          <w:p w14:paraId="1199B779"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lastRenderedPageBreak/>
              <w:t xml:space="preserve">- Train insurance product developers in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w:t>
            </w:r>
          </w:p>
          <w:p w14:paraId="6C0C96B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Responsible Units: Hainan Banking &amp; Insurance Regulatory Bureau, Finance Dept., Medical Insurance Bureau, Health Commission, Tax Bureau,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Admin Bureau</w:t>
            </w:r>
          </w:p>
          <w:p w14:paraId="23D6B6A9" w14:textId="5F58C864"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2025</w:t>
            </w:r>
          </w:p>
        </w:tc>
      </w:tr>
      <w:tr w:rsidR="000C78E0" w:rsidRPr="00BC6BBC" w14:paraId="14FBCE21" w14:textId="77777777" w:rsidTr="00BC6BBC">
        <w:tc>
          <w:tcPr>
            <w:tcW w:w="2689" w:type="dxa"/>
          </w:tcPr>
          <w:p w14:paraId="125EC7F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四、鼓励探索多种支付方式</w:t>
            </w:r>
            <w:r w:rsidRPr="00BC6BBC">
              <w:rPr>
                <w:rFonts w:ascii="Times New Roman" w:eastAsia="SimSun" w:hAnsi="Times New Roman" w:cs="Times New Roman"/>
                <w:kern w:val="0"/>
                <w:sz w:val="20"/>
                <w:szCs w:val="20"/>
                <w:lang w:bidi="ar"/>
              </w:rPr>
              <w:t xml:space="preserve"> / Encourage Diverse Payment Mechanisms</w:t>
            </w:r>
          </w:p>
        </w:tc>
        <w:tc>
          <w:tcPr>
            <w:tcW w:w="4536" w:type="dxa"/>
          </w:tcPr>
          <w:p w14:paraId="59296E99"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b/>
                <w:bCs/>
                <w:kern w:val="0"/>
                <w:sz w:val="20"/>
                <w:szCs w:val="20"/>
                <w:lang w:bidi="ar"/>
              </w:rPr>
              <w:t>十三）鼓励将数字疗法纳入医疗服务项目技术规范和收费范围。</w:t>
            </w:r>
            <w:r w:rsidRPr="00BC6BBC">
              <w:rPr>
                <w:rFonts w:ascii="Times New Roman" w:eastAsia="SimSun" w:hAnsi="Times New Roman" w:cs="Times New Roman"/>
                <w:kern w:val="0"/>
                <w:sz w:val="20"/>
                <w:szCs w:val="20"/>
                <w:lang w:bidi="ar"/>
              </w:rPr>
              <w:t>探索数字疗法价格形成机制和医保支付模式。根据特定疾病实际诊疗需求，积极探索临床使用数字疗法价格形成机制，合理制定数字疗法收费标准，数字疗法医疗服务价格项目由医疗机构向省医保局提出申请，经组织论证和履行相关程序后公布执行；按照以与经济发展水平相适应为前提、以体现医保社会公平性为指导、以提升价值为核心的医保战略购买原则，研究将临床价值高、经济性评价优良、医保基金和参保人可承受的数字疗法产品或医疗服务纳入医保支付范围。将医疗机构使用的数字疗法产品纳入医疗服务收入范围。</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责任单位：省医保局、省卫生健康委；落实期限：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703ACCB0"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13. Include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in service pricing and medical insurance coverage</w:t>
            </w:r>
          </w:p>
          <w:p w14:paraId="6FC00BB6"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Explore pricing models and reimbursement strategies.</w:t>
            </w:r>
          </w:p>
          <w:p w14:paraId="2584BBB3" w14:textId="076CB09C"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w:t>
            </w:r>
            <w:bookmarkStart w:id="6" w:name="OLE_LINK8"/>
            <w:bookmarkStart w:id="7" w:name="OLE_LINK7"/>
            <w:r w:rsidRPr="00BC6BBC">
              <w:rPr>
                <w:rFonts w:ascii="Times New Roman" w:eastAsia="SimSun" w:hAnsi="Times New Roman" w:cs="Times New Roman"/>
                <w:kern w:val="0"/>
                <w:sz w:val="20"/>
                <w:szCs w:val="20"/>
                <w:lang w:bidi="ar"/>
              </w:rPr>
              <w:t xml:space="preserve">Allow hospitals to apply to provincial government for inclusion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 medical service charge lists</w:t>
            </w:r>
            <w:bookmarkEnd w:id="6"/>
            <w:bookmarkEnd w:id="7"/>
            <w:r w:rsidRPr="00BC6BBC">
              <w:rPr>
                <w:rFonts w:ascii="Times New Roman" w:eastAsia="SimSun" w:hAnsi="Times New Roman" w:cs="Times New Roman"/>
                <w:kern w:val="0"/>
                <w:sz w:val="20"/>
                <w:szCs w:val="20"/>
                <w:lang w:bidi="ar"/>
              </w:rPr>
              <w:t>.</w:t>
            </w:r>
          </w:p>
          <w:p w14:paraId="70218CE1"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Develop reasonable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pricing based on disease-specific treatment needs.</w:t>
            </w:r>
          </w:p>
          <w:p w14:paraId="52267F2F"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Include high-value, cost-effective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services/products within insurance coverage.</w:t>
            </w:r>
          </w:p>
          <w:p w14:paraId="089B84B2"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Incorporate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used by hospitals into total medical service income.</w:t>
            </w:r>
          </w:p>
          <w:p w14:paraId="1E80F6E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Provincial Medical Insurance Bureau, Provincial Health Commission</w:t>
            </w:r>
          </w:p>
          <w:p w14:paraId="29EA1A33" w14:textId="60A469F0"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2022</w:t>
            </w:r>
          </w:p>
        </w:tc>
      </w:tr>
      <w:tr w:rsidR="000C78E0" w:rsidRPr="00BC6BBC" w14:paraId="4E7513C9" w14:textId="77777777" w:rsidTr="00BC6BBC">
        <w:tc>
          <w:tcPr>
            <w:tcW w:w="2689" w:type="dxa"/>
          </w:tcPr>
          <w:p w14:paraId="1B1F72ED"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四、鼓励探索多种支付方式</w:t>
            </w:r>
            <w:r w:rsidRPr="00BC6BBC">
              <w:rPr>
                <w:rFonts w:ascii="Times New Roman" w:eastAsia="SimSun" w:hAnsi="Times New Roman" w:cs="Times New Roman"/>
                <w:kern w:val="0"/>
                <w:sz w:val="20"/>
                <w:szCs w:val="20"/>
                <w:lang w:bidi="ar"/>
              </w:rPr>
              <w:t xml:space="preserve"> / Encourage Diverse Payment Mechanisms</w:t>
            </w:r>
          </w:p>
        </w:tc>
        <w:tc>
          <w:tcPr>
            <w:tcW w:w="4536" w:type="dxa"/>
          </w:tcPr>
          <w:p w14:paraId="2088A4A6"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b/>
                <w:bCs/>
                <w:kern w:val="0"/>
                <w:sz w:val="20"/>
                <w:szCs w:val="20"/>
                <w:lang w:bidi="ar"/>
              </w:rPr>
              <w:t>十四）支持探索数字疗法与医保支付方式改革相结合。</w:t>
            </w:r>
            <w:r w:rsidRPr="00BC6BBC">
              <w:rPr>
                <w:rFonts w:ascii="Times New Roman" w:eastAsia="SimSun" w:hAnsi="Times New Roman" w:cs="Times New Roman"/>
                <w:kern w:val="0"/>
                <w:sz w:val="20"/>
                <w:szCs w:val="20"/>
                <w:lang w:bidi="ar"/>
              </w:rPr>
              <w:t>结合全省医保支付方式改革进展情况，选取已经开展数字疗法并积累相关数据的医疗机构，支持数字疗法在医疗成本管控和健康管理中的应用，探索数字疗法与推进按病种付费相结合的有效形式，促进构建基于价值和数据高效管用的支付机制形成。</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责任单位：省医保局、省卫生健康委；落实期限：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18EFA0A8"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14. Integrate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into healthcare payment reforms</w:t>
            </w:r>
          </w:p>
          <w:p w14:paraId="7240442B" w14:textId="33FA0070"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Designate hospitals with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experience as pilot sites for integrating healthcare payment reforms.</w:t>
            </w:r>
          </w:p>
          <w:p w14:paraId="352130C6" w14:textId="3BF309F3"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Use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for cost control and chronic care management. - Integrate with DRG or disease-based payment reforms.</w:t>
            </w:r>
          </w:p>
          <w:p w14:paraId="6BBF44B0"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Provincial Medical Insurance Bureau, Provincial Health Commission</w:t>
            </w:r>
          </w:p>
          <w:p w14:paraId="5558E5CF" w14:textId="3CAA48FF"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Deadline: December 31, 2022</w:t>
            </w:r>
          </w:p>
        </w:tc>
      </w:tr>
      <w:tr w:rsidR="000C78E0" w:rsidRPr="00BC6BBC" w14:paraId="5F376F82" w14:textId="77777777" w:rsidTr="00BC6BBC">
        <w:tc>
          <w:tcPr>
            <w:tcW w:w="2689" w:type="dxa"/>
          </w:tcPr>
          <w:p w14:paraId="7C84DAD6"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五、加强数字疗法宣传和产业集群建设</w:t>
            </w:r>
            <w:r w:rsidRPr="00BC6BBC">
              <w:rPr>
                <w:rFonts w:ascii="Times New Roman" w:eastAsia="SimSun" w:hAnsi="Times New Roman" w:cs="Times New Roman"/>
                <w:kern w:val="0"/>
                <w:sz w:val="20"/>
                <w:szCs w:val="20"/>
                <w:lang w:bidi="ar"/>
              </w:rPr>
              <w:t xml:space="preserve"> / Strengthen Awareness and Industry Cluster Development</w:t>
            </w:r>
          </w:p>
        </w:tc>
        <w:tc>
          <w:tcPr>
            <w:tcW w:w="4536" w:type="dxa"/>
          </w:tcPr>
          <w:p w14:paraId="0FCC354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（十五）高质量打造数字疗法产业集群。</w:t>
            </w:r>
            <w:r w:rsidRPr="00BC6BBC">
              <w:rPr>
                <w:rFonts w:ascii="Times New Roman" w:eastAsia="SimSun" w:hAnsi="Times New Roman" w:cs="Times New Roman"/>
                <w:kern w:val="0"/>
                <w:sz w:val="20"/>
                <w:szCs w:val="20"/>
                <w:lang w:bidi="ar"/>
              </w:rPr>
              <w:t>梳理国内外数字疗法企业和潜在意向企业，形成企业名录，实施全产业链精准招商。依托海南自由贸易港政策优势和数字疗法全周期政策支撑体系，以及电子处方中心等高水平数据平台，吸聚创新资源，结合博鳌乐城国际医疗旅游先行区、海南生态软件园、海口国家高新技术开发区、海口复兴城互联网信息产业园等重点园区的产业基础，打造海南自由贸易港数字疗法若干创新高地和产业集群。</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发展改革委、博鳌乐城国际医疗旅游先行区管理局、海南生态软件园管理局、海口国家高新技术产业开发区管委会、海口复兴城互联网信息产业园、海南国际经济发展局等；落实期限：</w:t>
            </w:r>
            <w:r w:rsidRPr="00BC6BBC">
              <w:rPr>
                <w:rFonts w:ascii="Times New Roman" w:eastAsia="SimSun" w:hAnsi="Times New Roman" w:cs="Times New Roman"/>
                <w:kern w:val="0"/>
                <w:sz w:val="20"/>
                <w:szCs w:val="20"/>
                <w:lang w:bidi="ar"/>
              </w:rPr>
              <w:t>2023</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0D6ED2CA"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15. Build high-quality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industrial clusters</w:t>
            </w:r>
          </w:p>
          <w:p w14:paraId="28240603" w14:textId="039BDCB6"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Compile a directory of domestic and international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enterprises.</w:t>
            </w:r>
          </w:p>
          <w:p w14:paraId="09075D30"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Conduct targeted investment attraction across the entire supply chain.</w:t>
            </w:r>
          </w:p>
          <w:p w14:paraId="7A8EA179"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Leverage Free Trade Port policy, full-cycle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support policies, and data infrastructure (e.g., e-prescription center).</w:t>
            </w:r>
          </w:p>
          <w:p w14:paraId="4CD59126"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Establish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innovation hubs and clusters in key zones like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Eco Software Park, High-Tech Zones. </w:t>
            </w:r>
          </w:p>
          <w:p w14:paraId="333096E8"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Responsible Units: Health Commission, Development and Reform Commission, relevant part authorities (Boao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Admin Bureau, Eco Software Park Admin Bureau, Haikou High-Tech Zone Committee, and Haikou </w:t>
            </w:r>
            <w:proofErr w:type="spellStart"/>
            <w:r w:rsidRPr="00BC6BBC">
              <w:rPr>
                <w:rFonts w:ascii="Times New Roman" w:eastAsia="SimSun" w:hAnsi="Times New Roman" w:cs="Times New Roman"/>
                <w:kern w:val="0"/>
                <w:sz w:val="20"/>
                <w:szCs w:val="20"/>
                <w:lang w:bidi="ar"/>
              </w:rPr>
              <w:t>Fuxingcheng</w:t>
            </w:r>
            <w:proofErr w:type="spellEnd"/>
            <w:r w:rsidRPr="00BC6BBC">
              <w:rPr>
                <w:rFonts w:ascii="Times New Roman" w:eastAsia="SimSun" w:hAnsi="Times New Roman" w:cs="Times New Roman"/>
                <w:kern w:val="0"/>
                <w:sz w:val="20"/>
                <w:szCs w:val="20"/>
                <w:lang w:bidi="ar"/>
              </w:rPr>
              <w:t xml:space="preserve"> Industrial Park), Hainan International Economic Development Bureau.</w:t>
            </w:r>
          </w:p>
          <w:p w14:paraId="382E31C0" w14:textId="578562EA"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2023</w:t>
            </w:r>
          </w:p>
        </w:tc>
      </w:tr>
      <w:tr w:rsidR="000C78E0" w:rsidRPr="00BC6BBC" w14:paraId="532B7994" w14:textId="77777777" w:rsidTr="00BC6BBC">
        <w:tc>
          <w:tcPr>
            <w:tcW w:w="2689" w:type="dxa"/>
          </w:tcPr>
          <w:p w14:paraId="6CBDC97B"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五、加强数字疗法宣传和产业集群建设</w:t>
            </w:r>
            <w:r w:rsidRPr="00BC6BBC">
              <w:rPr>
                <w:rFonts w:ascii="Times New Roman" w:eastAsia="SimSun" w:hAnsi="Times New Roman" w:cs="Times New Roman"/>
                <w:kern w:val="0"/>
                <w:sz w:val="20"/>
                <w:szCs w:val="20"/>
                <w:lang w:bidi="ar"/>
              </w:rPr>
              <w:t xml:space="preserve"> / Strengthen </w:t>
            </w:r>
            <w:r w:rsidRPr="00BC6BBC">
              <w:rPr>
                <w:rFonts w:ascii="Times New Roman" w:eastAsia="SimSun" w:hAnsi="Times New Roman" w:cs="Times New Roman"/>
                <w:kern w:val="0"/>
                <w:sz w:val="20"/>
                <w:szCs w:val="20"/>
                <w:lang w:bidi="ar"/>
              </w:rPr>
              <w:lastRenderedPageBreak/>
              <w:t>Awareness and Industry Cluster Development</w:t>
            </w:r>
          </w:p>
        </w:tc>
        <w:tc>
          <w:tcPr>
            <w:tcW w:w="4536" w:type="dxa"/>
          </w:tcPr>
          <w:p w14:paraId="47E76C2B"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lastRenderedPageBreak/>
              <w:t>（十六）积极引入海外数字疗法企业。</w:t>
            </w:r>
            <w:r w:rsidRPr="00BC6BBC">
              <w:rPr>
                <w:rFonts w:ascii="Times New Roman" w:eastAsia="SimSun" w:hAnsi="Times New Roman" w:cs="Times New Roman"/>
                <w:kern w:val="0"/>
                <w:sz w:val="20"/>
                <w:szCs w:val="20"/>
                <w:lang w:bidi="ar"/>
              </w:rPr>
              <w:t>针对海外不同类型的数字疗法企业采取针对性的政策措施，积极引导海外数字疗法企业与本地医疗机构</w:t>
            </w:r>
            <w:r w:rsidRPr="00BC6BBC">
              <w:rPr>
                <w:rFonts w:ascii="Times New Roman" w:eastAsia="SimSun" w:hAnsi="Times New Roman" w:cs="Times New Roman"/>
                <w:kern w:val="0"/>
                <w:sz w:val="20"/>
                <w:szCs w:val="20"/>
                <w:lang w:bidi="ar"/>
              </w:rPr>
              <w:lastRenderedPageBreak/>
              <w:t>开展合作，实现海外数字疗法与本地产业链条的深度融合。依托博鳌乐城国际医疗旅游先行区真实世界数据研究应用试点优势，引进一批海外高质量数字疗法产品在国内先行先试，支持其真实世界研究数据用于产品审批。</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责任单位：省卫生健康委、省发展改革委、博鳌乐城国际医疗旅游先行区管理局；落实期限：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5D2BD4D3"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lastRenderedPageBreak/>
              <w:t xml:space="preserve">16. Attract overseas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enterprises</w:t>
            </w:r>
          </w:p>
          <w:p w14:paraId="142D8A76" w14:textId="66C636A9"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Tailor policy incentives to various types of overseas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firms.</w:t>
            </w:r>
          </w:p>
          <w:p w14:paraId="3225865E"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Encourage partnerships between overseas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firms and local hospitals.</w:t>
            </w:r>
          </w:p>
          <w:p w14:paraId="64A09226"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 xml:space="preserve">- Leverage Lecheng's advantage as a pilot site for real-world data (RWD) research and application to bring high-quality overseas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to China for pilot use.</w:t>
            </w:r>
          </w:p>
          <w:p w14:paraId="7F13990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Support the use of RWD for regulatory approvals.</w:t>
            </w:r>
          </w:p>
          <w:p w14:paraId="2DE206CC" w14:textId="75907DE9"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Responsible Units: Health Commission, Development and Reform Commission,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Admin Bureau</w:t>
            </w:r>
            <w:r w:rsidRPr="00BC6BBC">
              <w:rPr>
                <w:rFonts w:ascii="Times New Roman" w:eastAsia="SimSun" w:hAnsi="Times New Roman" w:cs="Times New Roman"/>
                <w:kern w:val="0"/>
                <w:sz w:val="20"/>
                <w:szCs w:val="20"/>
                <w:lang w:bidi="ar"/>
              </w:rPr>
              <w:br/>
              <w:t>Deadline: December 31, 2022</w:t>
            </w:r>
          </w:p>
        </w:tc>
      </w:tr>
      <w:tr w:rsidR="000C78E0" w:rsidRPr="00BC6BBC" w14:paraId="0B610764" w14:textId="77777777" w:rsidTr="00BC6BBC">
        <w:tc>
          <w:tcPr>
            <w:tcW w:w="2689" w:type="dxa"/>
          </w:tcPr>
          <w:p w14:paraId="45E408D1"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五、加强数字疗法宣传和产业集群建设</w:t>
            </w:r>
            <w:r w:rsidRPr="00BC6BBC">
              <w:rPr>
                <w:rFonts w:ascii="Times New Roman" w:eastAsia="SimSun" w:hAnsi="Times New Roman" w:cs="Times New Roman"/>
                <w:kern w:val="0"/>
                <w:sz w:val="20"/>
                <w:szCs w:val="20"/>
                <w:lang w:bidi="ar"/>
              </w:rPr>
              <w:t xml:space="preserve"> / Strengthen Awareness and Industry Cluster Development</w:t>
            </w:r>
          </w:p>
        </w:tc>
        <w:tc>
          <w:tcPr>
            <w:tcW w:w="4536" w:type="dxa"/>
          </w:tcPr>
          <w:p w14:paraId="583322E6"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（十七）加快打造海南数字疗法创新岛品牌。</w:t>
            </w:r>
            <w:r w:rsidRPr="00BC6BBC">
              <w:rPr>
                <w:rFonts w:ascii="Times New Roman" w:eastAsia="SimSun" w:hAnsi="Times New Roman" w:cs="Times New Roman"/>
                <w:kern w:val="0"/>
                <w:sz w:val="20"/>
                <w:szCs w:val="20"/>
                <w:lang w:bidi="ar"/>
              </w:rPr>
              <w:t>在海南举办世界数字疗法大会，通过会议集聚政府政策、头部企业、资本力量、创新技术和人才等资源。发布年度世界数字疗法报告</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多语种</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，建立数字疗法展示与体验中心，通过虚拟现实、全息投影、数字大屏、实物陈列等技术和手段打造具有一定规模、特色鲜明的数字疗法展馆。</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责任单位：省卫生健康委、省商务厅、省发展改革委、海南生态软件园管理局、博鳌乐城国际医疗旅游先行区管理局；落实期限：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45C8EDC9"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t xml:space="preserve">17. Build Hainan’s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Innovation Island Brand</w:t>
            </w:r>
          </w:p>
          <w:p w14:paraId="4AB6AADB" w14:textId="390E756E" w:rsidR="000C78E0" w:rsidRPr="00BC6BBC" w:rsidRDefault="000C78E0" w:rsidP="00BC6BBC">
            <w:pPr>
              <w:rPr>
                <w:rFonts w:ascii="Times New Roman" w:eastAsia="SimSun" w:hAnsi="Times New Roman" w:cs="Times New Roman"/>
                <w:kern w:val="0"/>
                <w:sz w:val="20"/>
                <w:szCs w:val="20"/>
                <w:lang w:bidi="ar"/>
              </w:rPr>
            </w:pPr>
            <w:bookmarkStart w:id="8" w:name="OLE_LINK12"/>
            <w:bookmarkStart w:id="9" w:name="OLE_LINK11"/>
            <w:r w:rsidRPr="00BC6BBC">
              <w:rPr>
                <w:rFonts w:ascii="Times New Roman" w:eastAsia="SimSun" w:hAnsi="Times New Roman" w:cs="Times New Roman" w:hint="eastAsia"/>
                <w:kern w:val="0"/>
                <w:sz w:val="20"/>
                <w:szCs w:val="20"/>
                <w:lang w:bidi="ar"/>
              </w:rPr>
              <w:t xml:space="preserve">- </w:t>
            </w:r>
            <w:r w:rsidRPr="00BC6BBC">
              <w:rPr>
                <w:rFonts w:ascii="Times New Roman" w:eastAsia="SimSun" w:hAnsi="Times New Roman" w:cs="Times New Roman"/>
                <w:kern w:val="0"/>
                <w:sz w:val="20"/>
                <w:szCs w:val="20"/>
                <w:lang w:bidi="ar"/>
              </w:rPr>
              <w:t xml:space="preserve">Host the World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Conference in Hainan</w:t>
            </w:r>
            <w:bookmarkEnd w:id="8"/>
            <w:bookmarkEnd w:id="9"/>
          </w:p>
          <w:p w14:paraId="4F1DD6EC"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hint="eastAsia"/>
                <w:kern w:val="0"/>
                <w:sz w:val="20"/>
                <w:szCs w:val="20"/>
                <w:lang w:bidi="ar"/>
              </w:rPr>
              <w:t xml:space="preserve">- </w:t>
            </w:r>
            <w:r w:rsidRPr="00BC6BBC">
              <w:rPr>
                <w:rFonts w:ascii="Times New Roman" w:eastAsia="SimSun" w:hAnsi="Times New Roman" w:cs="Times New Roman"/>
                <w:kern w:val="0"/>
                <w:sz w:val="20"/>
                <w:szCs w:val="20"/>
                <w:lang w:bidi="ar"/>
              </w:rPr>
              <w:t xml:space="preserve">Publish annual multilingual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reports</w:t>
            </w:r>
          </w:p>
          <w:p w14:paraId="3CCEBDC0" w14:textId="2822838F"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hint="eastAsia"/>
                <w:kern w:val="0"/>
                <w:sz w:val="20"/>
                <w:szCs w:val="20"/>
                <w:lang w:bidi="ar"/>
              </w:rPr>
              <w:t xml:space="preserve">- </w:t>
            </w:r>
            <w:r w:rsidRPr="00BC6BBC">
              <w:rPr>
                <w:rFonts w:ascii="Times New Roman" w:eastAsia="SimSun" w:hAnsi="Times New Roman" w:cs="Times New Roman"/>
                <w:kern w:val="0"/>
                <w:sz w:val="20"/>
                <w:szCs w:val="20"/>
                <w:lang w:bidi="ar"/>
              </w:rPr>
              <w:t xml:space="preserve">Create a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exhibition center using VR, holography, and digital displays</w:t>
            </w:r>
          </w:p>
          <w:p w14:paraId="76018041"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Responsible Units: Provincial Health Commission, Provincial Department of Commerce, Provincial Development and Reform Commission, Hainan Eco Software Park, </w:t>
            </w:r>
            <w:proofErr w:type="spellStart"/>
            <w:r w:rsidRPr="00BC6BBC">
              <w:rPr>
                <w:rFonts w:ascii="Times New Roman" w:eastAsia="SimSun" w:hAnsi="Times New Roman" w:cs="Times New Roman"/>
                <w:kern w:val="0"/>
                <w:sz w:val="20"/>
                <w:szCs w:val="20"/>
                <w:lang w:bidi="ar"/>
              </w:rPr>
              <w:t>Lecheng</w:t>
            </w:r>
            <w:proofErr w:type="spellEnd"/>
            <w:r w:rsidRPr="00BC6BBC">
              <w:rPr>
                <w:rFonts w:ascii="Times New Roman" w:eastAsia="SimSun" w:hAnsi="Times New Roman" w:cs="Times New Roman"/>
                <w:kern w:val="0"/>
                <w:sz w:val="20"/>
                <w:szCs w:val="20"/>
                <w:lang w:bidi="ar"/>
              </w:rPr>
              <w:t xml:space="preserve"> Admin Bureau</w:t>
            </w:r>
          </w:p>
          <w:p w14:paraId="625253AD" w14:textId="71982CF4"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2022</w:t>
            </w:r>
          </w:p>
        </w:tc>
      </w:tr>
      <w:tr w:rsidR="000C78E0" w:rsidRPr="00BC6BBC" w14:paraId="7FA1DAAD" w14:textId="77777777" w:rsidTr="00BC6BBC">
        <w:tc>
          <w:tcPr>
            <w:tcW w:w="2689" w:type="dxa"/>
          </w:tcPr>
          <w:p w14:paraId="24653E41"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六、规范发展与其他保障</w:t>
            </w:r>
            <w:r w:rsidRPr="00BC6BBC">
              <w:rPr>
                <w:rFonts w:ascii="Times New Roman" w:eastAsia="SimSun" w:hAnsi="Times New Roman" w:cs="Times New Roman"/>
                <w:kern w:val="0"/>
                <w:sz w:val="20"/>
                <w:szCs w:val="20"/>
                <w:lang w:bidi="ar"/>
              </w:rPr>
              <w:t xml:space="preserve"> / Promote Standardized Development and Supporting Measures</w:t>
            </w:r>
          </w:p>
        </w:tc>
        <w:tc>
          <w:tcPr>
            <w:tcW w:w="4536" w:type="dxa"/>
          </w:tcPr>
          <w:p w14:paraId="5B11FC8F"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（十八）吸引数字疗法相关协会或分支机构落地，制定行业标准，建立信息交流平台。</w:t>
            </w:r>
            <w:r w:rsidRPr="00BC6BBC">
              <w:rPr>
                <w:rFonts w:ascii="Times New Roman" w:eastAsia="SimSun" w:hAnsi="Times New Roman" w:cs="Times New Roman"/>
                <w:kern w:val="0"/>
                <w:sz w:val="20"/>
                <w:szCs w:val="20"/>
                <w:lang w:bidi="ar"/>
              </w:rPr>
              <w:t>设立数字疗法专家委员会或相关组织，研究制定数字疗法行业标准；定期举办数字疗法培训及学术讨论会议，增强临床医生等各方面对数字疗法的认知，逐步推动数字疗法纳入各类专科疾病诊疗、管理的专家共识。支持成立国际数字疗法产业联盟，组织国内外企业开展数字疗法政策法规、审</w:t>
            </w:r>
            <w:r w:rsidRPr="00BC6BBC">
              <w:rPr>
                <w:rFonts w:ascii="Times New Roman" w:eastAsia="SimSun" w:hAnsi="Times New Roman" w:cs="Times New Roman"/>
                <w:kern w:val="0"/>
                <w:sz w:val="20"/>
                <w:szCs w:val="20"/>
                <w:lang w:bidi="ar"/>
              </w:rPr>
              <w:lastRenderedPageBreak/>
              <w:t>评审批、医疗价值和医保支付等领域的研讨，为构建创新型商业模式提供国际最前沿的理论指导和实践经验。</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547A6384" w14:textId="77777777" w:rsidR="000C78E0" w:rsidRPr="00BC6BBC" w:rsidRDefault="000C78E0" w:rsidP="00BC6BBC">
            <w:pPr>
              <w:rPr>
                <w:rFonts w:ascii="Times New Roman" w:eastAsia="SimSun" w:hAnsi="Times New Roman" w:cs="Times New Roman"/>
                <w:b/>
                <w:bCs/>
                <w:kern w:val="0"/>
                <w:sz w:val="20"/>
                <w:szCs w:val="20"/>
                <w:lang w:bidi="ar"/>
              </w:rPr>
            </w:pPr>
            <w:r w:rsidRPr="00BC6BBC">
              <w:rPr>
                <w:rFonts w:ascii="Times New Roman" w:eastAsia="SimSun" w:hAnsi="Times New Roman" w:cs="Times New Roman"/>
                <w:b/>
                <w:bCs/>
                <w:kern w:val="0"/>
                <w:sz w:val="20"/>
                <w:szCs w:val="20"/>
                <w:lang w:bidi="ar"/>
              </w:rPr>
              <w:lastRenderedPageBreak/>
              <w:t xml:space="preserve">18. Establish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Standards and Associations</w:t>
            </w:r>
          </w:p>
          <w:p w14:paraId="5C12D596" w14:textId="10FCFCC9"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Attract national/international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associations to Hainan.</w:t>
            </w:r>
          </w:p>
          <w:p w14:paraId="5998BAF3"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Establish a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expert committee to draft industry standards.</w:t>
            </w:r>
          </w:p>
          <w:p w14:paraId="5348E5DA"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Host regular trainings and academic events to raise clinical awareness.</w:t>
            </w:r>
          </w:p>
          <w:p w14:paraId="2EA6B36A"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Promote incorporation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into disease-specific expert consensus guidelines.</w:t>
            </w:r>
          </w:p>
          <w:p w14:paraId="4C3DAD78"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Support international alliance formation for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policies, regulations, value assessment, and payment models.</w:t>
            </w:r>
          </w:p>
          <w:p w14:paraId="07B8EB1C" w14:textId="5AF6BCFF"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 Health Commission</w:t>
            </w:r>
          </w:p>
          <w:p w14:paraId="7534A4C4" w14:textId="6A327EBF"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Deadline: December 31, 2022</w:t>
            </w:r>
          </w:p>
        </w:tc>
      </w:tr>
      <w:tr w:rsidR="000C78E0" w:rsidRPr="00BC6BBC" w14:paraId="43BAD8CD" w14:textId="77777777" w:rsidTr="00BC6BBC">
        <w:tc>
          <w:tcPr>
            <w:tcW w:w="2689" w:type="dxa"/>
          </w:tcPr>
          <w:p w14:paraId="7F4F1934"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六、规范发展与其他保障</w:t>
            </w:r>
            <w:r w:rsidRPr="00BC6BBC">
              <w:rPr>
                <w:rFonts w:ascii="Times New Roman" w:eastAsia="SimSun" w:hAnsi="Times New Roman" w:cs="Times New Roman"/>
                <w:kern w:val="0"/>
                <w:sz w:val="20"/>
                <w:szCs w:val="20"/>
                <w:lang w:bidi="ar"/>
              </w:rPr>
              <w:t xml:space="preserve"> / Promote Standardized Development and Supporting Measures</w:t>
            </w:r>
          </w:p>
        </w:tc>
        <w:tc>
          <w:tcPr>
            <w:tcW w:w="4536" w:type="dxa"/>
          </w:tcPr>
          <w:p w14:paraId="1886D18F"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（十九）强化数据安全监管，加强数据资源利用。制定有关数字疗法数据安全的政策指引。</w:t>
            </w:r>
            <w:r w:rsidRPr="00BC6BBC">
              <w:rPr>
                <w:rFonts w:ascii="Times New Roman" w:eastAsia="SimSun" w:hAnsi="Times New Roman" w:cs="Times New Roman"/>
                <w:kern w:val="0"/>
                <w:sz w:val="20"/>
                <w:szCs w:val="20"/>
                <w:lang w:bidi="ar"/>
              </w:rPr>
              <w:t>鼓励利用省政务信息共享交换平台，在依法加强安全保障和隐私保护的前提下，将数字疗法产品采集的居民健康数据汇聚到全省</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三医大数据资源中心</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稳妥推进健康医疗数据资源有序开放。加强对数字疗法产品有关用户信息保护技术审核等工作的专项指导，对发生数据泄露情况的严格追究责任。建立用户投诉通道和定期检查、抽查等机制，及时发现和依法处置相关违法违规行为。</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责任单位：省委网信办、省大数据管理局、省卫生健康委；落实期限：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409100F7"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b/>
                <w:bCs/>
                <w:kern w:val="0"/>
                <w:sz w:val="20"/>
                <w:szCs w:val="20"/>
                <w:lang w:bidi="ar"/>
              </w:rPr>
              <w:t>19. Enhance data security and utilization</w:t>
            </w:r>
            <w:r w:rsidRPr="00BC6BBC">
              <w:rPr>
                <w:rFonts w:ascii="Times New Roman" w:eastAsia="SimSun" w:hAnsi="Times New Roman" w:cs="Times New Roman"/>
                <w:kern w:val="0"/>
                <w:sz w:val="20"/>
                <w:szCs w:val="20"/>
                <w:lang w:bidi="ar"/>
              </w:rPr>
              <w:t xml:space="preserve"> </w:t>
            </w:r>
          </w:p>
          <w:p w14:paraId="49703D1B"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Issue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data security guidelines</w:t>
            </w:r>
          </w:p>
          <w:p w14:paraId="50C17F5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Aggregate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-generated data into the "Three-Medical Big Data" platform</w:t>
            </w:r>
          </w:p>
          <w:p w14:paraId="7B225F07"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Establish accountability for data breaches and privacy violations</w:t>
            </w:r>
          </w:p>
          <w:p w14:paraId="0EE9E41F"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Set up complaint channels and inspection mechanisms</w:t>
            </w:r>
          </w:p>
          <w:p w14:paraId="766D87AE"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Provincial Cyberspace Administration, Provincial Big Data Administration, Provincial Health Commission</w:t>
            </w:r>
          </w:p>
          <w:p w14:paraId="0722238F" w14:textId="0466CA5A"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Deadline: December 31, 2022</w:t>
            </w:r>
          </w:p>
        </w:tc>
      </w:tr>
      <w:tr w:rsidR="000C78E0" w:rsidRPr="00BC6BBC" w14:paraId="363CCF46" w14:textId="77777777" w:rsidTr="00BC6BBC">
        <w:tc>
          <w:tcPr>
            <w:tcW w:w="2689" w:type="dxa"/>
          </w:tcPr>
          <w:p w14:paraId="721BFE9F"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六、规范发展与其他保障</w:t>
            </w:r>
            <w:r w:rsidRPr="00BC6BBC">
              <w:rPr>
                <w:rFonts w:ascii="Times New Roman" w:eastAsia="SimSun" w:hAnsi="Times New Roman" w:cs="Times New Roman"/>
                <w:kern w:val="0"/>
                <w:sz w:val="20"/>
                <w:szCs w:val="20"/>
                <w:lang w:bidi="ar"/>
              </w:rPr>
              <w:t xml:space="preserve"> / Promote Standardized Development and Supporting Measures</w:t>
            </w:r>
          </w:p>
        </w:tc>
        <w:tc>
          <w:tcPr>
            <w:tcW w:w="4536" w:type="dxa"/>
          </w:tcPr>
          <w:p w14:paraId="370404E9"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（二十）加强数字疗法人才保障。</w:t>
            </w:r>
            <w:r w:rsidRPr="00BC6BBC">
              <w:rPr>
                <w:rFonts w:ascii="Times New Roman" w:eastAsia="SimSun" w:hAnsi="Times New Roman" w:cs="Times New Roman"/>
                <w:kern w:val="0"/>
                <w:sz w:val="20"/>
                <w:szCs w:val="20"/>
                <w:lang w:bidi="ar"/>
              </w:rPr>
              <w:t>鼓励海南相关院校增设数字疗法课程和专业，支持相关交叉学科发展，加大互联网、大数据、人工智能、生物信息等交叉学科人才培养力度，为数字疗法产业发展提供人才支撑。依托海南医学院成立省数字疗法研究院。落实我省人才落户、购车、住房、医疗等服务保障政策，鼓励支持科研院校、企业积极引进海内外中高层次人才。积极组织数字疗法产业人才申报各级人才项目，支持数字疗法高端紧缺人才按照相关规定享受海南自由贸易港个</w:t>
            </w:r>
            <w:r w:rsidRPr="00BC6BBC">
              <w:rPr>
                <w:rFonts w:ascii="Times New Roman" w:eastAsia="SimSun" w:hAnsi="Times New Roman" w:cs="Times New Roman"/>
                <w:kern w:val="0"/>
                <w:sz w:val="20"/>
                <w:szCs w:val="20"/>
                <w:lang w:bidi="ar"/>
              </w:rPr>
              <w:lastRenderedPageBreak/>
              <w:t>人所得税优惠政策。</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责任单位：省教育厅、省卫生健康委、省财政厅、省委人才发展局、省工业和信息化厅、海南国际经济发展局、海南大学、海南医学院；落实期限：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7D1159CF" w14:textId="77777777" w:rsidR="000C78E0" w:rsidRPr="00BC6BBC" w:rsidRDefault="000C78E0" w:rsidP="00BC6BBC">
            <w:pPr>
              <w:numPr>
                <w:ilvl w:val="0"/>
                <w:numId w:val="1"/>
              </w:num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lastRenderedPageBreak/>
              <w:t xml:space="preserve">Strengthen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Talent Development</w:t>
            </w:r>
          </w:p>
          <w:p w14:paraId="1686494C" w14:textId="77777777" w:rsidR="00BC6BBC"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Encourage universities to launch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courses and majors</w:t>
            </w:r>
          </w:p>
          <w:p w14:paraId="45D949E5" w14:textId="465A6FF8"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Support interdisciplinary talent training (AI, big data, bioinformatics)</w:t>
            </w:r>
          </w:p>
          <w:p w14:paraId="3D73A15D" w14:textId="77777777" w:rsidR="00BC6BBC"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Establish Hainan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Research Institute at Hainan Medical University</w:t>
            </w:r>
          </w:p>
          <w:p w14:paraId="22FE197A" w14:textId="77777777" w:rsidR="00BC6BBC"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Implement Free Trade Port talent policies towards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talents for housing, vehicles, healthcare, </w:t>
            </w:r>
            <w:proofErr w:type="spellStart"/>
            <w:r w:rsidRPr="00BC6BBC">
              <w:rPr>
                <w:rFonts w:ascii="Times New Roman" w:eastAsia="SimSun" w:hAnsi="Times New Roman" w:cs="Times New Roman"/>
                <w:kern w:val="0"/>
                <w:sz w:val="20"/>
                <w:szCs w:val="20"/>
                <w:lang w:bidi="ar"/>
              </w:rPr>
              <w:t>etc</w:t>
            </w:r>
            <w:proofErr w:type="spellEnd"/>
            <w:r w:rsidRPr="00BC6BBC">
              <w:rPr>
                <w:rFonts w:ascii="Times New Roman" w:eastAsia="SimSun" w:hAnsi="Times New Roman" w:cs="Times New Roman"/>
                <w:kern w:val="0"/>
                <w:sz w:val="20"/>
                <w:szCs w:val="20"/>
                <w:lang w:bidi="ar"/>
              </w:rPr>
              <w:t>, as well as support talent project applications and income tax incentives</w:t>
            </w:r>
          </w:p>
          <w:p w14:paraId="199650DA" w14:textId="77777777" w:rsidR="00BC6BBC"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Responsible Units: Department of Education, Health Commission, Finance Dept., Talent Development Office, Industry and IT Dept., International Economic Development Bureau, Hainan University, Hainan Medical University</w:t>
            </w:r>
          </w:p>
          <w:p w14:paraId="303D2EE5" w14:textId="49ECB98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lastRenderedPageBreak/>
              <w:t>Deadline: December 31, 2022</w:t>
            </w:r>
          </w:p>
        </w:tc>
      </w:tr>
      <w:tr w:rsidR="000C78E0" w:rsidRPr="00BC6BBC" w14:paraId="64DD0449" w14:textId="77777777" w:rsidTr="00BC6BBC">
        <w:tc>
          <w:tcPr>
            <w:tcW w:w="2689" w:type="dxa"/>
          </w:tcPr>
          <w:p w14:paraId="55E8803A"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lastRenderedPageBreak/>
              <w:t>六、规范发展与其他保障</w:t>
            </w:r>
            <w:r w:rsidRPr="00BC6BBC">
              <w:rPr>
                <w:rFonts w:ascii="Times New Roman" w:eastAsia="SimSun" w:hAnsi="Times New Roman" w:cs="Times New Roman"/>
                <w:kern w:val="0"/>
                <w:sz w:val="20"/>
                <w:szCs w:val="20"/>
                <w:lang w:bidi="ar"/>
              </w:rPr>
              <w:t xml:space="preserve"> / Promote Standardized Development and Supporting Measures</w:t>
            </w:r>
          </w:p>
        </w:tc>
        <w:tc>
          <w:tcPr>
            <w:tcW w:w="4536" w:type="dxa"/>
          </w:tcPr>
          <w:p w14:paraId="538C1C11"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b/>
                <w:bCs/>
                <w:kern w:val="0"/>
                <w:sz w:val="20"/>
                <w:szCs w:val="20"/>
                <w:lang w:bidi="ar"/>
              </w:rPr>
              <w:t>（二十一）发挥自贸港基金作用，采取股权投资方式支持数字疗法产业发展。</w:t>
            </w:r>
            <w:r w:rsidRPr="00BC6BBC">
              <w:rPr>
                <w:rFonts w:ascii="Times New Roman" w:eastAsia="SimSun" w:hAnsi="Times New Roman" w:cs="Times New Roman"/>
                <w:kern w:val="0"/>
                <w:sz w:val="20"/>
                <w:szCs w:val="20"/>
                <w:lang w:bidi="ar"/>
              </w:rPr>
              <w:t>充分发挥海南自由贸易港建设投资基金的杠杆作用，按照政府引导、市场化运作的方式与产业资本、金融资本合作，推动设立医疗健康领域子基金，投向数字疗法产业，支持海南数字疗法企业发展。</w:t>
            </w:r>
            <w:r w:rsidRPr="00BC6BBC">
              <w:rPr>
                <w:rFonts w:ascii="Times New Roman" w:eastAsia="SimSun" w:hAnsi="Times New Roman" w:cs="Times New Roman"/>
                <w:kern w:val="0"/>
                <w:sz w:val="20"/>
                <w:szCs w:val="20"/>
                <w:lang w:bidi="ar"/>
              </w:rPr>
              <w:t>(</w:t>
            </w:r>
            <w:r w:rsidRPr="00BC6BBC">
              <w:rPr>
                <w:rFonts w:ascii="Times New Roman" w:eastAsia="SimSun" w:hAnsi="Times New Roman" w:cs="Times New Roman"/>
                <w:kern w:val="0"/>
                <w:sz w:val="20"/>
                <w:szCs w:val="20"/>
                <w:lang w:bidi="ar"/>
              </w:rPr>
              <w:t>责任单位：省财政厅、省卫生健康委；落实期限：</w:t>
            </w:r>
            <w:r w:rsidRPr="00BC6BBC">
              <w:rPr>
                <w:rFonts w:ascii="Times New Roman" w:eastAsia="SimSun" w:hAnsi="Times New Roman" w:cs="Times New Roman"/>
                <w:kern w:val="0"/>
                <w:sz w:val="20"/>
                <w:szCs w:val="20"/>
                <w:lang w:bidi="ar"/>
              </w:rPr>
              <w:t>2022</w:t>
            </w:r>
            <w:r w:rsidRPr="00BC6BBC">
              <w:rPr>
                <w:rFonts w:ascii="Times New Roman" w:eastAsia="SimSun" w:hAnsi="Times New Roman" w:cs="Times New Roman"/>
                <w:kern w:val="0"/>
                <w:sz w:val="20"/>
                <w:szCs w:val="20"/>
                <w:lang w:bidi="ar"/>
              </w:rPr>
              <w:t>年</w:t>
            </w:r>
            <w:r w:rsidRPr="00BC6BBC">
              <w:rPr>
                <w:rFonts w:ascii="Times New Roman" w:eastAsia="SimSun" w:hAnsi="Times New Roman" w:cs="Times New Roman"/>
                <w:kern w:val="0"/>
                <w:sz w:val="20"/>
                <w:szCs w:val="20"/>
                <w:lang w:bidi="ar"/>
              </w:rPr>
              <w:t>12</w:t>
            </w:r>
            <w:r w:rsidRPr="00BC6BBC">
              <w:rPr>
                <w:rFonts w:ascii="Times New Roman" w:eastAsia="SimSun" w:hAnsi="Times New Roman" w:cs="Times New Roman"/>
                <w:kern w:val="0"/>
                <w:sz w:val="20"/>
                <w:szCs w:val="20"/>
                <w:lang w:bidi="ar"/>
              </w:rPr>
              <w:t>月</w:t>
            </w:r>
            <w:r w:rsidRPr="00BC6BBC">
              <w:rPr>
                <w:rFonts w:ascii="Times New Roman" w:eastAsia="SimSun" w:hAnsi="Times New Roman" w:cs="Times New Roman"/>
                <w:kern w:val="0"/>
                <w:sz w:val="20"/>
                <w:szCs w:val="20"/>
                <w:lang w:bidi="ar"/>
              </w:rPr>
              <w:t>31</w:t>
            </w:r>
            <w:r w:rsidRPr="00BC6BBC">
              <w:rPr>
                <w:rFonts w:ascii="Times New Roman" w:eastAsia="SimSun" w:hAnsi="Times New Roman" w:cs="Times New Roman"/>
                <w:kern w:val="0"/>
                <w:sz w:val="20"/>
                <w:szCs w:val="20"/>
                <w:lang w:bidi="ar"/>
              </w:rPr>
              <w:t>日前</w:t>
            </w:r>
            <w:r w:rsidRPr="00BC6BBC">
              <w:rPr>
                <w:rFonts w:ascii="Times New Roman" w:eastAsia="SimSun" w:hAnsi="Times New Roman" w:cs="Times New Roman"/>
                <w:kern w:val="0"/>
                <w:sz w:val="20"/>
                <w:szCs w:val="20"/>
                <w:lang w:bidi="ar"/>
              </w:rPr>
              <w:t>)</w:t>
            </w:r>
          </w:p>
        </w:tc>
        <w:tc>
          <w:tcPr>
            <w:tcW w:w="6804" w:type="dxa"/>
          </w:tcPr>
          <w:p w14:paraId="6FD45FDE" w14:textId="77777777" w:rsidR="00BC6BBC" w:rsidRPr="00BC6BBC" w:rsidRDefault="000C78E0" w:rsidP="00BC6BBC">
            <w:pPr>
              <w:numPr>
                <w:ilvl w:val="0"/>
                <w:numId w:val="1"/>
              </w:numPr>
              <w:rPr>
                <w:rFonts w:ascii="Times New Roman" w:eastAsia="SimSun" w:hAnsi="Times New Roman" w:cs="Times New Roman"/>
                <w:sz w:val="20"/>
                <w:szCs w:val="20"/>
              </w:rPr>
            </w:pPr>
            <w:r w:rsidRPr="00BC6BBC">
              <w:rPr>
                <w:rFonts w:ascii="Times New Roman" w:eastAsia="SimSun" w:hAnsi="Times New Roman" w:cs="Times New Roman"/>
                <w:b/>
                <w:bCs/>
                <w:kern w:val="0"/>
                <w:sz w:val="20"/>
                <w:szCs w:val="20"/>
                <w:lang w:bidi="ar"/>
              </w:rPr>
              <w:t xml:space="preserve">Use Free Trade Port investment funds to support </w:t>
            </w:r>
            <w:proofErr w:type="spellStart"/>
            <w:r w:rsidRPr="00BC6BBC">
              <w:rPr>
                <w:rFonts w:ascii="Times New Roman" w:eastAsia="SimSun" w:hAnsi="Times New Roman" w:cs="Times New Roman"/>
                <w:b/>
                <w:bCs/>
                <w:kern w:val="0"/>
                <w:sz w:val="20"/>
                <w:szCs w:val="20"/>
                <w:lang w:bidi="ar"/>
              </w:rPr>
              <w:t>DTx</w:t>
            </w:r>
            <w:proofErr w:type="spellEnd"/>
            <w:r w:rsidRPr="00BC6BBC">
              <w:rPr>
                <w:rFonts w:ascii="Times New Roman" w:eastAsia="SimSun" w:hAnsi="Times New Roman" w:cs="Times New Roman"/>
                <w:b/>
                <w:bCs/>
                <w:kern w:val="0"/>
                <w:sz w:val="20"/>
                <w:szCs w:val="20"/>
                <w:lang w:bidi="ar"/>
              </w:rPr>
              <w:t xml:space="preserve"> through equity financing</w:t>
            </w:r>
          </w:p>
          <w:p w14:paraId="411DA0B3" w14:textId="7A92E126"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Utilize Free Trade Port construction investment funds for equity investment in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enterprises.</w:t>
            </w:r>
          </w:p>
          <w:p w14:paraId="28AADBC7" w14:textId="77777777"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 xml:space="preserve">- Government collaborate with private capital to establish healthcare-focused sub-funds targeting the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sector.</w:t>
            </w:r>
          </w:p>
          <w:p w14:paraId="45248E54" w14:textId="77777777" w:rsidR="00BC6BBC"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 xml:space="preserve">- Support growth of </w:t>
            </w:r>
            <w:proofErr w:type="spellStart"/>
            <w:r w:rsidRPr="00BC6BBC">
              <w:rPr>
                <w:rFonts w:ascii="Times New Roman" w:eastAsia="SimSun" w:hAnsi="Times New Roman" w:cs="Times New Roman"/>
                <w:kern w:val="0"/>
                <w:sz w:val="20"/>
                <w:szCs w:val="20"/>
                <w:lang w:bidi="ar"/>
              </w:rPr>
              <w:t>DTx</w:t>
            </w:r>
            <w:proofErr w:type="spellEnd"/>
            <w:r w:rsidRPr="00BC6BBC">
              <w:rPr>
                <w:rFonts w:ascii="Times New Roman" w:eastAsia="SimSun" w:hAnsi="Times New Roman" w:cs="Times New Roman"/>
                <w:kern w:val="0"/>
                <w:sz w:val="20"/>
                <w:szCs w:val="20"/>
                <w:lang w:bidi="ar"/>
              </w:rPr>
              <w:t xml:space="preserve"> enterprises in Hainan</w:t>
            </w:r>
            <w:r w:rsidR="00BC6BBC" w:rsidRPr="00BC6BBC">
              <w:rPr>
                <w:rFonts w:ascii="Times New Roman" w:eastAsia="SimSun" w:hAnsi="Times New Roman" w:cs="Times New Roman" w:hint="eastAsia"/>
                <w:kern w:val="0"/>
                <w:sz w:val="20"/>
                <w:szCs w:val="20"/>
                <w:lang w:bidi="ar"/>
              </w:rPr>
              <w:t>.</w:t>
            </w:r>
          </w:p>
          <w:p w14:paraId="3DBE3896" w14:textId="2D5586E3" w:rsidR="000C78E0" w:rsidRPr="00BC6BBC" w:rsidRDefault="000C78E0" w:rsidP="00BC6BBC">
            <w:pPr>
              <w:rPr>
                <w:rFonts w:ascii="Times New Roman" w:eastAsia="SimSun" w:hAnsi="Times New Roman" w:cs="Times New Roman"/>
                <w:sz w:val="20"/>
                <w:szCs w:val="20"/>
              </w:rPr>
            </w:pPr>
            <w:r w:rsidRPr="00BC6BBC">
              <w:rPr>
                <w:rFonts w:ascii="Times New Roman" w:eastAsia="SimSun" w:hAnsi="Times New Roman" w:cs="Times New Roman"/>
                <w:kern w:val="0"/>
                <w:sz w:val="20"/>
                <w:szCs w:val="20"/>
                <w:lang w:bidi="ar"/>
              </w:rPr>
              <w:t>Responsible Units: Finance Dept., Health Commission</w:t>
            </w:r>
          </w:p>
          <w:p w14:paraId="458D9D6C" w14:textId="77777777" w:rsidR="000C78E0" w:rsidRPr="00BC6BBC" w:rsidRDefault="000C78E0" w:rsidP="00BC6BBC">
            <w:pPr>
              <w:rPr>
                <w:rFonts w:ascii="Times New Roman" w:eastAsia="SimSun" w:hAnsi="Times New Roman" w:cs="Times New Roman"/>
                <w:kern w:val="0"/>
                <w:sz w:val="20"/>
                <w:szCs w:val="20"/>
                <w:lang w:bidi="ar"/>
              </w:rPr>
            </w:pPr>
            <w:r w:rsidRPr="00BC6BBC">
              <w:rPr>
                <w:rFonts w:ascii="Times New Roman" w:eastAsia="SimSun" w:hAnsi="Times New Roman" w:cs="Times New Roman"/>
                <w:kern w:val="0"/>
                <w:sz w:val="20"/>
                <w:szCs w:val="20"/>
                <w:lang w:bidi="ar"/>
              </w:rPr>
              <w:t>Deadline: December 31, 2022</w:t>
            </w:r>
          </w:p>
        </w:tc>
      </w:tr>
    </w:tbl>
    <w:p w14:paraId="0DFA4C60" w14:textId="77777777" w:rsidR="000C78E0" w:rsidRDefault="000C78E0" w:rsidP="000C78E0">
      <w:pPr>
        <w:rPr>
          <w:rFonts w:ascii="Times New Roman" w:hAnsi="Times New Roman" w:cs="Times New Roman"/>
        </w:rPr>
      </w:pPr>
    </w:p>
    <w:p w14:paraId="5650A8E9" w14:textId="77777777" w:rsidR="000C78E0" w:rsidRDefault="000C78E0" w:rsidP="000C78E0">
      <w:pPr>
        <w:rPr>
          <w:rFonts w:ascii="Times New Roman" w:hAnsi="Times New Roman" w:cs="Times New Roman"/>
        </w:rPr>
      </w:pPr>
    </w:p>
    <w:p w14:paraId="6F6CC8A9" w14:textId="77777777" w:rsidR="000C78E0" w:rsidRPr="00225A72" w:rsidRDefault="000C78E0" w:rsidP="000C78E0">
      <w:pPr>
        <w:rPr>
          <w:rFonts w:ascii="Times New Roman" w:hAnsi="Times New Roman" w:cs="Times New Roman"/>
        </w:rPr>
      </w:pPr>
    </w:p>
    <w:p w14:paraId="38525BED" w14:textId="3B5AE951" w:rsidR="000C78E0" w:rsidRPr="00736822" w:rsidRDefault="000C78E0" w:rsidP="000C78E0">
      <w:pPr>
        <w:rPr>
          <w:rFonts w:ascii="Times New Roman" w:hAnsi="Times New Roman" w:cs="Times New Roman"/>
          <w:sz w:val="22"/>
          <w:szCs w:val="22"/>
        </w:rPr>
      </w:pPr>
    </w:p>
    <w:p w14:paraId="754A23F5" w14:textId="77777777" w:rsidR="000C78E0" w:rsidRPr="000C78E0" w:rsidRDefault="000C78E0"/>
    <w:sectPr w:rsidR="000C78E0" w:rsidRPr="000C78E0" w:rsidSect="00BC6BBC">
      <w:pgSz w:w="16838" w:h="11906" w:orient="landscape"/>
      <w:pgMar w:top="1797" w:right="1440" w:bottom="1797" w:left="1440" w:header="851" w:footer="992" w:gutter="0"/>
      <w:cols w:space="425"/>
      <w:docGrid w:type="linesAndChar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DDEC4BA"/>
    <w:multiLevelType w:val="multilevel"/>
    <w:tmpl w:val="FDDEC4BA"/>
    <w:lvl w:ilvl="0">
      <w:start w:val="20"/>
      <w:numFmt w:val="decimal"/>
      <w:suff w:val="space"/>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544465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621"/>
    <w:rsid w:val="000C78E0"/>
    <w:rsid w:val="004F7438"/>
    <w:rsid w:val="00664FA3"/>
    <w:rsid w:val="00686E4A"/>
    <w:rsid w:val="007A0ECF"/>
    <w:rsid w:val="007B12B2"/>
    <w:rsid w:val="0087668E"/>
    <w:rsid w:val="00A53621"/>
    <w:rsid w:val="00BC6BBC"/>
    <w:rsid w:val="00BC72D3"/>
    <w:rsid w:val="00E326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08ED"/>
  <w15:chartTrackingRefBased/>
  <w15:docId w15:val="{E7D54E7D-5BAF-4184-8C40-D4F29648A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621"/>
    <w:rPr>
      <w:sz w:val="24"/>
    </w:rPr>
  </w:style>
  <w:style w:type="paragraph" w:styleId="Heading1">
    <w:name w:val="heading 1"/>
    <w:basedOn w:val="Normal"/>
    <w:next w:val="Normal"/>
    <w:link w:val="Heading1Char"/>
    <w:uiPriority w:val="9"/>
    <w:qFormat/>
    <w:rsid w:val="00A536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A536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A536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A53621"/>
    <w:pPr>
      <w:keepNext/>
      <w:keepLines/>
      <w:spacing w:before="80" w:after="40"/>
      <w:outlineLvl w:val="3"/>
    </w:pPr>
    <w:rPr>
      <w:rFonts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A53621"/>
    <w:pPr>
      <w:keepNext/>
      <w:keepLines/>
      <w:spacing w:before="80" w:after="40"/>
      <w:outlineLvl w:val="4"/>
    </w:pPr>
    <w:rPr>
      <w:rFonts w:cstheme="majorBidi"/>
      <w:color w:val="2F5496" w:themeColor="accent1" w:themeShade="BF"/>
    </w:rPr>
  </w:style>
  <w:style w:type="paragraph" w:styleId="Heading6">
    <w:name w:val="heading 6"/>
    <w:basedOn w:val="Normal"/>
    <w:next w:val="Normal"/>
    <w:link w:val="Heading6Char"/>
    <w:uiPriority w:val="9"/>
    <w:semiHidden/>
    <w:unhideWhenUsed/>
    <w:qFormat/>
    <w:rsid w:val="00A53621"/>
    <w:pPr>
      <w:keepNext/>
      <w:keepLines/>
      <w:spacing w:before="40" w:after="0"/>
      <w:outlineLvl w:val="5"/>
    </w:pPr>
    <w:rPr>
      <w:rFonts w:cstheme="majorBidi"/>
      <w:b/>
      <w:bCs/>
      <w:color w:val="2F5496" w:themeColor="accent1" w:themeShade="BF"/>
    </w:rPr>
  </w:style>
  <w:style w:type="paragraph" w:styleId="Heading7">
    <w:name w:val="heading 7"/>
    <w:basedOn w:val="Normal"/>
    <w:next w:val="Normal"/>
    <w:link w:val="Heading7Char"/>
    <w:uiPriority w:val="9"/>
    <w:semiHidden/>
    <w:unhideWhenUsed/>
    <w:qFormat/>
    <w:rsid w:val="00A53621"/>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A53621"/>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A53621"/>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621"/>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A53621"/>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A53621"/>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A53621"/>
    <w:rPr>
      <w:rFonts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A53621"/>
    <w:rPr>
      <w:rFonts w:cstheme="majorBidi"/>
      <w:color w:val="2F5496" w:themeColor="accent1" w:themeShade="BF"/>
      <w:sz w:val="24"/>
    </w:rPr>
  </w:style>
  <w:style w:type="character" w:customStyle="1" w:styleId="Heading6Char">
    <w:name w:val="Heading 6 Char"/>
    <w:basedOn w:val="DefaultParagraphFont"/>
    <w:link w:val="Heading6"/>
    <w:uiPriority w:val="9"/>
    <w:semiHidden/>
    <w:rsid w:val="00A53621"/>
    <w:rPr>
      <w:rFonts w:cstheme="majorBidi"/>
      <w:b/>
      <w:bCs/>
      <w:color w:val="2F5496" w:themeColor="accent1" w:themeShade="BF"/>
    </w:rPr>
  </w:style>
  <w:style w:type="character" w:customStyle="1" w:styleId="Heading7Char">
    <w:name w:val="Heading 7 Char"/>
    <w:basedOn w:val="DefaultParagraphFont"/>
    <w:link w:val="Heading7"/>
    <w:uiPriority w:val="9"/>
    <w:semiHidden/>
    <w:rsid w:val="00A53621"/>
    <w:rPr>
      <w:rFonts w:cstheme="majorBidi"/>
      <w:b/>
      <w:bCs/>
      <w:color w:val="595959" w:themeColor="text1" w:themeTint="A6"/>
    </w:rPr>
  </w:style>
  <w:style w:type="character" w:customStyle="1" w:styleId="Heading8Char">
    <w:name w:val="Heading 8 Char"/>
    <w:basedOn w:val="DefaultParagraphFont"/>
    <w:link w:val="Heading8"/>
    <w:uiPriority w:val="9"/>
    <w:semiHidden/>
    <w:rsid w:val="00A53621"/>
    <w:rPr>
      <w:rFonts w:cstheme="majorBidi"/>
      <w:color w:val="595959" w:themeColor="text1" w:themeTint="A6"/>
    </w:rPr>
  </w:style>
  <w:style w:type="character" w:customStyle="1" w:styleId="Heading9Char">
    <w:name w:val="Heading 9 Char"/>
    <w:basedOn w:val="DefaultParagraphFont"/>
    <w:link w:val="Heading9"/>
    <w:uiPriority w:val="9"/>
    <w:semiHidden/>
    <w:rsid w:val="00A53621"/>
    <w:rPr>
      <w:rFonts w:eastAsiaTheme="majorEastAsia" w:cstheme="majorBidi"/>
      <w:color w:val="595959" w:themeColor="text1" w:themeTint="A6"/>
    </w:rPr>
  </w:style>
  <w:style w:type="paragraph" w:styleId="Title">
    <w:name w:val="Title"/>
    <w:basedOn w:val="Normal"/>
    <w:next w:val="Normal"/>
    <w:link w:val="TitleChar"/>
    <w:uiPriority w:val="10"/>
    <w:qFormat/>
    <w:rsid w:val="00A5362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62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62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A53621"/>
    <w:pPr>
      <w:spacing w:before="160"/>
      <w:jc w:val="center"/>
    </w:pPr>
    <w:rPr>
      <w:i/>
      <w:iCs/>
      <w:color w:val="404040" w:themeColor="text1" w:themeTint="BF"/>
    </w:rPr>
  </w:style>
  <w:style w:type="character" w:customStyle="1" w:styleId="QuoteChar">
    <w:name w:val="Quote Char"/>
    <w:basedOn w:val="DefaultParagraphFont"/>
    <w:link w:val="Quote"/>
    <w:uiPriority w:val="29"/>
    <w:rsid w:val="00A53621"/>
    <w:rPr>
      <w:i/>
      <w:iCs/>
      <w:color w:val="404040" w:themeColor="text1" w:themeTint="BF"/>
    </w:rPr>
  </w:style>
  <w:style w:type="paragraph" w:styleId="ListParagraph">
    <w:name w:val="List Paragraph"/>
    <w:basedOn w:val="Normal"/>
    <w:uiPriority w:val="34"/>
    <w:qFormat/>
    <w:rsid w:val="00A53621"/>
    <w:pPr>
      <w:ind w:left="720"/>
      <w:contextualSpacing/>
    </w:pPr>
  </w:style>
  <w:style w:type="character" w:styleId="IntenseEmphasis">
    <w:name w:val="Intense Emphasis"/>
    <w:basedOn w:val="DefaultParagraphFont"/>
    <w:uiPriority w:val="21"/>
    <w:qFormat/>
    <w:rsid w:val="00A53621"/>
    <w:rPr>
      <w:i/>
      <w:iCs/>
      <w:color w:val="2F5496" w:themeColor="accent1" w:themeShade="BF"/>
    </w:rPr>
  </w:style>
  <w:style w:type="paragraph" w:styleId="IntenseQuote">
    <w:name w:val="Intense Quote"/>
    <w:basedOn w:val="Normal"/>
    <w:next w:val="Normal"/>
    <w:link w:val="IntenseQuoteChar"/>
    <w:uiPriority w:val="30"/>
    <w:qFormat/>
    <w:rsid w:val="00A536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3621"/>
    <w:rPr>
      <w:i/>
      <w:iCs/>
      <w:color w:val="2F5496" w:themeColor="accent1" w:themeShade="BF"/>
    </w:rPr>
  </w:style>
  <w:style w:type="character" w:styleId="IntenseReference">
    <w:name w:val="Intense Reference"/>
    <w:basedOn w:val="DefaultParagraphFont"/>
    <w:uiPriority w:val="32"/>
    <w:qFormat/>
    <w:rsid w:val="00A53621"/>
    <w:rPr>
      <w:b/>
      <w:bCs/>
      <w:smallCaps/>
      <w:color w:val="2F5496" w:themeColor="accent1" w:themeShade="BF"/>
      <w:spacing w:val="5"/>
    </w:rPr>
  </w:style>
  <w:style w:type="table" w:styleId="TableGrid">
    <w:name w:val="Table Grid"/>
    <w:basedOn w:val="TableNormal"/>
    <w:uiPriority w:val="39"/>
    <w:rsid w:val="00A536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C72D3"/>
    <w:pPr>
      <w:spacing w:before="100" w:beforeAutospacing="1" w:after="100" w:afterAutospacing="1" w:line="240" w:lineRule="auto"/>
    </w:pPr>
    <w:rPr>
      <w:rFonts w:ascii="SimSun" w:eastAsia="SimSun" w:hAnsi="SimSun" w:cs="SimSu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13</Pages>
  <Words>3323</Words>
  <Characters>18942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dc:creator>
  <cp:keywords/>
  <dc:description/>
  <cp:lastModifiedBy>Wang, Ziming</cp:lastModifiedBy>
  <cp:revision>2</cp:revision>
  <dcterms:created xsi:type="dcterms:W3CDTF">2026-06-16T02:35:00Z</dcterms:created>
  <dcterms:modified xsi:type="dcterms:W3CDTF">2026-06-25T08:12:00Z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ed4cc854-7891-44ba-bec6-9976218fa6f4</vt:lpwstr>
  </property>
</Properties>
</file>