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8F1677" w14:textId="77777777" w:rsidR="0011262F" w:rsidRDefault="00000000">
      <w:pPr>
        <w:spacing w:line="480" w:lineRule="auto"/>
        <w:jc w:val="center"/>
        <w:rPr>
          <w:rFonts w:ascii="Times New Roman" w:eastAsia="宋体" w:hAnsi="Times New Roman"/>
          <w:b/>
          <w:sz w:val="32"/>
          <w:szCs w:val="32"/>
        </w:rPr>
      </w:pPr>
      <w:r>
        <w:rPr>
          <w:rFonts w:ascii="Times New Roman" w:eastAsia="宋体" w:hAnsi="Times New Roman"/>
          <w:b/>
          <w:sz w:val="32"/>
          <w:szCs w:val="32"/>
        </w:rPr>
        <w:t>Supplementary Material</w:t>
      </w:r>
    </w:p>
    <w:p w14:paraId="705DAA38" w14:textId="77777777" w:rsidR="0011262F" w:rsidRDefault="00000000">
      <w:pPr>
        <w:rPr>
          <w:rFonts w:ascii="Times New Roman" w:eastAsia="微软雅黑" w:hAnsi="Times New Roman"/>
          <w:b/>
          <w:bCs/>
          <w:color w:val="000000"/>
          <w:kern w:val="44"/>
          <w:sz w:val="32"/>
          <w:szCs w:val="28"/>
        </w:rPr>
      </w:pPr>
      <w:bookmarkStart w:id="0" w:name="OLE_LINK16"/>
      <w:r>
        <w:rPr>
          <w:rFonts w:ascii="Times New Roman" w:eastAsia="微软雅黑" w:hAnsi="Times New Roman" w:hint="eastAsia"/>
          <w:b/>
          <w:bCs/>
          <w:color w:val="000000"/>
          <w:kern w:val="44"/>
          <w:sz w:val="32"/>
          <w:szCs w:val="28"/>
        </w:rPr>
        <w:t>COF-</w:t>
      </w:r>
      <w:proofErr w:type="spellStart"/>
      <w:r>
        <w:rPr>
          <w:rFonts w:ascii="Times New Roman" w:eastAsia="微软雅黑" w:hAnsi="Times New Roman" w:hint="eastAsia"/>
          <w:b/>
          <w:bCs/>
          <w:color w:val="000000"/>
          <w:kern w:val="44"/>
          <w:sz w:val="32"/>
          <w:szCs w:val="28"/>
        </w:rPr>
        <w:t>AgNPs</w:t>
      </w:r>
      <w:proofErr w:type="spellEnd"/>
      <w:r>
        <w:rPr>
          <w:rFonts w:ascii="Times New Roman" w:eastAsia="微软雅黑" w:hAnsi="Times New Roman" w:hint="eastAsia"/>
          <w:b/>
          <w:bCs/>
          <w:color w:val="000000"/>
          <w:kern w:val="44"/>
          <w:sz w:val="32"/>
          <w:szCs w:val="28"/>
        </w:rPr>
        <w:t xml:space="preserve"> </w:t>
      </w:r>
      <w:proofErr w:type="spellStart"/>
      <w:r>
        <w:rPr>
          <w:rFonts w:ascii="Times New Roman" w:eastAsia="微软雅黑" w:hAnsi="Times New Roman" w:hint="eastAsia"/>
          <w:b/>
          <w:bCs/>
          <w:color w:val="000000"/>
          <w:kern w:val="44"/>
          <w:sz w:val="32"/>
          <w:szCs w:val="28"/>
        </w:rPr>
        <w:t>Nanoenzymes</w:t>
      </w:r>
      <w:proofErr w:type="spellEnd"/>
      <w:r>
        <w:rPr>
          <w:rFonts w:ascii="Times New Roman" w:eastAsia="微软雅黑" w:hAnsi="Times New Roman" w:hint="eastAsia"/>
          <w:b/>
          <w:bCs/>
          <w:color w:val="000000"/>
          <w:kern w:val="44"/>
          <w:sz w:val="32"/>
          <w:szCs w:val="28"/>
        </w:rPr>
        <w:t xml:space="preserve"> Combined with Multimodal Machine Learning for Dual-model </w:t>
      </w:r>
      <w:r>
        <w:rPr>
          <w:rFonts w:ascii="Times New Roman" w:eastAsia="微软雅黑" w:hAnsi="Times New Roman"/>
          <w:b/>
          <w:bCs/>
          <w:color w:val="000000"/>
          <w:kern w:val="44"/>
          <w:sz w:val="32"/>
          <w:szCs w:val="28"/>
        </w:rPr>
        <w:t>D</w:t>
      </w:r>
      <w:r>
        <w:rPr>
          <w:rFonts w:ascii="Times New Roman" w:eastAsia="微软雅黑" w:hAnsi="Times New Roman" w:hint="eastAsia"/>
          <w:b/>
          <w:bCs/>
          <w:color w:val="000000"/>
          <w:kern w:val="44"/>
          <w:sz w:val="32"/>
          <w:szCs w:val="28"/>
        </w:rPr>
        <w:t xml:space="preserve">etection of </w:t>
      </w:r>
      <w:r>
        <w:rPr>
          <w:rFonts w:ascii="Times New Roman" w:eastAsia="微软雅黑" w:hAnsi="Times New Roman"/>
          <w:b/>
          <w:bCs/>
          <w:color w:val="000000"/>
          <w:kern w:val="44"/>
          <w:sz w:val="32"/>
          <w:szCs w:val="28"/>
        </w:rPr>
        <w:t>Hg</w:t>
      </w:r>
      <w:r>
        <w:rPr>
          <w:rFonts w:ascii="Times New Roman" w:eastAsia="微软雅黑" w:hAnsi="Times New Roman" w:hint="eastAsia"/>
          <w:b/>
          <w:bCs/>
          <w:color w:val="000000"/>
          <w:kern w:val="44"/>
          <w:sz w:val="32"/>
          <w:szCs w:val="28"/>
          <w:vertAlign w:val="superscript"/>
        </w:rPr>
        <w:t>2+</w:t>
      </w:r>
      <w:r>
        <w:rPr>
          <w:rFonts w:ascii="Times New Roman" w:eastAsia="微软雅黑" w:hAnsi="Times New Roman" w:hint="eastAsia"/>
          <w:b/>
          <w:bCs/>
          <w:color w:val="000000"/>
          <w:kern w:val="44"/>
          <w:sz w:val="32"/>
          <w:szCs w:val="28"/>
        </w:rPr>
        <w:t xml:space="preserve"> in </w:t>
      </w:r>
      <w:r>
        <w:rPr>
          <w:rFonts w:ascii="Times New Roman" w:eastAsia="微软雅黑" w:hAnsi="Times New Roman"/>
          <w:b/>
          <w:bCs/>
          <w:color w:val="000000"/>
          <w:kern w:val="44"/>
          <w:sz w:val="32"/>
          <w:szCs w:val="28"/>
        </w:rPr>
        <w:t>Aquatic Products</w:t>
      </w:r>
    </w:p>
    <w:bookmarkEnd w:id="0"/>
    <w:p w14:paraId="54582220" w14:textId="77777777" w:rsidR="0011262F" w:rsidRDefault="00000000">
      <w:pPr>
        <w:spacing w:line="480" w:lineRule="auto"/>
        <w:rPr>
          <w:rFonts w:ascii="Times New Roman" w:hAnsi="Times New Roman"/>
          <w:sz w:val="24"/>
          <w:szCs w:val="24"/>
          <w:lang w:bidi="ar"/>
        </w:rPr>
      </w:pPr>
      <w:proofErr w:type="spellStart"/>
      <w:r>
        <w:rPr>
          <w:rFonts w:ascii="Times New Roman" w:hAnsi="Times New Roman"/>
          <w:sz w:val="24"/>
          <w:szCs w:val="24"/>
          <w:lang w:bidi="ar"/>
        </w:rPr>
        <w:t>Fuhou</w:t>
      </w:r>
      <w:proofErr w:type="spellEnd"/>
      <w:r>
        <w:rPr>
          <w:rFonts w:ascii="Times New Roman" w:hAnsi="Times New Roman"/>
          <w:sz w:val="24"/>
          <w:szCs w:val="24"/>
          <w:lang w:bidi="ar"/>
        </w:rPr>
        <w:t xml:space="preserve"> Li</w:t>
      </w:r>
      <w:r>
        <w:rPr>
          <w:rFonts w:ascii="Times New Roman" w:hAnsi="Times New Roman"/>
          <w:sz w:val="24"/>
          <w:szCs w:val="24"/>
          <w:vertAlign w:val="superscript"/>
          <w:lang w:bidi="ar"/>
        </w:rPr>
        <w:t xml:space="preserve">a, </w:t>
      </w:r>
      <w:r>
        <w:rPr>
          <w:rFonts w:ascii="Times New Roman" w:hAnsi="Times New Roman" w:hint="eastAsia"/>
          <w:sz w:val="24"/>
          <w:szCs w:val="24"/>
          <w:vertAlign w:val="superscript"/>
          <w:lang w:bidi="ar"/>
        </w:rPr>
        <w:t>c</w:t>
      </w:r>
      <w:r>
        <w:rPr>
          <w:rFonts w:ascii="Times New Roman" w:hAnsi="Times New Roman"/>
          <w:sz w:val="24"/>
          <w:szCs w:val="24"/>
          <w:vertAlign w:val="superscript"/>
          <w:lang w:bidi="ar"/>
        </w:rPr>
        <w:t xml:space="preserve">, </w:t>
      </w:r>
      <w:r>
        <w:rPr>
          <w:rFonts w:ascii="Times New Roman" w:hAnsi="Times New Roman" w:hint="eastAsia"/>
          <w:sz w:val="24"/>
          <w:szCs w:val="24"/>
          <w:vertAlign w:val="superscript"/>
          <w:lang w:bidi="ar"/>
        </w:rPr>
        <w:t>1</w:t>
      </w:r>
      <w:r>
        <w:rPr>
          <w:rFonts w:ascii="Times New Roman" w:hAnsi="Times New Roman"/>
          <w:sz w:val="24"/>
          <w:szCs w:val="24"/>
          <w:lang w:bidi="ar"/>
        </w:rPr>
        <w:t>,</w:t>
      </w:r>
      <w:r>
        <w:rPr>
          <w:rFonts w:ascii="Times New Roman" w:hAnsi="Times New Roman" w:hint="eastAsia"/>
          <w:sz w:val="24"/>
          <w:szCs w:val="24"/>
          <w:lang w:bidi="ar"/>
        </w:rPr>
        <w:t xml:space="preserve"> Lulu</w:t>
      </w:r>
      <w:r>
        <w:rPr>
          <w:rFonts w:ascii="Times New Roman" w:hAnsi="Times New Roman"/>
          <w:sz w:val="24"/>
          <w:szCs w:val="24"/>
          <w:lang w:bidi="ar"/>
        </w:rPr>
        <w:t xml:space="preserve"> </w:t>
      </w:r>
      <w:r>
        <w:rPr>
          <w:rFonts w:ascii="Times New Roman" w:hAnsi="Times New Roman" w:hint="eastAsia"/>
          <w:sz w:val="24"/>
          <w:szCs w:val="24"/>
          <w:lang w:bidi="ar"/>
        </w:rPr>
        <w:t>Ye</w:t>
      </w:r>
      <w:r>
        <w:rPr>
          <w:rFonts w:ascii="Times New Roman" w:hAnsi="Times New Roman"/>
          <w:sz w:val="24"/>
          <w:szCs w:val="24"/>
          <w:vertAlign w:val="superscript"/>
          <w:lang w:bidi="ar"/>
        </w:rPr>
        <w:t xml:space="preserve">a, </w:t>
      </w:r>
      <w:r>
        <w:rPr>
          <w:rFonts w:ascii="Times New Roman" w:hAnsi="Times New Roman" w:hint="eastAsia"/>
          <w:sz w:val="24"/>
          <w:szCs w:val="24"/>
          <w:vertAlign w:val="superscript"/>
          <w:lang w:bidi="ar"/>
        </w:rPr>
        <w:t>c</w:t>
      </w:r>
      <w:r>
        <w:rPr>
          <w:rFonts w:ascii="Times New Roman" w:hAnsi="Times New Roman"/>
          <w:sz w:val="24"/>
          <w:szCs w:val="24"/>
          <w:vertAlign w:val="superscript"/>
          <w:lang w:bidi="ar"/>
        </w:rPr>
        <w:t xml:space="preserve">, </w:t>
      </w:r>
      <w:r>
        <w:rPr>
          <w:rFonts w:ascii="Times New Roman" w:hAnsi="Times New Roman" w:hint="eastAsia"/>
          <w:sz w:val="24"/>
          <w:szCs w:val="24"/>
          <w:vertAlign w:val="superscript"/>
          <w:lang w:bidi="ar"/>
        </w:rPr>
        <w:t>1</w:t>
      </w:r>
      <w:r>
        <w:rPr>
          <w:rFonts w:ascii="Times New Roman" w:hAnsi="Times New Roman"/>
          <w:sz w:val="24"/>
          <w:szCs w:val="24"/>
          <w:lang w:bidi="ar"/>
        </w:rPr>
        <w:t>,</w:t>
      </w:r>
      <w:r>
        <w:rPr>
          <w:rFonts w:ascii="Times New Roman" w:hAnsi="Times New Roman" w:hint="eastAsia"/>
          <w:sz w:val="24"/>
          <w:szCs w:val="24"/>
          <w:lang w:bidi="ar"/>
        </w:rPr>
        <w:t xml:space="preserve"> Jingyi Ye</w:t>
      </w:r>
      <w:r>
        <w:rPr>
          <w:rFonts w:ascii="Times New Roman" w:hAnsi="Times New Roman"/>
          <w:sz w:val="24"/>
          <w:szCs w:val="24"/>
          <w:vertAlign w:val="superscript"/>
          <w:lang w:bidi="ar"/>
        </w:rPr>
        <w:t xml:space="preserve">a, </w:t>
      </w:r>
      <w:r>
        <w:rPr>
          <w:rFonts w:ascii="Times New Roman" w:hAnsi="Times New Roman" w:hint="eastAsia"/>
          <w:sz w:val="24"/>
          <w:szCs w:val="24"/>
          <w:vertAlign w:val="superscript"/>
          <w:lang w:bidi="ar"/>
        </w:rPr>
        <w:t>c</w:t>
      </w:r>
      <w:r>
        <w:rPr>
          <w:rFonts w:ascii="Times New Roman" w:hAnsi="Times New Roman" w:hint="eastAsia"/>
          <w:sz w:val="24"/>
          <w:szCs w:val="24"/>
          <w:lang w:bidi="ar"/>
        </w:rPr>
        <w:t>, Zhiwei Xu</w:t>
      </w:r>
      <w:r>
        <w:rPr>
          <w:rFonts w:ascii="Times New Roman" w:hAnsi="Times New Roman"/>
          <w:sz w:val="24"/>
          <w:szCs w:val="24"/>
          <w:vertAlign w:val="superscript"/>
          <w:lang w:bidi="ar"/>
        </w:rPr>
        <w:t xml:space="preserve">a, </w:t>
      </w:r>
      <w:r>
        <w:rPr>
          <w:rFonts w:ascii="Times New Roman" w:hAnsi="Times New Roman" w:hint="eastAsia"/>
          <w:sz w:val="24"/>
          <w:szCs w:val="24"/>
          <w:vertAlign w:val="superscript"/>
          <w:lang w:bidi="ar"/>
        </w:rPr>
        <w:t>c</w:t>
      </w:r>
      <w:r>
        <w:rPr>
          <w:rFonts w:ascii="Times New Roman" w:hAnsi="Times New Roman" w:hint="eastAsia"/>
          <w:sz w:val="24"/>
          <w:szCs w:val="24"/>
          <w:lang w:bidi="ar"/>
        </w:rPr>
        <w:t>, Qi Ming</w:t>
      </w:r>
      <w:r>
        <w:rPr>
          <w:rFonts w:ascii="Times New Roman" w:hAnsi="Times New Roman"/>
          <w:sz w:val="24"/>
          <w:szCs w:val="24"/>
          <w:vertAlign w:val="superscript"/>
          <w:lang w:bidi="ar"/>
        </w:rPr>
        <w:t xml:space="preserve">a, </w:t>
      </w:r>
      <w:r>
        <w:rPr>
          <w:rFonts w:ascii="Times New Roman" w:hAnsi="Times New Roman" w:hint="eastAsia"/>
          <w:sz w:val="24"/>
          <w:szCs w:val="24"/>
          <w:vertAlign w:val="superscript"/>
          <w:lang w:bidi="ar"/>
        </w:rPr>
        <w:t>c</w:t>
      </w:r>
      <w:r>
        <w:rPr>
          <w:rFonts w:ascii="Times New Roman" w:hAnsi="Times New Roman" w:hint="eastAsia"/>
          <w:sz w:val="24"/>
          <w:szCs w:val="24"/>
          <w:lang w:bidi="ar"/>
        </w:rPr>
        <w:t xml:space="preserve">, </w:t>
      </w:r>
      <w:proofErr w:type="spellStart"/>
      <w:r>
        <w:rPr>
          <w:rFonts w:ascii="Times New Roman" w:hAnsi="Times New Roman" w:hint="eastAsia"/>
          <w:sz w:val="24"/>
          <w:szCs w:val="24"/>
          <w:lang w:bidi="ar"/>
        </w:rPr>
        <w:t>Yumeng</w:t>
      </w:r>
      <w:proofErr w:type="spellEnd"/>
      <w:r>
        <w:rPr>
          <w:rFonts w:ascii="Times New Roman" w:hAnsi="Times New Roman" w:hint="eastAsia"/>
          <w:sz w:val="24"/>
          <w:szCs w:val="24"/>
          <w:lang w:bidi="ar"/>
        </w:rPr>
        <w:t xml:space="preserve"> Guo</w:t>
      </w:r>
      <w:r>
        <w:rPr>
          <w:rFonts w:ascii="Times New Roman" w:hAnsi="Times New Roman"/>
          <w:sz w:val="24"/>
          <w:szCs w:val="24"/>
          <w:vertAlign w:val="superscript"/>
          <w:lang w:bidi="ar"/>
        </w:rPr>
        <w:t xml:space="preserve">a, </w:t>
      </w:r>
      <w:r>
        <w:rPr>
          <w:rFonts w:ascii="Times New Roman" w:hAnsi="Times New Roman" w:hint="eastAsia"/>
          <w:sz w:val="24"/>
          <w:szCs w:val="24"/>
          <w:vertAlign w:val="superscript"/>
          <w:lang w:bidi="ar"/>
        </w:rPr>
        <w:t>c</w:t>
      </w:r>
      <w:r>
        <w:rPr>
          <w:rFonts w:ascii="Times New Roman" w:hAnsi="Times New Roman" w:hint="eastAsia"/>
          <w:sz w:val="24"/>
          <w:szCs w:val="24"/>
          <w:lang w:bidi="ar"/>
        </w:rPr>
        <w:t xml:space="preserve">, </w:t>
      </w:r>
      <w:proofErr w:type="spellStart"/>
      <w:r>
        <w:rPr>
          <w:rFonts w:ascii="Times New Roman" w:hAnsi="Times New Roman" w:hint="eastAsia"/>
          <w:sz w:val="24"/>
          <w:szCs w:val="24"/>
          <w:lang w:bidi="ar"/>
        </w:rPr>
        <w:t>Yachen</w:t>
      </w:r>
      <w:proofErr w:type="spellEnd"/>
      <w:r>
        <w:rPr>
          <w:rFonts w:ascii="Times New Roman" w:hAnsi="Times New Roman" w:hint="eastAsia"/>
          <w:sz w:val="24"/>
          <w:szCs w:val="24"/>
          <w:lang w:bidi="ar"/>
        </w:rPr>
        <w:t xml:space="preserve"> Wang</w:t>
      </w:r>
      <w:r>
        <w:rPr>
          <w:rFonts w:ascii="Times New Roman" w:hAnsi="Times New Roman"/>
          <w:sz w:val="24"/>
          <w:szCs w:val="24"/>
          <w:vertAlign w:val="superscript"/>
          <w:lang w:bidi="ar"/>
        </w:rPr>
        <w:t xml:space="preserve">a, </w:t>
      </w:r>
      <w:r>
        <w:rPr>
          <w:rFonts w:ascii="Times New Roman" w:hAnsi="Times New Roman" w:hint="eastAsia"/>
          <w:sz w:val="24"/>
          <w:szCs w:val="24"/>
          <w:vertAlign w:val="superscript"/>
          <w:lang w:bidi="ar"/>
        </w:rPr>
        <w:t>c</w:t>
      </w:r>
      <w:r>
        <w:rPr>
          <w:rFonts w:ascii="Times New Roman" w:hAnsi="Times New Roman" w:hint="eastAsia"/>
          <w:sz w:val="24"/>
          <w:szCs w:val="24"/>
          <w:lang w:bidi="ar"/>
        </w:rPr>
        <w:t xml:space="preserve">, </w:t>
      </w:r>
      <w:proofErr w:type="spellStart"/>
      <w:r>
        <w:rPr>
          <w:rFonts w:ascii="Times New Roman" w:hAnsi="Times New Roman" w:hint="eastAsia"/>
          <w:sz w:val="24"/>
          <w:szCs w:val="24"/>
          <w:lang w:bidi="ar"/>
        </w:rPr>
        <w:t>Junhuan</w:t>
      </w:r>
      <w:proofErr w:type="spellEnd"/>
      <w:r>
        <w:rPr>
          <w:rFonts w:ascii="Times New Roman" w:hAnsi="Times New Roman" w:hint="eastAsia"/>
          <w:sz w:val="24"/>
          <w:szCs w:val="24"/>
          <w:lang w:bidi="ar"/>
        </w:rPr>
        <w:t xml:space="preserve"> Wang</w:t>
      </w:r>
      <w:r>
        <w:rPr>
          <w:rFonts w:ascii="Times New Roman" w:hAnsi="Times New Roman"/>
          <w:sz w:val="24"/>
          <w:szCs w:val="24"/>
          <w:vertAlign w:val="superscript"/>
          <w:lang w:bidi="ar"/>
        </w:rPr>
        <w:t xml:space="preserve">a, </w:t>
      </w:r>
      <w:r>
        <w:rPr>
          <w:rFonts w:ascii="Times New Roman" w:hAnsi="Times New Roman" w:hint="eastAsia"/>
          <w:sz w:val="24"/>
          <w:szCs w:val="24"/>
          <w:vertAlign w:val="superscript"/>
          <w:lang w:bidi="ar"/>
        </w:rPr>
        <w:t>c</w:t>
      </w:r>
      <w:r>
        <w:rPr>
          <w:rFonts w:ascii="Times New Roman" w:hAnsi="Times New Roman" w:hint="eastAsia"/>
          <w:sz w:val="24"/>
          <w:szCs w:val="24"/>
          <w:lang w:bidi="ar"/>
        </w:rPr>
        <w:t xml:space="preserve">, </w:t>
      </w:r>
      <w:proofErr w:type="spellStart"/>
      <w:r>
        <w:rPr>
          <w:rFonts w:ascii="Times New Roman" w:hAnsi="Times New Roman"/>
          <w:sz w:val="24"/>
          <w:szCs w:val="24"/>
          <w:lang w:bidi="ar"/>
        </w:rPr>
        <w:t>Weixia</w:t>
      </w:r>
      <w:proofErr w:type="spellEnd"/>
      <w:r>
        <w:rPr>
          <w:rFonts w:ascii="Times New Roman" w:hAnsi="Times New Roman"/>
          <w:sz w:val="24"/>
          <w:szCs w:val="24"/>
          <w:lang w:bidi="ar"/>
        </w:rPr>
        <w:t xml:space="preserve"> Wang</w:t>
      </w:r>
      <w:r>
        <w:rPr>
          <w:rFonts w:ascii="Times New Roman" w:hAnsi="Times New Roman"/>
          <w:sz w:val="24"/>
          <w:szCs w:val="24"/>
          <w:vertAlign w:val="superscript"/>
          <w:lang w:bidi="ar"/>
        </w:rPr>
        <w:t xml:space="preserve">a, </w:t>
      </w:r>
      <w:r>
        <w:rPr>
          <w:rFonts w:ascii="Times New Roman" w:hAnsi="Times New Roman" w:hint="eastAsia"/>
          <w:sz w:val="24"/>
          <w:szCs w:val="24"/>
          <w:vertAlign w:val="superscript"/>
          <w:lang w:bidi="ar"/>
        </w:rPr>
        <w:t>c</w:t>
      </w:r>
      <w:r>
        <w:rPr>
          <w:rFonts w:ascii="Times New Roman" w:hAnsi="Times New Roman"/>
          <w:sz w:val="24"/>
          <w:szCs w:val="24"/>
          <w:lang w:bidi="ar"/>
        </w:rPr>
        <w:t>,</w:t>
      </w:r>
      <w:r>
        <w:rPr>
          <w:rFonts w:ascii="Times New Roman" w:hAnsi="Times New Roman" w:hint="eastAsia"/>
          <w:sz w:val="24"/>
          <w:szCs w:val="24"/>
          <w:lang w:bidi="ar"/>
        </w:rPr>
        <w:t xml:space="preserve"> </w:t>
      </w:r>
      <w:proofErr w:type="spellStart"/>
      <w:r>
        <w:rPr>
          <w:rFonts w:ascii="Times New Roman" w:hAnsi="Times New Roman"/>
          <w:sz w:val="24"/>
          <w:szCs w:val="24"/>
          <w:lang w:bidi="ar"/>
        </w:rPr>
        <w:t>Jinri</w:t>
      </w:r>
      <w:proofErr w:type="spellEnd"/>
      <w:r>
        <w:rPr>
          <w:rFonts w:ascii="Times New Roman" w:hAnsi="Times New Roman"/>
          <w:sz w:val="24"/>
          <w:szCs w:val="24"/>
          <w:lang w:bidi="ar"/>
        </w:rPr>
        <w:t xml:space="preserve"> Chen</w:t>
      </w:r>
      <w:r>
        <w:rPr>
          <w:rFonts w:ascii="Times New Roman" w:hAnsi="Times New Roman"/>
          <w:sz w:val="24"/>
          <w:szCs w:val="24"/>
          <w:vertAlign w:val="superscript"/>
          <w:lang w:bidi="ar"/>
        </w:rPr>
        <w:t xml:space="preserve">a, b, c, d, </w:t>
      </w:r>
      <w:r>
        <w:rPr>
          <w:rFonts w:ascii="Times New Roman" w:hAnsi="Times New Roman"/>
          <w:sz w:val="24"/>
          <w:szCs w:val="24"/>
          <w:lang w:bidi="ar"/>
        </w:rPr>
        <w:t>*</w:t>
      </w:r>
    </w:p>
    <w:p w14:paraId="54220229" w14:textId="77777777" w:rsidR="0011262F" w:rsidRDefault="00000000">
      <w:pPr>
        <w:spacing w:line="480" w:lineRule="auto"/>
        <w:rPr>
          <w:rFonts w:ascii="Times New Roman" w:hAnsi="Times New Roman"/>
          <w:sz w:val="24"/>
          <w:szCs w:val="24"/>
          <w:lang w:bidi="ar"/>
        </w:rPr>
      </w:pPr>
      <w:r>
        <w:rPr>
          <w:rFonts w:ascii="Times New Roman" w:hAnsi="Times New Roman"/>
          <w:sz w:val="24"/>
          <w:szCs w:val="24"/>
          <w:vertAlign w:val="superscript"/>
          <w:lang w:bidi="ar"/>
        </w:rPr>
        <w:t>a</w:t>
      </w:r>
      <w:r>
        <w:rPr>
          <w:rFonts w:ascii="Times New Roman" w:hAnsi="Times New Roman"/>
          <w:sz w:val="24"/>
          <w:szCs w:val="24"/>
          <w:lang w:bidi="ar"/>
        </w:rPr>
        <w:t xml:space="preserve"> School of Ocean Food and Biological Engineering, Jiangsu Ocean University, 59 </w:t>
      </w:r>
      <w:proofErr w:type="spellStart"/>
      <w:r>
        <w:rPr>
          <w:rFonts w:ascii="Times New Roman" w:hAnsi="Times New Roman"/>
          <w:sz w:val="24"/>
          <w:szCs w:val="24"/>
          <w:lang w:bidi="ar"/>
        </w:rPr>
        <w:t>Cangwu</w:t>
      </w:r>
      <w:proofErr w:type="spellEnd"/>
      <w:r>
        <w:rPr>
          <w:rFonts w:ascii="Times New Roman" w:hAnsi="Times New Roman"/>
          <w:sz w:val="24"/>
          <w:szCs w:val="24"/>
          <w:lang w:bidi="ar"/>
        </w:rPr>
        <w:t xml:space="preserve"> Road, </w:t>
      </w:r>
      <w:proofErr w:type="spellStart"/>
      <w:r>
        <w:rPr>
          <w:rFonts w:ascii="Times New Roman" w:hAnsi="Times New Roman"/>
          <w:sz w:val="24"/>
          <w:szCs w:val="24"/>
          <w:lang w:bidi="ar"/>
        </w:rPr>
        <w:t>Haizhou</w:t>
      </w:r>
      <w:proofErr w:type="spellEnd"/>
      <w:r>
        <w:rPr>
          <w:rFonts w:ascii="Times New Roman" w:hAnsi="Times New Roman"/>
          <w:sz w:val="24"/>
          <w:szCs w:val="24"/>
          <w:lang w:bidi="ar"/>
        </w:rPr>
        <w:t>, Lianyungang 222005, China</w:t>
      </w:r>
    </w:p>
    <w:p w14:paraId="37B9C53F" w14:textId="77777777" w:rsidR="0011262F" w:rsidRDefault="00000000">
      <w:pPr>
        <w:spacing w:line="480" w:lineRule="auto"/>
        <w:rPr>
          <w:rFonts w:ascii="Times New Roman" w:hAnsi="Times New Roman"/>
          <w:sz w:val="24"/>
          <w:szCs w:val="24"/>
          <w:lang w:bidi="ar"/>
        </w:rPr>
      </w:pPr>
      <w:r>
        <w:rPr>
          <w:rFonts w:ascii="Times New Roman" w:hAnsi="Times New Roman"/>
          <w:sz w:val="24"/>
          <w:szCs w:val="24"/>
          <w:vertAlign w:val="superscript"/>
          <w:lang w:bidi="ar"/>
        </w:rPr>
        <w:t>b</w:t>
      </w:r>
      <w:r>
        <w:rPr>
          <w:rFonts w:ascii="Times New Roman" w:hAnsi="Times New Roman"/>
          <w:sz w:val="24"/>
          <w:szCs w:val="24"/>
          <w:lang w:bidi="ar"/>
        </w:rPr>
        <w:t xml:space="preserve"> State Key Laboratory of Genetic Engineering, MOE Engineering Research Centre of Gene Technology, School of Life Sciences, Fudan University, Shanghai 200438, China</w:t>
      </w:r>
    </w:p>
    <w:p w14:paraId="6CD0E05E" w14:textId="77777777" w:rsidR="0011262F" w:rsidRDefault="00000000">
      <w:pPr>
        <w:spacing w:line="480" w:lineRule="auto"/>
        <w:rPr>
          <w:rFonts w:ascii="Times New Roman" w:hAnsi="Times New Roman"/>
          <w:sz w:val="24"/>
          <w:szCs w:val="24"/>
          <w:lang w:bidi="ar"/>
        </w:rPr>
      </w:pPr>
      <w:r>
        <w:rPr>
          <w:rFonts w:ascii="Times New Roman" w:hAnsi="Times New Roman"/>
          <w:sz w:val="24"/>
          <w:szCs w:val="24"/>
          <w:vertAlign w:val="superscript"/>
          <w:lang w:bidi="ar"/>
        </w:rPr>
        <w:t>c</w:t>
      </w:r>
      <w:r>
        <w:rPr>
          <w:rFonts w:ascii="Times New Roman" w:hAnsi="Times New Roman"/>
          <w:sz w:val="24"/>
          <w:szCs w:val="24"/>
          <w:lang w:bidi="ar"/>
        </w:rPr>
        <w:t xml:space="preserve"> Jiangsu Institute of Marine Resources Development, 59 </w:t>
      </w:r>
      <w:proofErr w:type="spellStart"/>
      <w:r>
        <w:rPr>
          <w:rFonts w:ascii="Times New Roman" w:hAnsi="Times New Roman"/>
          <w:sz w:val="24"/>
          <w:szCs w:val="24"/>
          <w:lang w:bidi="ar"/>
        </w:rPr>
        <w:t>Cangwu</w:t>
      </w:r>
      <w:proofErr w:type="spellEnd"/>
      <w:r>
        <w:rPr>
          <w:rFonts w:ascii="Times New Roman" w:hAnsi="Times New Roman"/>
          <w:sz w:val="24"/>
          <w:szCs w:val="24"/>
          <w:lang w:bidi="ar"/>
        </w:rPr>
        <w:t xml:space="preserve"> Road, </w:t>
      </w:r>
      <w:proofErr w:type="spellStart"/>
      <w:r>
        <w:rPr>
          <w:rFonts w:ascii="Times New Roman" w:hAnsi="Times New Roman"/>
          <w:sz w:val="24"/>
          <w:szCs w:val="24"/>
          <w:lang w:bidi="ar"/>
        </w:rPr>
        <w:t>Haizhou</w:t>
      </w:r>
      <w:proofErr w:type="spellEnd"/>
      <w:r>
        <w:rPr>
          <w:rFonts w:ascii="Times New Roman" w:hAnsi="Times New Roman"/>
          <w:sz w:val="24"/>
          <w:szCs w:val="24"/>
          <w:lang w:bidi="ar"/>
        </w:rPr>
        <w:t>, Lianyungang 222005, China</w:t>
      </w:r>
    </w:p>
    <w:p w14:paraId="243C783A" w14:textId="77777777" w:rsidR="0011262F" w:rsidRDefault="00000000">
      <w:pPr>
        <w:spacing w:line="480" w:lineRule="auto"/>
        <w:rPr>
          <w:rFonts w:ascii="Times New Roman" w:hAnsi="Times New Roman"/>
          <w:sz w:val="24"/>
          <w:szCs w:val="24"/>
          <w:lang w:bidi="ar"/>
        </w:rPr>
      </w:pPr>
      <w:r>
        <w:rPr>
          <w:rFonts w:ascii="Times New Roman" w:hAnsi="Times New Roman"/>
          <w:sz w:val="24"/>
          <w:szCs w:val="24"/>
          <w:vertAlign w:val="superscript"/>
          <w:lang w:bidi="ar"/>
        </w:rPr>
        <w:t>d</w:t>
      </w:r>
      <w:r>
        <w:rPr>
          <w:rFonts w:ascii="Times New Roman" w:hAnsi="Times New Roman"/>
          <w:sz w:val="24"/>
          <w:szCs w:val="24"/>
          <w:lang w:bidi="ar"/>
        </w:rPr>
        <w:t xml:space="preserve"> Nanjing </w:t>
      </w:r>
      <w:proofErr w:type="spellStart"/>
      <w:r>
        <w:rPr>
          <w:rFonts w:ascii="Times New Roman" w:hAnsi="Times New Roman"/>
          <w:sz w:val="24"/>
          <w:szCs w:val="24"/>
          <w:lang w:bidi="ar"/>
        </w:rPr>
        <w:t>Baichai</w:t>
      </w:r>
      <w:proofErr w:type="spellEnd"/>
      <w:r>
        <w:rPr>
          <w:rFonts w:ascii="Times New Roman" w:hAnsi="Times New Roman"/>
          <w:sz w:val="24"/>
          <w:szCs w:val="24"/>
          <w:lang w:bidi="ar"/>
        </w:rPr>
        <w:t xml:space="preserve"> Biotechnology Co., Ltd., Nanjing 211100, China</w:t>
      </w:r>
    </w:p>
    <w:p w14:paraId="3EDD0922" w14:textId="77777777" w:rsidR="0011262F" w:rsidRDefault="00000000">
      <w:pPr>
        <w:spacing w:line="480" w:lineRule="auto"/>
        <w:rPr>
          <w:rFonts w:ascii="Times New Roman" w:hAnsi="Times New Roman"/>
          <w:sz w:val="24"/>
          <w:szCs w:val="24"/>
          <w:lang w:bidi="ar"/>
        </w:rPr>
      </w:pPr>
      <w:r>
        <w:rPr>
          <w:rFonts w:ascii="Times New Roman" w:hAnsi="Times New Roman"/>
          <w:sz w:val="24"/>
          <w:szCs w:val="24"/>
          <w:lang w:bidi="ar"/>
        </w:rPr>
        <w:t>*Corresponding author. Tel: +86-518-85895920; Fax: +86-518-85895920;</w:t>
      </w:r>
      <w:r>
        <w:rPr>
          <w:rFonts w:ascii="Times New Roman" w:hAnsi="Times New Roman" w:hint="eastAsia"/>
          <w:sz w:val="24"/>
          <w:szCs w:val="24"/>
          <w:lang w:bidi="ar"/>
        </w:rPr>
        <w:t xml:space="preserve"> </w:t>
      </w:r>
      <w:r>
        <w:rPr>
          <w:rFonts w:ascii="Times New Roman" w:hAnsi="Times New Roman"/>
          <w:sz w:val="24"/>
          <w:szCs w:val="24"/>
          <w:lang w:bidi="ar"/>
        </w:rPr>
        <w:t xml:space="preserve">E-mail: </w:t>
      </w:r>
      <w:hyperlink r:id="rId7" w:history="1">
        <w:r w:rsidR="0011262F">
          <w:rPr>
            <w:rStyle w:val="af3"/>
            <w:rFonts w:ascii="Times New Roman" w:hAnsi="Times New Roman"/>
            <w:sz w:val="24"/>
            <w:szCs w:val="24"/>
            <w:lang w:bidi="ar"/>
          </w:rPr>
          <w:t>chenjinri@jou.edu.cn</w:t>
        </w:r>
      </w:hyperlink>
      <w:r>
        <w:rPr>
          <w:rFonts w:ascii="Times New Roman" w:hAnsi="Times New Roman"/>
          <w:sz w:val="24"/>
          <w:szCs w:val="24"/>
          <w:u w:val="single"/>
          <w:lang w:bidi="ar"/>
        </w:rPr>
        <w:t xml:space="preserve"> </w:t>
      </w:r>
      <w:r>
        <w:rPr>
          <w:rFonts w:ascii="Times New Roman" w:hAnsi="Times New Roman"/>
          <w:sz w:val="24"/>
          <w:szCs w:val="24"/>
          <w:lang w:bidi="ar"/>
        </w:rPr>
        <w:t xml:space="preserve">(J. </w:t>
      </w:r>
      <w:r>
        <w:rPr>
          <w:rFonts w:ascii="Times New Roman" w:hAnsi="Times New Roman" w:hint="eastAsia"/>
          <w:sz w:val="24"/>
          <w:szCs w:val="24"/>
          <w:lang w:bidi="ar"/>
        </w:rPr>
        <w:t>Chen</w:t>
      </w:r>
      <w:r>
        <w:rPr>
          <w:rFonts w:ascii="Times New Roman" w:hAnsi="Times New Roman"/>
          <w:sz w:val="24"/>
          <w:szCs w:val="24"/>
          <w:lang w:bidi="ar"/>
        </w:rPr>
        <w:t>).</w:t>
      </w:r>
    </w:p>
    <w:p w14:paraId="40B442CE" w14:textId="77777777" w:rsidR="0011262F" w:rsidRDefault="00000000">
      <w:pPr>
        <w:widowControl/>
        <w:jc w:val="left"/>
        <w:rPr>
          <w:rFonts w:ascii="Times New Roman" w:hAnsi="Times New Roman"/>
          <w:b/>
          <w:bCs/>
          <w:sz w:val="24"/>
          <w:szCs w:val="24"/>
        </w:rPr>
      </w:pPr>
      <w:r>
        <w:rPr>
          <w:rFonts w:ascii="Times New Roman" w:hAnsi="Times New Roman" w:hint="eastAsia"/>
          <w:sz w:val="24"/>
          <w:szCs w:val="24"/>
          <w:vertAlign w:val="superscript"/>
          <w:lang w:bidi="ar"/>
        </w:rPr>
        <w:t xml:space="preserve">1 </w:t>
      </w:r>
      <w:r>
        <w:rPr>
          <w:rFonts w:ascii="Times New Roman" w:hAnsi="Times New Roman" w:hint="eastAsia"/>
          <w:sz w:val="24"/>
          <w:szCs w:val="24"/>
          <w:lang w:bidi="ar"/>
        </w:rPr>
        <w:t>These authors contribute equally</w:t>
      </w:r>
      <w:r>
        <w:rPr>
          <w:rFonts w:ascii="Times New Roman" w:hAnsi="Times New Roman" w:hint="eastAsia"/>
          <w:b/>
          <w:bCs/>
          <w:sz w:val="24"/>
          <w:szCs w:val="24"/>
        </w:rPr>
        <w:t xml:space="preserve"> </w:t>
      </w:r>
    </w:p>
    <w:p w14:paraId="5E73B06D" w14:textId="77777777" w:rsidR="0011262F" w:rsidRDefault="00000000">
      <w:pPr>
        <w:widowControl/>
        <w:jc w:val="left"/>
        <w:rPr>
          <w:rFonts w:ascii="Times New Roman" w:hAnsi="Times New Roman"/>
          <w:b/>
          <w:bCs/>
          <w:sz w:val="24"/>
          <w:szCs w:val="24"/>
        </w:rPr>
      </w:pPr>
      <w:r>
        <w:rPr>
          <w:rFonts w:ascii="Times New Roman" w:hAnsi="Times New Roman"/>
          <w:b/>
          <w:bCs/>
          <w:sz w:val="24"/>
          <w:szCs w:val="24"/>
        </w:rPr>
        <w:br w:type="page"/>
      </w:r>
    </w:p>
    <w:p w14:paraId="17442C67" w14:textId="77777777" w:rsidR="0011262F" w:rsidRDefault="00000000">
      <w:pPr>
        <w:spacing w:line="480" w:lineRule="auto"/>
        <w:rPr>
          <w:rFonts w:ascii="Times New Roman" w:hAnsi="Times New Roman"/>
          <w:b/>
          <w:sz w:val="28"/>
          <w:szCs w:val="28"/>
        </w:rPr>
      </w:pPr>
      <w:bookmarkStart w:id="1" w:name="_Hlk233455331"/>
      <w:r>
        <w:rPr>
          <w:rFonts w:ascii="Times New Roman" w:hAnsi="Times New Roman" w:hint="eastAsia"/>
          <w:b/>
          <w:sz w:val="28"/>
          <w:szCs w:val="28"/>
        </w:rPr>
        <w:lastRenderedPageBreak/>
        <w:t>Experimental</w:t>
      </w:r>
      <w:bookmarkEnd w:id="1"/>
    </w:p>
    <w:p w14:paraId="2D6826FD" w14:textId="77777777" w:rsidR="0011262F" w:rsidRDefault="00000000">
      <w:pPr>
        <w:spacing w:line="480" w:lineRule="auto"/>
        <w:rPr>
          <w:rFonts w:ascii="Times New Roman" w:eastAsia="宋体" w:hAnsi="Times New Roman"/>
          <w:b/>
          <w:bCs/>
          <w:iCs/>
          <w:color w:val="000000" w:themeColor="text1"/>
          <w:kern w:val="0"/>
          <w:sz w:val="24"/>
          <w:szCs w:val="24"/>
        </w:rPr>
      </w:pPr>
      <w:r>
        <w:rPr>
          <w:rFonts w:ascii="Times New Roman" w:eastAsia="宋体" w:hAnsi="Times New Roman" w:hint="eastAsia"/>
          <w:b/>
          <w:bCs/>
          <w:iCs/>
          <w:color w:val="000000" w:themeColor="text1"/>
          <w:kern w:val="0"/>
          <w:sz w:val="24"/>
          <w:szCs w:val="24"/>
        </w:rPr>
        <w:t>Materials and reagents</w:t>
      </w:r>
    </w:p>
    <w:p w14:paraId="0FAC7AE6" w14:textId="77777777" w:rsidR="0011262F" w:rsidRDefault="00000000">
      <w:pPr>
        <w:spacing w:line="480" w:lineRule="auto"/>
        <w:ind w:firstLineChars="200" w:firstLine="480"/>
        <w:rPr>
          <w:rFonts w:ascii="Times New Roman" w:eastAsia="宋体" w:hAnsi="Times New Roman"/>
          <w:color w:val="000000" w:themeColor="text1"/>
          <w:sz w:val="24"/>
          <w:szCs w:val="24"/>
        </w:rPr>
      </w:pPr>
      <w:r>
        <w:rPr>
          <w:rFonts w:ascii="Times New Roman" w:eastAsia="宋体" w:hAnsi="Times New Roman"/>
          <w:color w:val="000000" w:themeColor="text1"/>
          <w:sz w:val="24"/>
          <w:szCs w:val="24"/>
        </w:rPr>
        <w:t>Mercuric nitrate (</w:t>
      </w:r>
      <w:proofErr w:type="gramStart"/>
      <w:r>
        <w:rPr>
          <w:rFonts w:ascii="Times New Roman" w:eastAsia="宋体" w:hAnsi="Times New Roman"/>
          <w:color w:val="000000" w:themeColor="text1"/>
          <w:sz w:val="24"/>
          <w:szCs w:val="24"/>
        </w:rPr>
        <w:t>Hg(</w:t>
      </w:r>
      <w:proofErr w:type="gramEnd"/>
      <w:r>
        <w:rPr>
          <w:rFonts w:ascii="Times New Roman" w:eastAsia="宋体" w:hAnsi="Times New Roman"/>
          <w:color w:val="000000" w:themeColor="text1"/>
          <w:sz w:val="24"/>
          <w:szCs w:val="24"/>
        </w:rPr>
        <w:t>NO</w:t>
      </w:r>
      <w:r>
        <w:rPr>
          <w:rFonts w:ascii="Times New Roman" w:eastAsia="宋体" w:hAnsi="Times New Roman"/>
          <w:color w:val="000000" w:themeColor="text1"/>
          <w:sz w:val="24"/>
          <w:szCs w:val="24"/>
          <w:vertAlign w:val="subscript"/>
        </w:rPr>
        <w:t>3</w:t>
      </w:r>
      <w:r>
        <w:rPr>
          <w:rFonts w:ascii="Times New Roman" w:eastAsia="宋体" w:hAnsi="Times New Roman"/>
          <w:color w:val="000000" w:themeColor="text1"/>
          <w:sz w:val="24"/>
          <w:szCs w:val="24"/>
        </w:rPr>
        <w:t>)</w:t>
      </w:r>
      <w:r>
        <w:rPr>
          <w:rFonts w:ascii="Times New Roman" w:eastAsia="宋体" w:hAnsi="Times New Roman"/>
          <w:color w:val="000000" w:themeColor="text1"/>
          <w:sz w:val="24"/>
          <w:szCs w:val="24"/>
          <w:vertAlign w:val="subscript"/>
        </w:rPr>
        <w:t>2</w:t>
      </w:r>
      <w:r>
        <w:rPr>
          <w:rFonts w:ascii="Times New Roman" w:eastAsia="宋体" w:hAnsi="Times New Roman"/>
          <w:color w:val="000000" w:themeColor="text1"/>
          <w:sz w:val="24"/>
          <w:szCs w:val="24"/>
        </w:rPr>
        <w:t>), 1,3,5-tris(4-aminophenyl) benzene (TPB), p-benzoquinone (</w:t>
      </w:r>
      <w:r>
        <w:rPr>
          <w:rFonts w:ascii="Times New Roman" w:eastAsia="宋体" w:hAnsi="Times New Roman"/>
          <w:i/>
          <w:iCs/>
          <w:color w:val="000000" w:themeColor="text1"/>
          <w:sz w:val="24"/>
          <w:szCs w:val="24"/>
        </w:rPr>
        <w:t>p</w:t>
      </w:r>
      <w:r>
        <w:rPr>
          <w:rFonts w:ascii="Times New Roman" w:eastAsia="宋体" w:hAnsi="Times New Roman"/>
          <w:color w:val="000000" w:themeColor="text1"/>
          <w:sz w:val="24"/>
          <w:szCs w:val="24"/>
        </w:rPr>
        <w:t>-BQ), 2,5-divinylterephthalaldehyde (DVA), polyvinylpyrrolidone (PVP), dimethyl sulfoxide (DMSO), tetrahydrofuran (THF), L-histidine, and TMB were got from Shanghai Aladdin Reagent Co., Ltd. (Shanghai, China). Silver nitrate (AgNO</w:t>
      </w:r>
      <w:r>
        <w:rPr>
          <w:rFonts w:ascii="Times New Roman" w:eastAsia="宋体" w:hAnsi="Times New Roman"/>
          <w:color w:val="000000" w:themeColor="text1"/>
          <w:sz w:val="24"/>
          <w:szCs w:val="24"/>
          <w:vertAlign w:val="subscript"/>
        </w:rPr>
        <w:t>3</w:t>
      </w:r>
      <w:r>
        <w:rPr>
          <w:rFonts w:ascii="Times New Roman" w:eastAsia="宋体" w:hAnsi="Times New Roman"/>
          <w:color w:val="000000" w:themeColor="text1"/>
          <w:sz w:val="24"/>
          <w:szCs w:val="24"/>
        </w:rPr>
        <w:t>), acetonitrile (ACN), acetic acid (</w:t>
      </w:r>
      <w:proofErr w:type="spellStart"/>
      <w:r>
        <w:rPr>
          <w:rFonts w:ascii="Times New Roman" w:eastAsia="宋体" w:hAnsi="Times New Roman"/>
          <w:color w:val="000000" w:themeColor="text1"/>
          <w:sz w:val="24"/>
          <w:szCs w:val="24"/>
        </w:rPr>
        <w:t>HAc</w:t>
      </w:r>
      <w:proofErr w:type="spellEnd"/>
      <w:r>
        <w:rPr>
          <w:rFonts w:ascii="Times New Roman" w:eastAsia="宋体" w:hAnsi="Times New Roman"/>
          <w:color w:val="000000" w:themeColor="text1"/>
          <w:sz w:val="24"/>
          <w:szCs w:val="24"/>
        </w:rPr>
        <w:t>), anhydrous ethanol, glucose, sodium citrate, sodium acetate, isopropyl alcohol, and various metal salts (including K</w:t>
      </w:r>
      <w:r>
        <w:rPr>
          <w:rFonts w:ascii="Times New Roman" w:eastAsia="宋体" w:hAnsi="Times New Roman"/>
          <w:color w:val="000000" w:themeColor="text1"/>
          <w:sz w:val="24"/>
          <w:szCs w:val="24"/>
          <w:vertAlign w:val="subscript"/>
        </w:rPr>
        <w:t>2</w:t>
      </w:r>
      <w:r>
        <w:rPr>
          <w:rFonts w:ascii="Times New Roman" w:eastAsia="宋体" w:hAnsi="Times New Roman"/>
          <w:color w:val="000000" w:themeColor="text1"/>
          <w:sz w:val="24"/>
          <w:szCs w:val="24"/>
        </w:rPr>
        <w:t>SO</w:t>
      </w:r>
      <w:r>
        <w:rPr>
          <w:rFonts w:ascii="Times New Roman" w:eastAsia="宋体" w:hAnsi="Times New Roman"/>
          <w:color w:val="000000" w:themeColor="text1"/>
          <w:sz w:val="24"/>
          <w:szCs w:val="24"/>
          <w:vertAlign w:val="subscript"/>
        </w:rPr>
        <w:t>4</w:t>
      </w:r>
      <w:r>
        <w:rPr>
          <w:rFonts w:ascii="Times New Roman" w:eastAsia="宋体" w:hAnsi="Times New Roman"/>
          <w:color w:val="000000" w:themeColor="text1"/>
          <w:sz w:val="24"/>
          <w:szCs w:val="24"/>
        </w:rPr>
        <w:t>, NaNO</w:t>
      </w:r>
      <w:r>
        <w:rPr>
          <w:rFonts w:ascii="Times New Roman" w:eastAsia="宋体" w:hAnsi="Times New Roman"/>
          <w:color w:val="000000" w:themeColor="text1"/>
          <w:sz w:val="24"/>
          <w:szCs w:val="24"/>
          <w:vertAlign w:val="subscript"/>
        </w:rPr>
        <w:t>3</w:t>
      </w:r>
      <w:r>
        <w:rPr>
          <w:rFonts w:ascii="Times New Roman" w:eastAsia="宋体" w:hAnsi="Times New Roman"/>
          <w:color w:val="000000" w:themeColor="text1"/>
          <w:sz w:val="24"/>
          <w:szCs w:val="24"/>
        </w:rPr>
        <w:t>, KH</w:t>
      </w:r>
      <w:r>
        <w:rPr>
          <w:rFonts w:ascii="Times New Roman" w:eastAsia="宋体" w:hAnsi="Times New Roman"/>
          <w:color w:val="000000" w:themeColor="text1"/>
          <w:sz w:val="24"/>
          <w:szCs w:val="24"/>
          <w:vertAlign w:val="subscript"/>
        </w:rPr>
        <w:t>2</w:t>
      </w:r>
      <w:r>
        <w:rPr>
          <w:rFonts w:ascii="Times New Roman" w:eastAsia="宋体" w:hAnsi="Times New Roman"/>
          <w:color w:val="000000" w:themeColor="text1"/>
          <w:sz w:val="24"/>
          <w:szCs w:val="24"/>
        </w:rPr>
        <w:t>PO</w:t>
      </w:r>
      <w:r>
        <w:rPr>
          <w:rFonts w:ascii="Times New Roman" w:eastAsia="宋体" w:hAnsi="Times New Roman"/>
          <w:color w:val="000000" w:themeColor="text1"/>
          <w:sz w:val="24"/>
          <w:szCs w:val="24"/>
          <w:vertAlign w:val="subscript"/>
        </w:rPr>
        <w:t>4</w:t>
      </w:r>
      <w:r>
        <w:rPr>
          <w:rFonts w:ascii="Times New Roman" w:eastAsia="宋体" w:hAnsi="Times New Roman"/>
          <w:color w:val="000000" w:themeColor="text1"/>
          <w:sz w:val="24"/>
          <w:szCs w:val="24"/>
        </w:rPr>
        <w:t>, MgSO</w:t>
      </w:r>
      <w:r>
        <w:rPr>
          <w:rFonts w:ascii="Times New Roman" w:eastAsia="宋体" w:hAnsi="Times New Roman"/>
          <w:color w:val="000000" w:themeColor="text1"/>
          <w:sz w:val="24"/>
          <w:szCs w:val="24"/>
          <w:vertAlign w:val="subscript"/>
        </w:rPr>
        <w:t>4</w:t>
      </w:r>
      <w:r>
        <w:rPr>
          <w:rFonts w:ascii="Times New Roman" w:eastAsia="宋体" w:hAnsi="Times New Roman"/>
          <w:color w:val="000000" w:themeColor="text1"/>
          <w:sz w:val="24"/>
          <w:szCs w:val="24"/>
        </w:rPr>
        <w:t>·7H</w:t>
      </w:r>
      <w:r>
        <w:rPr>
          <w:rFonts w:ascii="Times New Roman" w:eastAsia="宋体" w:hAnsi="Times New Roman"/>
          <w:color w:val="000000" w:themeColor="text1"/>
          <w:sz w:val="24"/>
          <w:szCs w:val="24"/>
          <w:vertAlign w:val="subscript"/>
        </w:rPr>
        <w:t>2</w:t>
      </w:r>
      <w:r>
        <w:rPr>
          <w:rFonts w:ascii="Times New Roman" w:eastAsia="宋体" w:hAnsi="Times New Roman"/>
          <w:color w:val="000000" w:themeColor="text1"/>
          <w:sz w:val="24"/>
          <w:szCs w:val="24"/>
        </w:rPr>
        <w:t xml:space="preserve">O, </w:t>
      </w:r>
      <w:proofErr w:type="spellStart"/>
      <w:r>
        <w:rPr>
          <w:rFonts w:ascii="Times New Roman" w:eastAsia="宋体" w:hAnsi="Times New Roman"/>
          <w:color w:val="000000" w:themeColor="text1"/>
          <w:sz w:val="24"/>
          <w:szCs w:val="24"/>
        </w:rPr>
        <w:t>KCr</w:t>
      </w:r>
      <w:proofErr w:type="spellEnd"/>
      <w:r>
        <w:rPr>
          <w:rFonts w:ascii="Times New Roman" w:eastAsia="宋体" w:hAnsi="Times New Roman"/>
          <w:color w:val="000000" w:themeColor="text1"/>
          <w:sz w:val="24"/>
          <w:szCs w:val="24"/>
        </w:rPr>
        <w:t>(SO</w:t>
      </w:r>
      <w:r>
        <w:rPr>
          <w:rFonts w:ascii="Times New Roman" w:eastAsia="宋体" w:hAnsi="Times New Roman"/>
          <w:color w:val="000000" w:themeColor="text1"/>
          <w:sz w:val="24"/>
          <w:szCs w:val="24"/>
          <w:vertAlign w:val="subscript"/>
        </w:rPr>
        <w:t>4</w:t>
      </w:r>
      <w:r>
        <w:rPr>
          <w:rFonts w:ascii="Times New Roman" w:eastAsia="宋体" w:hAnsi="Times New Roman"/>
          <w:color w:val="000000" w:themeColor="text1"/>
          <w:sz w:val="24"/>
          <w:szCs w:val="24"/>
        </w:rPr>
        <w:t>)</w:t>
      </w:r>
      <w:r>
        <w:rPr>
          <w:rFonts w:ascii="Times New Roman" w:eastAsia="宋体" w:hAnsi="Times New Roman"/>
          <w:color w:val="000000" w:themeColor="text1"/>
          <w:sz w:val="24"/>
          <w:szCs w:val="24"/>
          <w:vertAlign w:val="subscript"/>
        </w:rPr>
        <w:t>2</w:t>
      </w:r>
      <w:r>
        <w:rPr>
          <w:rFonts w:ascii="Times New Roman" w:eastAsia="宋体" w:hAnsi="Times New Roman"/>
          <w:color w:val="000000" w:themeColor="text1"/>
          <w:sz w:val="24"/>
          <w:szCs w:val="24"/>
        </w:rPr>
        <w:t>·12H</w:t>
      </w:r>
      <w:r>
        <w:rPr>
          <w:rFonts w:ascii="Times New Roman" w:eastAsia="宋体" w:hAnsi="Times New Roman"/>
          <w:color w:val="000000" w:themeColor="text1"/>
          <w:sz w:val="24"/>
          <w:szCs w:val="24"/>
          <w:vertAlign w:val="subscript"/>
        </w:rPr>
        <w:t>2</w:t>
      </w:r>
      <w:r>
        <w:rPr>
          <w:rFonts w:ascii="Times New Roman" w:eastAsia="宋体" w:hAnsi="Times New Roman"/>
          <w:color w:val="000000" w:themeColor="text1"/>
          <w:sz w:val="24"/>
          <w:szCs w:val="24"/>
        </w:rPr>
        <w:t xml:space="preserve">O, </w:t>
      </w:r>
      <w:proofErr w:type="spellStart"/>
      <w:r>
        <w:rPr>
          <w:rFonts w:ascii="Times New Roman" w:eastAsia="宋体" w:hAnsi="Times New Roman"/>
          <w:color w:val="000000" w:themeColor="text1"/>
          <w:sz w:val="24"/>
          <w:szCs w:val="24"/>
        </w:rPr>
        <w:t>KAl</w:t>
      </w:r>
      <w:proofErr w:type="spellEnd"/>
      <w:r>
        <w:rPr>
          <w:rFonts w:ascii="Times New Roman" w:eastAsia="宋体" w:hAnsi="Times New Roman"/>
          <w:color w:val="000000" w:themeColor="text1"/>
          <w:sz w:val="24"/>
          <w:szCs w:val="24"/>
        </w:rPr>
        <w:t>(SO</w:t>
      </w:r>
      <w:r>
        <w:rPr>
          <w:rFonts w:ascii="Times New Roman" w:eastAsia="宋体" w:hAnsi="Times New Roman"/>
          <w:color w:val="000000" w:themeColor="text1"/>
          <w:sz w:val="24"/>
          <w:szCs w:val="24"/>
          <w:vertAlign w:val="subscript"/>
        </w:rPr>
        <w:t>4</w:t>
      </w:r>
      <w:r>
        <w:rPr>
          <w:rFonts w:ascii="Times New Roman" w:eastAsia="宋体" w:hAnsi="Times New Roman"/>
          <w:color w:val="000000" w:themeColor="text1"/>
          <w:sz w:val="24"/>
          <w:szCs w:val="24"/>
        </w:rPr>
        <w:t>)</w:t>
      </w:r>
      <w:r>
        <w:rPr>
          <w:rFonts w:ascii="Times New Roman" w:eastAsia="宋体" w:hAnsi="Times New Roman"/>
          <w:color w:val="000000" w:themeColor="text1"/>
          <w:sz w:val="24"/>
          <w:szCs w:val="24"/>
          <w:vertAlign w:val="subscript"/>
        </w:rPr>
        <w:t>2</w:t>
      </w:r>
      <w:r>
        <w:rPr>
          <w:rFonts w:ascii="Times New Roman" w:eastAsia="宋体" w:hAnsi="Times New Roman"/>
          <w:color w:val="000000" w:themeColor="text1"/>
          <w:sz w:val="24"/>
          <w:szCs w:val="24"/>
        </w:rPr>
        <w:t>·12H</w:t>
      </w:r>
      <w:r>
        <w:rPr>
          <w:rFonts w:ascii="Times New Roman" w:eastAsia="宋体" w:hAnsi="Times New Roman"/>
          <w:color w:val="000000" w:themeColor="text1"/>
          <w:sz w:val="24"/>
          <w:szCs w:val="24"/>
          <w:vertAlign w:val="subscript"/>
        </w:rPr>
        <w:t>2</w:t>
      </w:r>
      <w:r>
        <w:rPr>
          <w:rFonts w:ascii="Times New Roman" w:eastAsia="宋体" w:hAnsi="Times New Roman"/>
          <w:color w:val="000000" w:themeColor="text1"/>
          <w:sz w:val="24"/>
          <w:szCs w:val="24"/>
        </w:rPr>
        <w:t>O, CaCl</w:t>
      </w:r>
      <w:r>
        <w:rPr>
          <w:rFonts w:ascii="Times New Roman" w:eastAsia="宋体" w:hAnsi="Times New Roman"/>
          <w:color w:val="000000" w:themeColor="text1"/>
          <w:sz w:val="24"/>
          <w:szCs w:val="24"/>
          <w:vertAlign w:val="subscript"/>
        </w:rPr>
        <w:t>2</w:t>
      </w:r>
      <w:r>
        <w:rPr>
          <w:rFonts w:ascii="Times New Roman" w:eastAsia="宋体" w:hAnsi="Times New Roman"/>
          <w:color w:val="000000" w:themeColor="text1"/>
          <w:sz w:val="24"/>
          <w:szCs w:val="24"/>
        </w:rPr>
        <w:t>·2H</w:t>
      </w:r>
      <w:r>
        <w:rPr>
          <w:rFonts w:ascii="Times New Roman" w:eastAsia="宋体" w:hAnsi="Times New Roman"/>
          <w:color w:val="000000" w:themeColor="text1"/>
          <w:sz w:val="24"/>
          <w:szCs w:val="24"/>
          <w:vertAlign w:val="subscript"/>
        </w:rPr>
        <w:t>2</w:t>
      </w:r>
      <w:r>
        <w:rPr>
          <w:rFonts w:ascii="Times New Roman" w:eastAsia="宋体" w:hAnsi="Times New Roman"/>
          <w:color w:val="000000" w:themeColor="text1"/>
          <w:sz w:val="24"/>
          <w:szCs w:val="24"/>
        </w:rPr>
        <w:t>O, MnSO</w:t>
      </w:r>
      <w:r>
        <w:rPr>
          <w:rFonts w:ascii="Times New Roman" w:eastAsia="宋体" w:hAnsi="Times New Roman"/>
          <w:color w:val="000000" w:themeColor="text1"/>
          <w:sz w:val="24"/>
          <w:szCs w:val="24"/>
          <w:vertAlign w:val="subscript"/>
        </w:rPr>
        <w:t>4</w:t>
      </w:r>
      <w:r>
        <w:rPr>
          <w:rFonts w:ascii="Times New Roman" w:eastAsia="宋体" w:hAnsi="Times New Roman"/>
          <w:color w:val="000000" w:themeColor="text1"/>
          <w:sz w:val="24"/>
          <w:szCs w:val="24"/>
        </w:rPr>
        <w:t>, NH</w:t>
      </w:r>
      <w:r>
        <w:rPr>
          <w:rFonts w:ascii="Times New Roman" w:eastAsia="宋体" w:hAnsi="Times New Roman"/>
          <w:color w:val="000000" w:themeColor="text1"/>
          <w:sz w:val="24"/>
          <w:szCs w:val="24"/>
          <w:vertAlign w:val="subscript"/>
        </w:rPr>
        <w:t>4</w:t>
      </w:r>
      <w:r>
        <w:rPr>
          <w:rFonts w:ascii="Times New Roman" w:eastAsia="宋体" w:hAnsi="Times New Roman"/>
          <w:color w:val="000000" w:themeColor="text1"/>
          <w:sz w:val="24"/>
          <w:szCs w:val="24"/>
        </w:rPr>
        <w:t>Fe(SO</w:t>
      </w:r>
      <w:r>
        <w:rPr>
          <w:rFonts w:ascii="Times New Roman" w:eastAsia="宋体" w:hAnsi="Times New Roman"/>
          <w:color w:val="000000" w:themeColor="text1"/>
          <w:sz w:val="24"/>
          <w:szCs w:val="24"/>
          <w:vertAlign w:val="subscript"/>
        </w:rPr>
        <w:t>4</w:t>
      </w:r>
      <w:r>
        <w:rPr>
          <w:rFonts w:ascii="Times New Roman" w:eastAsia="宋体" w:hAnsi="Times New Roman"/>
          <w:color w:val="000000" w:themeColor="text1"/>
          <w:sz w:val="24"/>
          <w:szCs w:val="24"/>
        </w:rPr>
        <w:t>)</w:t>
      </w:r>
      <w:r>
        <w:rPr>
          <w:rFonts w:ascii="Times New Roman" w:eastAsia="宋体" w:hAnsi="Times New Roman"/>
          <w:color w:val="000000" w:themeColor="text1"/>
          <w:sz w:val="24"/>
          <w:szCs w:val="24"/>
          <w:vertAlign w:val="subscript"/>
        </w:rPr>
        <w:t>2</w:t>
      </w:r>
      <w:r>
        <w:rPr>
          <w:rFonts w:ascii="Times New Roman" w:eastAsia="宋体" w:hAnsi="Times New Roman"/>
          <w:color w:val="000000" w:themeColor="text1"/>
          <w:sz w:val="24"/>
          <w:szCs w:val="24"/>
        </w:rPr>
        <w:t>·12H</w:t>
      </w:r>
      <w:r>
        <w:rPr>
          <w:rFonts w:ascii="Times New Roman" w:eastAsia="宋体" w:hAnsi="Times New Roman"/>
          <w:color w:val="000000" w:themeColor="text1"/>
          <w:sz w:val="24"/>
          <w:szCs w:val="24"/>
          <w:vertAlign w:val="subscript"/>
        </w:rPr>
        <w:t>2</w:t>
      </w:r>
      <w:r>
        <w:rPr>
          <w:rFonts w:ascii="Times New Roman" w:eastAsia="宋体" w:hAnsi="Times New Roman"/>
          <w:color w:val="000000" w:themeColor="text1"/>
          <w:sz w:val="24"/>
          <w:szCs w:val="24"/>
        </w:rPr>
        <w:t>O, NiSO</w:t>
      </w:r>
      <w:r>
        <w:rPr>
          <w:rFonts w:ascii="Times New Roman" w:eastAsia="宋体" w:hAnsi="Times New Roman"/>
          <w:color w:val="000000" w:themeColor="text1"/>
          <w:sz w:val="24"/>
          <w:szCs w:val="24"/>
          <w:vertAlign w:val="subscript"/>
        </w:rPr>
        <w:t>4</w:t>
      </w:r>
      <w:r>
        <w:rPr>
          <w:rFonts w:ascii="Times New Roman" w:eastAsia="宋体" w:hAnsi="Times New Roman"/>
          <w:color w:val="000000" w:themeColor="text1"/>
          <w:sz w:val="24"/>
          <w:szCs w:val="24"/>
        </w:rPr>
        <w:t>·6H</w:t>
      </w:r>
      <w:r>
        <w:rPr>
          <w:rFonts w:ascii="Times New Roman" w:eastAsia="宋体" w:hAnsi="Times New Roman"/>
          <w:color w:val="000000" w:themeColor="text1"/>
          <w:sz w:val="24"/>
          <w:szCs w:val="24"/>
          <w:vertAlign w:val="subscript"/>
        </w:rPr>
        <w:t>2</w:t>
      </w:r>
      <w:r>
        <w:rPr>
          <w:rFonts w:ascii="Times New Roman" w:eastAsia="宋体" w:hAnsi="Times New Roman"/>
          <w:color w:val="000000" w:themeColor="text1"/>
          <w:sz w:val="24"/>
          <w:szCs w:val="24"/>
        </w:rPr>
        <w:t>O, CuSO</w:t>
      </w:r>
      <w:r>
        <w:rPr>
          <w:rFonts w:ascii="Times New Roman" w:eastAsia="宋体" w:hAnsi="Times New Roman"/>
          <w:color w:val="000000" w:themeColor="text1"/>
          <w:sz w:val="24"/>
          <w:szCs w:val="24"/>
          <w:vertAlign w:val="subscript"/>
        </w:rPr>
        <w:t>4</w:t>
      </w:r>
      <w:r>
        <w:rPr>
          <w:rFonts w:ascii="Times New Roman" w:eastAsia="宋体" w:hAnsi="Times New Roman"/>
          <w:color w:val="000000" w:themeColor="text1"/>
          <w:sz w:val="24"/>
          <w:szCs w:val="24"/>
        </w:rPr>
        <w:t>·5H</w:t>
      </w:r>
      <w:r>
        <w:rPr>
          <w:rFonts w:ascii="Times New Roman" w:eastAsia="宋体" w:hAnsi="Times New Roman"/>
          <w:color w:val="000000" w:themeColor="text1"/>
          <w:sz w:val="24"/>
          <w:szCs w:val="24"/>
          <w:vertAlign w:val="subscript"/>
        </w:rPr>
        <w:t>2</w:t>
      </w:r>
      <w:r>
        <w:rPr>
          <w:rFonts w:ascii="Times New Roman" w:eastAsia="宋体" w:hAnsi="Times New Roman"/>
          <w:color w:val="000000" w:themeColor="text1"/>
          <w:sz w:val="24"/>
          <w:szCs w:val="24"/>
        </w:rPr>
        <w:t>O, ZnSO</w:t>
      </w:r>
      <w:r>
        <w:rPr>
          <w:rFonts w:ascii="Times New Roman" w:eastAsia="宋体" w:hAnsi="Times New Roman"/>
          <w:color w:val="000000" w:themeColor="text1"/>
          <w:sz w:val="24"/>
          <w:szCs w:val="24"/>
          <w:vertAlign w:val="subscript"/>
        </w:rPr>
        <w:t>4</w:t>
      </w:r>
      <w:r>
        <w:rPr>
          <w:rFonts w:ascii="Times New Roman" w:eastAsia="宋体" w:hAnsi="Times New Roman"/>
          <w:color w:val="000000" w:themeColor="text1"/>
          <w:sz w:val="24"/>
          <w:szCs w:val="24"/>
        </w:rPr>
        <w:t>·7H</w:t>
      </w:r>
      <w:r>
        <w:rPr>
          <w:rFonts w:ascii="Times New Roman" w:eastAsia="宋体" w:hAnsi="Times New Roman"/>
          <w:color w:val="000000" w:themeColor="text1"/>
          <w:sz w:val="24"/>
          <w:szCs w:val="24"/>
          <w:vertAlign w:val="subscript"/>
        </w:rPr>
        <w:t>2</w:t>
      </w:r>
      <w:r>
        <w:rPr>
          <w:rFonts w:ascii="Times New Roman" w:eastAsia="宋体" w:hAnsi="Times New Roman"/>
          <w:color w:val="000000" w:themeColor="text1"/>
          <w:sz w:val="24"/>
          <w:szCs w:val="24"/>
        </w:rPr>
        <w:t>O, CdCl</w:t>
      </w:r>
      <w:r>
        <w:rPr>
          <w:rFonts w:ascii="Times New Roman" w:eastAsia="宋体" w:hAnsi="Times New Roman"/>
          <w:color w:val="000000" w:themeColor="text1"/>
          <w:sz w:val="24"/>
          <w:szCs w:val="24"/>
          <w:vertAlign w:val="subscript"/>
        </w:rPr>
        <w:t>2</w:t>
      </w:r>
      <w:r>
        <w:rPr>
          <w:rFonts w:ascii="Times New Roman" w:eastAsia="宋体" w:hAnsi="Times New Roman"/>
          <w:color w:val="000000" w:themeColor="text1"/>
          <w:sz w:val="24"/>
          <w:szCs w:val="24"/>
        </w:rPr>
        <w:t>, Pb(NO</w:t>
      </w:r>
      <w:r>
        <w:rPr>
          <w:rFonts w:ascii="Times New Roman" w:eastAsia="宋体" w:hAnsi="Times New Roman"/>
          <w:color w:val="000000" w:themeColor="text1"/>
          <w:sz w:val="24"/>
          <w:szCs w:val="24"/>
          <w:vertAlign w:val="subscript"/>
        </w:rPr>
        <w:t>3</w:t>
      </w:r>
      <w:r>
        <w:rPr>
          <w:rFonts w:ascii="Times New Roman" w:eastAsia="宋体" w:hAnsi="Times New Roman"/>
          <w:color w:val="000000" w:themeColor="text1"/>
          <w:sz w:val="24"/>
          <w:szCs w:val="24"/>
        </w:rPr>
        <w:t>)</w:t>
      </w:r>
      <w:r>
        <w:rPr>
          <w:rFonts w:ascii="Times New Roman" w:eastAsia="宋体" w:hAnsi="Times New Roman"/>
          <w:color w:val="000000" w:themeColor="text1"/>
          <w:sz w:val="24"/>
          <w:szCs w:val="24"/>
          <w:vertAlign w:val="subscript"/>
        </w:rPr>
        <w:t>2</w:t>
      </w:r>
      <w:r>
        <w:rPr>
          <w:rFonts w:ascii="Times New Roman" w:eastAsia="宋体" w:hAnsi="Times New Roman"/>
          <w:color w:val="000000" w:themeColor="text1"/>
          <w:sz w:val="24"/>
          <w:szCs w:val="24"/>
        </w:rPr>
        <w:t>) were sourced from Beijing Sinopharm Chemical Reagent Co., Ltd. (Beijing, China). All the chemical reagents are of analytical purity level.</w:t>
      </w:r>
    </w:p>
    <w:p w14:paraId="66F38BDD" w14:textId="77777777" w:rsidR="0011262F" w:rsidRDefault="00000000">
      <w:pPr>
        <w:rPr>
          <w:rFonts w:ascii="Times New Roman" w:eastAsia="宋体" w:hAnsi="Times New Roman"/>
          <w:color w:val="000000" w:themeColor="text1"/>
          <w:sz w:val="24"/>
          <w:szCs w:val="24"/>
        </w:rPr>
      </w:pPr>
      <w:r>
        <w:rPr>
          <w:rFonts w:ascii="Times New Roman" w:eastAsia="宋体" w:hAnsi="Times New Roman"/>
          <w:color w:val="000000" w:themeColor="text1"/>
          <w:sz w:val="24"/>
          <w:szCs w:val="24"/>
        </w:rPr>
        <w:br w:type="page"/>
      </w:r>
    </w:p>
    <w:p w14:paraId="284993F9" w14:textId="77777777" w:rsidR="0011262F" w:rsidRDefault="00000000">
      <w:pPr>
        <w:spacing w:line="480" w:lineRule="auto"/>
        <w:rPr>
          <w:rFonts w:ascii="Times New Roman" w:eastAsia="宋体" w:hAnsi="Times New Roman"/>
          <w:b/>
          <w:bCs/>
          <w:iCs/>
          <w:color w:val="000000" w:themeColor="text1"/>
          <w:kern w:val="0"/>
          <w:sz w:val="24"/>
          <w:szCs w:val="24"/>
        </w:rPr>
      </w:pPr>
      <w:r>
        <w:rPr>
          <w:rFonts w:ascii="Times New Roman" w:eastAsia="宋体" w:hAnsi="Times New Roman"/>
          <w:b/>
          <w:bCs/>
          <w:iCs/>
          <w:color w:val="000000" w:themeColor="text1"/>
          <w:kern w:val="0"/>
          <w:sz w:val="24"/>
          <w:szCs w:val="24"/>
        </w:rPr>
        <w:lastRenderedPageBreak/>
        <w:t>Instruments</w:t>
      </w:r>
    </w:p>
    <w:p w14:paraId="29BE8682" w14:textId="77777777" w:rsidR="0011262F" w:rsidRDefault="00000000">
      <w:pPr>
        <w:spacing w:line="480" w:lineRule="auto"/>
        <w:ind w:firstLineChars="200" w:firstLine="480"/>
        <w:rPr>
          <w:rFonts w:ascii="Times New Roman" w:eastAsia="宋体" w:hAnsi="Times New Roman"/>
          <w:color w:val="000000" w:themeColor="text1"/>
          <w:sz w:val="24"/>
          <w:szCs w:val="24"/>
        </w:rPr>
      </w:pPr>
      <w:r>
        <w:rPr>
          <w:rFonts w:ascii="Times New Roman" w:eastAsia="宋体" w:hAnsi="Times New Roman"/>
          <w:color w:val="000000" w:themeColor="text1"/>
          <w:sz w:val="24"/>
          <w:szCs w:val="24"/>
        </w:rPr>
        <w:t xml:space="preserve">The structure of the material was examined using a Japanese JEM-2100 Plus transmission electron microscope (TEM), a Germany Zeiss Sigma 300 scanning electron microscope (SEM), and a Japanese Rigaku </w:t>
      </w:r>
      <w:proofErr w:type="spellStart"/>
      <w:r>
        <w:rPr>
          <w:rFonts w:ascii="Times New Roman" w:eastAsia="宋体" w:hAnsi="Times New Roman"/>
          <w:color w:val="000000" w:themeColor="text1"/>
          <w:sz w:val="24"/>
          <w:szCs w:val="24"/>
        </w:rPr>
        <w:t>SmartLab</w:t>
      </w:r>
      <w:proofErr w:type="spellEnd"/>
      <w:r>
        <w:rPr>
          <w:rFonts w:ascii="Times New Roman" w:eastAsia="宋体" w:hAnsi="Times New Roman"/>
          <w:color w:val="000000" w:themeColor="text1"/>
          <w:sz w:val="24"/>
          <w:szCs w:val="24"/>
        </w:rPr>
        <w:t xml:space="preserve"> X-ray diffraction (XRD). The chemical composition, valence states of elements and functional groups of the material were determined using a K-Alpha X-ray photoelectron spectrometer (XPS) from </w:t>
      </w:r>
      <w:proofErr w:type="spellStart"/>
      <w:r>
        <w:rPr>
          <w:rFonts w:ascii="Times New Roman" w:eastAsia="宋体" w:hAnsi="Times New Roman"/>
          <w:color w:val="000000" w:themeColor="text1"/>
          <w:sz w:val="24"/>
          <w:szCs w:val="24"/>
        </w:rPr>
        <w:t>Thermo</w:t>
      </w:r>
      <w:proofErr w:type="spellEnd"/>
      <w:r>
        <w:rPr>
          <w:rFonts w:ascii="Times New Roman" w:eastAsia="宋体" w:hAnsi="Times New Roman"/>
          <w:color w:val="000000" w:themeColor="text1"/>
          <w:sz w:val="24"/>
          <w:szCs w:val="24"/>
        </w:rPr>
        <w:t xml:space="preserve"> Scientific of the USA and a Nicolet-iS10 Fourier Transform Infrared Spectrometer (FTIR) from the USA. Zeta potential of the material was measured using a </w:t>
      </w:r>
      <w:proofErr w:type="spellStart"/>
      <w:r>
        <w:rPr>
          <w:rFonts w:ascii="Times New Roman" w:eastAsia="宋体" w:hAnsi="Times New Roman"/>
          <w:color w:val="000000" w:themeColor="text1"/>
          <w:sz w:val="24"/>
          <w:szCs w:val="24"/>
        </w:rPr>
        <w:t>Zetasizer</w:t>
      </w:r>
      <w:proofErr w:type="spellEnd"/>
      <w:r>
        <w:rPr>
          <w:rFonts w:ascii="Times New Roman" w:eastAsia="宋体" w:hAnsi="Times New Roman"/>
          <w:color w:val="000000" w:themeColor="text1"/>
          <w:sz w:val="24"/>
          <w:szCs w:val="24"/>
        </w:rPr>
        <w:t xml:space="preserve"> Nano dynamic light scattering (DLS) instrument from the UK. Absorbance values of the material were recorded using a </w:t>
      </w:r>
      <w:proofErr w:type="spellStart"/>
      <w:r>
        <w:rPr>
          <w:rFonts w:ascii="Times New Roman" w:eastAsia="宋体" w:hAnsi="Times New Roman"/>
          <w:color w:val="000000" w:themeColor="text1"/>
          <w:sz w:val="24"/>
          <w:szCs w:val="24"/>
        </w:rPr>
        <w:t>Muktisjan</w:t>
      </w:r>
      <w:proofErr w:type="spellEnd"/>
      <w:r>
        <w:rPr>
          <w:rFonts w:ascii="Times New Roman" w:eastAsia="宋体" w:hAnsi="Times New Roman"/>
          <w:color w:val="000000" w:themeColor="text1"/>
          <w:sz w:val="24"/>
          <w:szCs w:val="24"/>
        </w:rPr>
        <w:t xml:space="preserve"> </w:t>
      </w:r>
      <w:proofErr w:type="spellStart"/>
      <w:r>
        <w:rPr>
          <w:rFonts w:ascii="Times New Roman" w:eastAsia="宋体" w:hAnsi="Times New Roman"/>
          <w:color w:val="000000" w:themeColor="text1"/>
          <w:sz w:val="24"/>
          <w:szCs w:val="24"/>
        </w:rPr>
        <w:t>SkyHigh</w:t>
      </w:r>
      <w:proofErr w:type="spellEnd"/>
      <w:r>
        <w:rPr>
          <w:rFonts w:ascii="Times New Roman" w:eastAsia="宋体" w:hAnsi="Times New Roman"/>
          <w:color w:val="000000" w:themeColor="text1"/>
          <w:sz w:val="24"/>
          <w:szCs w:val="24"/>
        </w:rPr>
        <w:t xml:space="preserve"> full-wavelength microplate reader from Singapore. </w:t>
      </w:r>
    </w:p>
    <w:p w14:paraId="0D3AF4E8" w14:textId="77777777" w:rsidR="0011262F" w:rsidRDefault="00000000">
      <w:pPr>
        <w:rPr>
          <w:rFonts w:ascii="Times New Roman" w:hAnsi="Times New Roman"/>
          <w:b/>
          <w:sz w:val="24"/>
          <w:szCs w:val="24"/>
        </w:rPr>
      </w:pPr>
      <w:r>
        <w:rPr>
          <w:rFonts w:ascii="Times New Roman" w:hAnsi="Times New Roman"/>
          <w:b/>
          <w:sz w:val="24"/>
          <w:szCs w:val="24"/>
        </w:rPr>
        <w:br w:type="page"/>
      </w:r>
    </w:p>
    <w:p w14:paraId="29D22D4B" w14:textId="77777777" w:rsidR="0011262F" w:rsidRDefault="00000000">
      <w:pPr>
        <w:spacing w:line="480" w:lineRule="auto"/>
        <w:rPr>
          <w:rFonts w:ascii="Times New Roman" w:hAnsi="Times New Roman"/>
          <w:b/>
          <w:bCs/>
          <w:iCs/>
          <w:color w:val="000000"/>
          <w:sz w:val="24"/>
          <w:szCs w:val="24"/>
        </w:rPr>
      </w:pPr>
      <w:r>
        <w:rPr>
          <w:rFonts w:ascii="Times New Roman" w:hAnsi="Times New Roman" w:hint="eastAsia"/>
          <w:b/>
          <w:bCs/>
          <w:iCs/>
          <w:color w:val="000000"/>
          <w:sz w:val="24"/>
          <w:szCs w:val="24"/>
        </w:rPr>
        <w:lastRenderedPageBreak/>
        <w:t>Enzymatic activity test of COFs-</w:t>
      </w:r>
      <w:proofErr w:type="spellStart"/>
      <w:r>
        <w:rPr>
          <w:rFonts w:ascii="Times New Roman" w:hAnsi="Times New Roman" w:hint="eastAsia"/>
          <w:b/>
          <w:bCs/>
          <w:iCs/>
          <w:color w:val="000000"/>
          <w:sz w:val="24"/>
          <w:szCs w:val="24"/>
        </w:rPr>
        <w:t>AgNPs</w:t>
      </w:r>
      <w:proofErr w:type="spellEnd"/>
    </w:p>
    <w:p w14:paraId="7F2054E2" w14:textId="77777777" w:rsidR="0011262F" w:rsidRDefault="00000000">
      <w:pPr>
        <w:spacing w:line="480" w:lineRule="auto"/>
        <w:ind w:firstLineChars="200" w:firstLine="480"/>
        <w:rPr>
          <w:rFonts w:ascii="Times New Roman" w:hAnsi="Times New Roman"/>
          <w:bCs/>
          <w:color w:val="000000"/>
          <w:sz w:val="24"/>
          <w:szCs w:val="24"/>
        </w:rPr>
      </w:pPr>
      <w:r>
        <w:rPr>
          <w:rFonts w:ascii="Times New Roman" w:hAnsi="Times New Roman"/>
          <w:bCs/>
          <w:color w:val="000000"/>
          <w:sz w:val="24"/>
          <w:szCs w:val="24"/>
        </w:rPr>
        <w:t>To verify the feasibility of COF-</w:t>
      </w:r>
      <w:proofErr w:type="spellStart"/>
      <w:r>
        <w:rPr>
          <w:rFonts w:ascii="Times New Roman" w:hAnsi="Times New Roman"/>
          <w:bCs/>
          <w:color w:val="000000"/>
          <w:sz w:val="24"/>
          <w:szCs w:val="24"/>
        </w:rPr>
        <w:t>AgNPs</w:t>
      </w:r>
      <w:proofErr w:type="spellEnd"/>
      <w:r>
        <w:rPr>
          <w:rFonts w:ascii="Times New Roman" w:hAnsi="Times New Roman"/>
          <w:bCs/>
          <w:color w:val="000000"/>
          <w:sz w:val="24"/>
          <w:szCs w:val="24"/>
        </w:rPr>
        <w:t xml:space="preserve"> </w:t>
      </w:r>
      <w:r>
        <w:rPr>
          <w:rFonts w:ascii="Times New Roman" w:hAnsi="Times New Roman"/>
          <w:sz w:val="24"/>
          <w:szCs w:val="24"/>
        </w:rPr>
        <w:t>nano-enzyme</w:t>
      </w:r>
      <w:r>
        <w:rPr>
          <w:rFonts w:ascii="Times New Roman" w:hAnsi="Times New Roman"/>
          <w:bCs/>
          <w:color w:val="000000"/>
          <w:sz w:val="24"/>
          <w:szCs w:val="24"/>
        </w:rPr>
        <w:t xml:space="preserve"> for Hg</w:t>
      </w:r>
      <w:r>
        <w:rPr>
          <w:rFonts w:ascii="Times New Roman" w:hAnsi="Times New Roman" w:hint="eastAsia"/>
          <w:bCs/>
          <w:color w:val="000000"/>
          <w:sz w:val="24"/>
          <w:szCs w:val="24"/>
          <w:vertAlign w:val="superscript"/>
        </w:rPr>
        <w:t>2+</w:t>
      </w:r>
      <w:r>
        <w:rPr>
          <w:rFonts w:ascii="Times New Roman" w:hAnsi="Times New Roman"/>
          <w:bCs/>
          <w:color w:val="000000"/>
          <w:sz w:val="24"/>
          <w:szCs w:val="24"/>
        </w:rPr>
        <w:t xml:space="preserve"> detection, 50 </w:t>
      </w:r>
      <w:proofErr w:type="spellStart"/>
      <w:r>
        <w:rPr>
          <w:rFonts w:ascii="Times New Roman" w:hAnsi="Times New Roman"/>
          <w:bCs/>
          <w:color w:val="000000"/>
          <w:sz w:val="24"/>
          <w:szCs w:val="24"/>
        </w:rPr>
        <w:t>μL</w:t>
      </w:r>
      <w:proofErr w:type="spellEnd"/>
      <w:r>
        <w:rPr>
          <w:rFonts w:ascii="Times New Roman" w:hAnsi="Times New Roman"/>
          <w:bCs/>
          <w:color w:val="000000"/>
          <w:sz w:val="24"/>
          <w:szCs w:val="24"/>
        </w:rPr>
        <w:t xml:space="preserve"> of COF-</w:t>
      </w:r>
      <w:proofErr w:type="spellStart"/>
      <w:r>
        <w:rPr>
          <w:rFonts w:ascii="Times New Roman" w:hAnsi="Times New Roman"/>
          <w:bCs/>
          <w:color w:val="000000"/>
          <w:sz w:val="24"/>
          <w:szCs w:val="24"/>
        </w:rPr>
        <w:t>AgNPs</w:t>
      </w:r>
      <w:proofErr w:type="spellEnd"/>
      <w:r>
        <w:rPr>
          <w:rFonts w:ascii="Times New Roman" w:hAnsi="Times New Roman"/>
          <w:bCs/>
          <w:color w:val="000000"/>
          <w:sz w:val="24"/>
          <w:szCs w:val="24"/>
        </w:rPr>
        <w:t xml:space="preserve"> solution (1 mg/mL) was mixed with 1 mL of </w:t>
      </w:r>
      <w:proofErr w:type="spellStart"/>
      <w:r>
        <w:rPr>
          <w:rFonts w:ascii="Times New Roman" w:hAnsi="Times New Roman"/>
          <w:bCs/>
          <w:color w:val="000000"/>
          <w:sz w:val="24"/>
          <w:szCs w:val="24"/>
        </w:rPr>
        <w:t>HAc-NaAc</w:t>
      </w:r>
      <w:proofErr w:type="spellEnd"/>
      <w:r>
        <w:rPr>
          <w:rFonts w:ascii="Times New Roman" w:hAnsi="Times New Roman"/>
          <w:bCs/>
          <w:color w:val="000000"/>
          <w:sz w:val="24"/>
          <w:szCs w:val="24"/>
        </w:rPr>
        <w:t xml:space="preserve"> buffer (0.1 M, pH 5.0). Two sets of solutions were prepared: one set was spiked with Hg</w:t>
      </w:r>
      <w:r>
        <w:rPr>
          <w:rFonts w:ascii="Times New Roman" w:hAnsi="Times New Roman" w:hint="eastAsia"/>
          <w:bCs/>
          <w:color w:val="000000"/>
          <w:sz w:val="24"/>
          <w:szCs w:val="24"/>
          <w:vertAlign w:val="superscript"/>
        </w:rPr>
        <w:t>2+</w:t>
      </w:r>
      <w:r>
        <w:rPr>
          <w:rFonts w:ascii="Times New Roman" w:hAnsi="Times New Roman"/>
          <w:bCs/>
          <w:color w:val="000000"/>
          <w:sz w:val="24"/>
          <w:szCs w:val="24"/>
        </w:rPr>
        <w:t xml:space="preserve"> standard solution (final concentration of 20 </w:t>
      </w:r>
      <w:proofErr w:type="spellStart"/>
      <w:r>
        <w:rPr>
          <w:rFonts w:ascii="Times New Roman" w:hAnsi="Times New Roman"/>
          <w:bCs/>
          <w:color w:val="000000"/>
          <w:sz w:val="24"/>
          <w:szCs w:val="24"/>
        </w:rPr>
        <w:t>μM</w:t>
      </w:r>
      <w:proofErr w:type="spellEnd"/>
      <w:r>
        <w:rPr>
          <w:rFonts w:ascii="Times New Roman" w:hAnsi="Times New Roman"/>
          <w:bCs/>
          <w:color w:val="000000"/>
          <w:sz w:val="24"/>
          <w:szCs w:val="24"/>
        </w:rPr>
        <w:t>), while the other set served as the blank control without Hg</w:t>
      </w:r>
      <w:r>
        <w:rPr>
          <w:rFonts w:ascii="Times New Roman" w:hAnsi="Times New Roman" w:hint="eastAsia"/>
          <w:bCs/>
          <w:color w:val="000000"/>
          <w:sz w:val="24"/>
          <w:szCs w:val="24"/>
          <w:vertAlign w:val="superscript"/>
        </w:rPr>
        <w:t>2+</w:t>
      </w:r>
      <w:r>
        <w:rPr>
          <w:rFonts w:ascii="Times New Roman" w:hAnsi="Times New Roman"/>
          <w:bCs/>
          <w:color w:val="000000"/>
          <w:sz w:val="24"/>
          <w:szCs w:val="24"/>
        </w:rPr>
        <w:t>. Meanwhile, COFs were used as a control, and the reaction system was prepared following the same procedure, also with and without Hg</w:t>
      </w:r>
      <w:r>
        <w:rPr>
          <w:rFonts w:ascii="Times New Roman" w:hAnsi="Times New Roman" w:hint="eastAsia"/>
          <w:bCs/>
          <w:color w:val="000000"/>
          <w:sz w:val="24"/>
          <w:szCs w:val="24"/>
          <w:vertAlign w:val="superscript"/>
        </w:rPr>
        <w:t>2+</w:t>
      </w:r>
      <w:r>
        <w:rPr>
          <w:rFonts w:ascii="Times New Roman" w:hAnsi="Times New Roman"/>
          <w:bCs/>
          <w:color w:val="000000"/>
          <w:sz w:val="24"/>
          <w:szCs w:val="24"/>
        </w:rPr>
        <w:t xml:space="preserve"> addition. After incubating all groups at room temperature for 10 min, 200 </w:t>
      </w:r>
      <w:proofErr w:type="spellStart"/>
      <w:r>
        <w:rPr>
          <w:rFonts w:ascii="Times New Roman" w:hAnsi="Times New Roman"/>
          <w:bCs/>
          <w:color w:val="000000"/>
          <w:sz w:val="24"/>
          <w:szCs w:val="24"/>
        </w:rPr>
        <w:t>μL</w:t>
      </w:r>
      <w:proofErr w:type="spellEnd"/>
      <w:r>
        <w:rPr>
          <w:rFonts w:ascii="Times New Roman" w:hAnsi="Times New Roman"/>
          <w:bCs/>
          <w:color w:val="000000"/>
          <w:sz w:val="24"/>
          <w:szCs w:val="24"/>
        </w:rPr>
        <w:t xml:space="preserve"> of TMB substrate (0.5 mM) was sequentially added to initiate the reaction. The absorbance was measured at 652 nm after the reaction. The feasibility of Hg</w:t>
      </w:r>
      <w:r>
        <w:rPr>
          <w:rFonts w:ascii="Times New Roman" w:hAnsi="Times New Roman" w:hint="eastAsia"/>
          <w:bCs/>
          <w:color w:val="000000"/>
          <w:sz w:val="24"/>
          <w:szCs w:val="24"/>
          <w:vertAlign w:val="superscript"/>
        </w:rPr>
        <w:t>2+</w:t>
      </w:r>
      <w:r>
        <w:rPr>
          <w:rFonts w:ascii="Times New Roman" w:hAnsi="Times New Roman"/>
          <w:bCs/>
          <w:color w:val="000000"/>
          <w:sz w:val="24"/>
          <w:szCs w:val="24"/>
        </w:rPr>
        <w:t xml:space="preserve"> detection was verified by analyzing the absorbance change of the COF-</w:t>
      </w:r>
      <w:proofErr w:type="spellStart"/>
      <w:r>
        <w:rPr>
          <w:rFonts w:ascii="Times New Roman" w:hAnsi="Times New Roman"/>
          <w:bCs/>
          <w:color w:val="000000"/>
          <w:sz w:val="24"/>
          <w:szCs w:val="24"/>
        </w:rPr>
        <w:t>AgNPs</w:t>
      </w:r>
      <w:proofErr w:type="spellEnd"/>
      <w:r>
        <w:rPr>
          <w:rFonts w:ascii="Times New Roman" w:hAnsi="Times New Roman"/>
          <w:bCs/>
          <w:color w:val="000000"/>
          <w:sz w:val="24"/>
          <w:szCs w:val="24"/>
        </w:rPr>
        <w:t xml:space="preserve"> group before and after Hg</w:t>
      </w:r>
      <w:r>
        <w:rPr>
          <w:rFonts w:ascii="Times New Roman" w:hAnsi="Times New Roman" w:hint="eastAsia"/>
          <w:bCs/>
          <w:color w:val="000000"/>
          <w:sz w:val="24"/>
          <w:szCs w:val="24"/>
          <w:vertAlign w:val="superscript"/>
        </w:rPr>
        <w:t>2+</w:t>
      </w:r>
      <w:r>
        <w:rPr>
          <w:rFonts w:ascii="Times New Roman" w:hAnsi="Times New Roman"/>
          <w:bCs/>
          <w:color w:val="000000"/>
          <w:sz w:val="24"/>
          <w:szCs w:val="24"/>
        </w:rPr>
        <w:t xml:space="preserve"> addition, as well as the difference compared to the COFs control group.</w:t>
      </w:r>
    </w:p>
    <w:p w14:paraId="16655C9D" w14:textId="77777777" w:rsidR="0011262F" w:rsidRDefault="00000000">
      <w:pPr>
        <w:spacing w:line="480" w:lineRule="auto"/>
        <w:ind w:firstLineChars="200" w:firstLine="480"/>
        <w:rPr>
          <w:rFonts w:ascii="Times New Roman" w:hAnsi="Times New Roman"/>
          <w:bCs/>
          <w:color w:val="000000"/>
          <w:sz w:val="24"/>
          <w:szCs w:val="24"/>
        </w:rPr>
      </w:pPr>
      <w:r>
        <w:rPr>
          <w:rFonts w:ascii="Times New Roman" w:hAnsi="Times New Roman"/>
          <w:bCs/>
          <w:color w:val="000000"/>
          <w:sz w:val="24"/>
          <w:szCs w:val="24"/>
        </w:rPr>
        <w:t>To further explore the mechanism of the catalytic reaction, the role of reactive oxygen species (ROS) in the oxidation process</w:t>
      </w:r>
      <w:r>
        <w:rPr>
          <w:rFonts w:ascii="Times New Roman" w:hAnsi="Times New Roman" w:hint="eastAsia"/>
          <w:bCs/>
          <w:color w:val="000000"/>
          <w:sz w:val="24"/>
          <w:szCs w:val="24"/>
        </w:rPr>
        <w:t xml:space="preserve"> </w:t>
      </w:r>
      <w:r>
        <w:rPr>
          <w:rFonts w:ascii="Times New Roman" w:hAnsi="Times New Roman"/>
          <w:bCs/>
          <w:color w:val="000000"/>
          <w:sz w:val="24"/>
          <w:szCs w:val="24"/>
        </w:rPr>
        <w:t>w</w:t>
      </w:r>
      <w:r>
        <w:rPr>
          <w:rFonts w:ascii="Times New Roman" w:hAnsi="Times New Roman" w:hint="eastAsia"/>
          <w:bCs/>
          <w:color w:val="000000"/>
          <w:sz w:val="24"/>
          <w:szCs w:val="24"/>
        </w:rPr>
        <w:t>as</w:t>
      </w:r>
      <w:r>
        <w:rPr>
          <w:rFonts w:ascii="Times New Roman" w:hAnsi="Times New Roman"/>
          <w:bCs/>
          <w:color w:val="000000"/>
          <w:sz w:val="24"/>
          <w:szCs w:val="24"/>
        </w:rPr>
        <w:t xml:space="preserve"> investigated. Considering that enzyme-catalyzed reactions usually involve electron transfer and ROS generation, specific free radical scavengers </w:t>
      </w:r>
      <w:r>
        <w:rPr>
          <w:rFonts w:ascii="Times New Roman" w:hAnsi="Times New Roman" w:hint="eastAsia"/>
          <w:bCs/>
          <w:color w:val="000000"/>
          <w:sz w:val="24"/>
          <w:szCs w:val="24"/>
        </w:rPr>
        <w:t>(</w:t>
      </w:r>
      <w:r>
        <w:rPr>
          <w:rFonts w:ascii="Times New Roman" w:hAnsi="Times New Roman"/>
          <w:bCs/>
          <w:color w:val="000000"/>
          <w:sz w:val="24"/>
          <w:szCs w:val="24"/>
        </w:rPr>
        <w:t>isopropyl alcohol (IPA) as t</w:t>
      </w:r>
      <w:r>
        <w:rPr>
          <w:rFonts w:ascii="Times New Roman" w:eastAsia="宋体" w:hAnsi="Times New Roman"/>
          <w:bCs/>
          <w:color w:val="000000"/>
          <w:sz w:val="24"/>
          <w:szCs w:val="24"/>
        </w:rPr>
        <w:t xml:space="preserve">he </w:t>
      </w:r>
      <w:r>
        <w:rPr>
          <w:rFonts w:ascii="Times New Roman" w:eastAsia="宋体" w:hAnsi="Times New Roman"/>
          <w:sz w:val="24"/>
          <w:szCs w:val="24"/>
        </w:rPr>
        <w:t>·OH</w:t>
      </w:r>
      <w:r>
        <w:rPr>
          <w:rFonts w:ascii="Times New Roman" w:hAnsi="Times New Roman"/>
          <w:bCs/>
          <w:color w:val="000000"/>
          <w:sz w:val="24"/>
          <w:szCs w:val="24"/>
        </w:rPr>
        <w:t xml:space="preserve"> scavenger, p-benzoquinone (p-BQ) for capturing </w:t>
      </w:r>
      <w:r>
        <w:rPr>
          <w:rFonts w:ascii="Times New Roman" w:eastAsia="宋体" w:hAnsi="Times New Roman"/>
          <w:sz w:val="24"/>
          <w:szCs w:val="24"/>
        </w:rPr>
        <w:t>·</w:t>
      </w:r>
      <w:r>
        <w:rPr>
          <w:rFonts w:ascii="Times New Roman" w:hAnsi="Times New Roman"/>
          <w:bCs/>
          <w:color w:val="000000"/>
          <w:sz w:val="24"/>
          <w:szCs w:val="24"/>
        </w:rPr>
        <w:t>O</w:t>
      </w:r>
      <w:r>
        <w:rPr>
          <w:rFonts w:ascii="Times New Roman" w:hAnsi="Times New Roman" w:hint="eastAsia"/>
          <w:bCs/>
          <w:color w:val="000000"/>
          <w:sz w:val="24"/>
          <w:szCs w:val="24"/>
          <w:vertAlign w:val="superscript"/>
        </w:rPr>
        <w:t>2-</w:t>
      </w:r>
      <w:r>
        <w:rPr>
          <w:rFonts w:ascii="Times New Roman" w:hAnsi="Times New Roman"/>
          <w:bCs/>
          <w:color w:val="000000"/>
          <w:sz w:val="24"/>
          <w:szCs w:val="24"/>
        </w:rPr>
        <w:t xml:space="preserve"> radicals, and histidine (His) for quenching singlet oxygen (</w:t>
      </w:r>
      <w:r>
        <w:rPr>
          <w:rFonts w:ascii="Times New Roman" w:hAnsi="Times New Roman" w:hint="eastAsia"/>
          <w:bCs/>
          <w:color w:val="000000"/>
          <w:sz w:val="24"/>
          <w:szCs w:val="24"/>
          <w:vertAlign w:val="superscript"/>
        </w:rPr>
        <w:t>1</w:t>
      </w:r>
      <w:r>
        <w:rPr>
          <w:rFonts w:ascii="Times New Roman" w:hAnsi="Times New Roman"/>
          <w:bCs/>
          <w:color w:val="000000"/>
          <w:sz w:val="24"/>
          <w:szCs w:val="24"/>
        </w:rPr>
        <w:t>O</w:t>
      </w:r>
      <w:r>
        <w:rPr>
          <w:rFonts w:ascii="Times New Roman" w:hAnsi="Times New Roman" w:hint="eastAsia"/>
          <w:bCs/>
          <w:color w:val="000000"/>
          <w:sz w:val="24"/>
          <w:szCs w:val="24"/>
          <w:vertAlign w:val="subscript"/>
        </w:rPr>
        <w:t>2</w:t>
      </w:r>
      <w:r>
        <w:rPr>
          <w:rFonts w:ascii="Times New Roman" w:hAnsi="Times New Roman"/>
          <w:bCs/>
          <w:color w:val="000000"/>
          <w:sz w:val="24"/>
          <w:szCs w:val="24"/>
        </w:rPr>
        <w:t>)</w:t>
      </w:r>
      <w:r>
        <w:rPr>
          <w:rFonts w:ascii="Times New Roman" w:hAnsi="Times New Roman" w:hint="eastAsia"/>
          <w:bCs/>
          <w:color w:val="000000"/>
          <w:sz w:val="24"/>
          <w:szCs w:val="24"/>
        </w:rPr>
        <w:t xml:space="preserve">) </w:t>
      </w:r>
      <w:r>
        <w:rPr>
          <w:rFonts w:ascii="Times New Roman" w:hAnsi="Times New Roman"/>
          <w:bCs/>
          <w:color w:val="000000"/>
          <w:sz w:val="24"/>
          <w:szCs w:val="24"/>
        </w:rPr>
        <w:t xml:space="preserve">were used for mechanism verification in this </w:t>
      </w:r>
      <w:r>
        <w:rPr>
          <w:rFonts w:ascii="Times New Roman" w:hAnsi="Times New Roman" w:hint="eastAsia"/>
          <w:bCs/>
          <w:color w:val="000000"/>
          <w:sz w:val="24"/>
          <w:szCs w:val="24"/>
        </w:rPr>
        <w:t xml:space="preserve">work </w:t>
      </w:r>
      <w:r>
        <w:rPr>
          <w:rFonts w:ascii="Times New Roman" w:hAnsi="Times New Roman"/>
          <w:bCs/>
          <w:color w:val="000000"/>
          <w:sz w:val="24"/>
          <w:szCs w:val="24"/>
        </w:rPr>
        <w:fldChar w:fldCharType="begin"/>
      </w:r>
      <w:r>
        <w:rPr>
          <w:rFonts w:ascii="Times New Roman" w:hAnsi="Times New Roman"/>
          <w:bCs/>
          <w:color w:val="000000"/>
          <w:sz w:val="24"/>
          <w:szCs w:val="24"/>
        </w:rPr>
        <w:instrText xml:space="preserve"> ADDIN ZOTERO_ITEM CSL_CITATION {"citationID":"EDuL3tE9","properties":{"formattedCitation":"[1]","plainCitation":"[1]","noteIndex":0},"citationItems":[{"id":326,"uris":["http://zotero.org/users/12682253/items/DM569MAS"],"itemData":{"id":326,"type":"article-journal","container-title":"Microchimica Acta","DOI":"10.1007/s00604-022-05471-7","ISSN":"0026-3672, 1436-5073","issue":"10","journalAbbreviation":"Microchim Acta","language":"en","page":"384","source":"DOI.org (Crossref)","title":"Iron porphyrin-based porous organic polymer with high peroxidase-like activity as colorimetric sensor for glutathione and ascorbic acid assay","volume":"189","author":[{"family":"Liao","given":"Linhong"},{"family":"Tong","given":"Simiao"},{"family":"Luo","given":"Xiaogang"},{"family":"Liu","given":"Genyan"},{"family":"Wu","given":"Fengshou"}],"issued":{"date-parts":[["2022",10]]}}}],"schema":"https://github.com/citation-style-language/schema/raw/master/csl-citation.json"} </w:instrText>
      </w:r>
      <w:r>
        <w:rPr>
          <w:rFonts w:ascii="Times New Roman" w:hAnsi="Times New Roman"/>
          <w:bCs/>
          <w:color w:val="000000"/>
          <w:sz w:val="24"/>
          <w:szCs w:val="24"/>
        </w:rPr>
        <w:fldChar w:fldCharType="separate"/>
      </w:r>
      <w:r>
        <w:rPr>
          <w:rFonts w:ascii="Times New Roman" w:hAnsi="Times New Roman" w:hint="eastAsia"/>
          <w:sz w:val="24"/>
        </w:rPr>
        <w:t>[1]</w:t>
      </w:r>
      <w:r>
        <w:rPr>
          <w:rFonts w:ascii="Times New Roman" w:hAnsi="Times New Roman"/>
          <w:bCs/>
          <w:color w:val="000000"/>
          <w:sz w:val="24"/>
          <w:szCs w:val="24"/>
        </w:rPr>
        <w:fldChar w:fldCharType="end"/>
      </w:r>
      <w:r>
        <w:rPr>
          <w:rFonts w:ascii="Times New Roman" w:hAnsi="Times New Roman"/>
          <w:bCs/>
          <w:color w:val="000000"/>
          <w:sz w:val="24"/>
          <w:szCs w:val="24"/>
        </w:rPr>
        <w:t>. The specific operation was as follows: in the above optimal reaction system, IPA (1 mM), p-BQ (</w:t>
      </w:r>
      <w:r>
        <w:rPr>
          <w:rFonts w:ascii="Times New Roman" w:hAnsi="Times New Roman" w:hint="eastAsia"/>
          <w:bCs/>
          <w:color w:val="000000"/>
          <w:sz w:val="24"/>
          <w:szCs w:val="24"/>
        </w:rPr>
        <w:t>0.</w:t>
      </w:r>
      <w:r>
        <w:rPr>
          <w:rFonts w:ascii="Times New Roman" w:hAnsi="Times New Roman"/>
          <w:bCs/>
          <w:color w:val="000000"/>
          <w:sz w:val="24"/>
          <w:szCs w:val="24"/>
        </w:rPr>
        <w:t>5 mM), and His (</w:t>
      </w:r>
      <w:r>
        <w:rPr>
          <w:rFonts w:ascii="Times New Roman" w:hAnsi="Times New Roman" w:hint="eastAsia"/>
          <w:bCs/>
          <w:color w:val="000000"/>
          <w:sz w:val="24"/>
          <w:szCs w:val="24"/>
        </w:rPr>
        <w:t>1</w:t>
      </w:r>
      <w:r>
        <w:rPr>
          <w:rFonts w:ascii="Times New Roman" w:hAnsi="Times New Roman"/>
          <w:bCs/>
          <w:color w:val="000000"/>
          <w:sz w:val="24"/>
          <w:szCs w:val="24"/>
        </w:rPr>
        <w:t xml:space="preserve"> mM) were added separately, with other conditions kept unchanged. The contribution of key ROS was determined by comparing the absorbance changes at 652 nm among different groups</w:t>
      </w:r>
      <w:r>
        <w:rPr>
          <w:rFonts w:ascii="Times New Roman" w:hAnsi="Times New Roman" w:hint="eastAsia"/>
          <w:bCs/>
          <w:color w:val="000000"/>
          <w:sz w:val="24"/>
          <w:szCs w:val="24"/>
        </w:rPr>
        <w:t>.</w:t>
      </w:r>
    </w:p>
    <w:p w14:paraId="499EA5E9" w14:textId="77777777" w:rsidR="0011262F" w:rsidRDefault="00000000">
      <w:pPr>
        <w:spacing w:line="480" w:lineRule="auto"/>
        <w:ind w:firstLineChars="200" w:firstLine="480"/>
        <w:rPr>
          <w:rFonts w:ascii="Times New Roman" w:hAnsi="Times New Roman"/>
          <w:bCs/>
          <w:color w:val="000000"/>
          <w:sz w:val="24"/>
          <w:szCs w:val="24"/>
        </w:rPr>
      </w:pPr>
      <w:r>
        <w:rPr>
          <w:rFonts w:ascii="Times New Roman" w:hAnsi="Times New Roman"/>
          <w:bCs/>
          <w:color w:val="000000"/>
          <w:sz w:val="24"/>
          <w:szCs w:val="24"/>
        </w:rPr>
        <w:lastRenderedPageBreak/>
        <w:t xml:space="preserve">To evaluate </w:t>
      </w:r>
      <w:r>
        <w:rPr>
          <w:rFonts w:ascii="Times New Roman" w:hAnsi="Times New Roman" w:hint="eastAsia"/>
          <w:bCs/>
          <w:color w:val="000000"/>
          <w:sz w:val="24"/>
          <w:szCs w:val="24"/>
        </w:rPr>
        <w:t>the</w:t>
      </w:r>
      <w:r>
        <w:rPr>
          <w:rFonts w:ascii="Times New Roman" w:hAnsi="Times New Roman"/>
          <w:bCs/>
          <w:color w:val="000000"/>
          <w:sz w:val="24"/>
          <w:szCs w:val="24"/>
        </w:rPr>
        <w:t xml:space="preserve"> selectivity</w:t>
      </w:r>
      <w:r>
        <w:rPr>
          <w:rFonts w:ascii="Times New Roman" w:hAnsi="Times New Roman" w:hint="eastAsia"/>
          <w:bCs/>
          <w:color w:val="000000"/>
          <w:sz w:val="24"/>
          <w:szCs w:val="24"/>
        </w:rPr>
        <w:t xml:space="preserve"> of the sensor</w:t>
      </w:r>
      <w:r>
        <w:rPr>
          <w:rFonts w:ascii="Times New Roman" w:hAnsi="Times New Roman"/>
          <w:bCs/>
          <w:color w:val="000000"/>
          <w:sz w:val="24"/>
          <w:szCs w:val="24"/>
        </w:rPr>
        <w:t>, the response of COF-</w:t>
      </w:r>
      <w:proofErr w:type="spellStart"/>
      <w:r>
        <w:rPr>
          <w:rFonts w:ascii="Times New Roman" w:hAnsi="Times New Roman"/>
          <w:bCs/>
          <w:color w:val="000000"/>
          <w:sz w:val="24"/>
          <w:szCs w:val="24"/>
        </w:rPr>
        <w:t>AgNPs</w:t>
      </w:r>
      <w:proofErr w:type="spellEnd"/>
      <w:r>
        <w:rPr>
          <w:rFonts w:ascii="Times New Roman" w:hAnsi="Times New Roman"/>
          <w:bCs/>
          <w:color w:val="000000"/>
          <w:sz w:val="24"/>
          <w:szCs w:val="24"/>
        </w:rPr>
        <w:t xml:space="preserve"> nano</w:t>
      </w:r>
      <w:r>
        <w:rPr>
          <w:rFonts w:ascii="Times New Roman" w:hAnsi="Times New Roman" w:hint="eastAsia"/>
          <w:bCs/>
          <w:color w:val="000000"/>
          <w:sz w:val="24"/>
          <w:szCs w:val="24"/>
        </w:rPr>
        <w:t>-</w:t>
      </w:r>
      <w:r>
        <w:rPr>
          <w:rFonts w:ascii="Times New Roman" w:hAnsi="Times New Roman"/>
          <w:bCs/>
          <w:color w:val="000000"/>
          <w:sz w:val="24"/>
          <w:szCs w:val="24"/>
        </w:rPr>
        <w:t>enzymes to multiple interfering ions</w:t>
      </w:r>
      <w:r>
        <w:rPr>
          <w:rFonts w:ascii="Times New Roman" w:hAnsi="Times New Roman" w:hint="eastAsia"/>
          <w:bCs/>
          <w:color w:val="000000"/>
          <w:sz w:val="24"/>
          <w:szCs w:val="24"/>
        </w:rPr>
        <w:t xml:space="preserve"> (</w:t>
      </w:r>
      <w:r>
        <w:rPr>
          <w:rFonts w:ascii="Times New Roman" w:hAnsi="Times New Roman"/>
          <w:bCs/>
          <w:color w:val="000000"/>
          <w:sz w:val="24"/>
          <w:szCs w:val="24"/>
        </w:rPr>
        <w:t>Al</w:t>
      </w:r>
      <w:r>
        <w:rPr>
          <w:rFonts w:ascii="Times New Roman" w:hAnsi="Times New Roman" w:hint="eastAsia"/>
          <w:bCs/>
          <w:color w:val="000000"/>
          <w:sz w:val="24"/>
          <w:szCs w:val="24"/>
          <w:vertAlign w:val="superscript"/>
        </w:rPr>
        <w:t>3+</w:t>
      </w:r>
      <w:r>
        <w:rPr>
          <w:rFonts w:ascii="Times New Roman" w:hAnsi="Times New Roman"/>
          <w:bCs/>
          <w:color w:val="000000"/>
          <w:sz w:val="24"/>
          <w:szCs w:val="24"/>
        </w:rPr>
        <w:t>, Pb</w:t>
      </w:r>
      <w:r>
        <w:rPr>
          <w:rFonts w:ascii="Times New Roman" w:hAnsi="Times New Roman" w:hint="eastAsia"/>
          <w:bCs/>
          <w:color w:val="000000"/>
          <w:sz w:val="24"/>
          <w:szCs w:val="24"/>
          <w:vertAlign w:val="superscript"/>
        </w:rPr>
        <w:t>2+</w:t>
      </w:r>
      <w:r>
        <w:rPr>
          <w:rFonts w:ascii="Times New Roman" w:hAnsi="Times New Roman"/>
          <w:bCs/>
          <w:color w:val="000000"/>
          <w:sz w:val="24"/>
          <w:szCs w:val="24"/>
        </w:rPr>
        <w:t>, Mg</w:t>
      </w:r>
      <w:r>
        <w:rPr>
          <w:rFonts w:ascii="Times New Roman" w:hAnsi="Times New Roman" w:hint="eastAsia"/>
          <w:bCs/>
          <w:color w:val="000000"/>
          <w:sz w:val="24"/>
          <w:szCs w:val="24"/>
          <w:vertAlign w:val="superscript"/>
        </w:rPr>
        <w:t>2+</w:t>
      </w:r>
      <w:r>
        <w:rPr>
          <w:rFonts w:ascii="Times New Roman" w:hAnsi="Times New Roman"/>
          <w:bCs/>
          <w:color w:val="000000"/>
          <w:sz w:val="24"/>
          <w:szCs w:val="24"/>
        </w:rPr>
        <w:t>, Cd</w:t>
      </w:r>
      <w:r>
        <w:rPr>
          <w:rFonts w:ascii="Times New Roman" w:hAnsi="Times New Roman" w:hint="eastAsia"/>
          <w:bCs/>
          <w:color w:val="000000"/>
          <w:sz w:val="24"/>
          <w:szCs w:val="24"/>
          <w:vertAlign w:val="superscript"/>
        </w:rPr>
        <w:t>2+</w:t>
      </w:r>
      <w:r>
        <w:rPr>
          <w:rFonts w:ascii="Times New Roman" w:hAnsi="Times New Roman"/>
          <w:bCs/>
          <w:color w:val="000000"/>
          <w:sz w:val="24"/>
          <w:szCs w:val="24"/>
        </w:rPr>
        <w:t>, Ca</w:t>
      </w:r>
      <w:r>
        <w:rPr>
          <w:rFonts w:ascii="Times New Roman" w:hAnsi="Times New Roman" w:hint="eastAsia"/>
          <w:bCs/>
          <w:color w:val="000000"/>
          <w:sz w:val="24"/>
          <w:szCs w:val="24"/>
          <w:vertAlign w:val="superscript"/>
        </w:rPr>
        <w:t>2+</w:t>
      </w:r>
      <w:r>
        <w:rPr>
          <w:rFonts w:ascii="Times New Roman" w:hAnsi="Times New Roman"/>
          <w:bCs/>
          <w:color w:val="000000"/>
          <w:sz w:val="24"/>
          <w:szCs w:val="24"/>
        </w:rPr>
        <w:t>, Mn</w:t>
      </w:r>
      <w:r>
        <w:rPr>
          <w:rFonts w:ascii="Times New Roman" w:hAnsi="Times New Roman" w:hint="eastAsia"/>
          <w:bCs/>
          <w:color w:val="000000"/>
          <w:sz w:val="24"/>
          <w:szCs w:val="24"/>
          <w:vertAlign w:val="superscript"/>
        </w:rPr>
        <w:t>2+</w:t>
      </w:r>
      <w:r>
        <w:rPr>
          <w:rFonts w:ascii="Times New Roman" w:hAnsi="Times New Roman"/>
          <w:bCs/>
          <w:color w:val="000000"/>
          <w:sz w:val="24"/>
          <w:szCs w:val="24"/>
        </w:rPr>
        <w:t>, SO</w:t>
      </w:r>
      <w:r>
        <w:rPr>
          <w:rFonts w:ascii="Times New Roman" w:hAnsi="Times New Roman" w:hint="eastAsia"/>
          <w:bCs/>
          <w:color w:val="000000"/>
          <w:sz w:val="24"/>
          <w:szCs w:val="24"/>
          <w:vertAlign w:val="subscript"/>
        </w:rPr>
        <w:t>4</w:t>
      </w:r>
      <w:r>
        <w:rPr>
          <w:rFonts w:ascii="Times New Roman" w:hAnsi="Times New Roman" w:hint="eastAsia"/>
          <w:bCs/>
          <w:color w:val="000000"/>
          <w:sz w:val="24"/>
          <w:szCs w:val="24"/>
          <w:vertAlign w:val="superscript"/>
        </w:rPr>
        <w:t>2-</w:t>
      </w:r>
      <w:r>
        <w:rPr>
          <w:rFonts w:ascii="Times New Roman" w:hAnsi="Times New Roman"/>
          <w:bCs/>
          <w:color w:val="000000"/>
          <w:sz w:val="24"/>
          <w:szCs w:val="24"/>
        </w:rPr>
        <w:t>, CO</w:t>
      </w:r>
      <w:r>
        <w:rPr>
          <w:rFonts w:ascii="Times New Roman" w:hAnsi="Times New Roman" w:hint="eastAsia"/>
          <w:bCs/>
          <w:color w:val="000000"/>
          <w:sz w:val="24"/>
          <w:szCs w:val="24"/>
          <w:vertAlign w:val="subscript"/>
        </w:rPr>
        <w:t>3</w:t>
      </w:r>
      <w:r>
        <w:rPr>
          <w:rFonts w:ascii="Times New Roman" w:hAnsi="Times New Roman" w:hint="eastAsia"/>
          <w:bCs/>
          <w:color w:val="000000"/>
          <w:sz w:val="24"/>
          <w:szCs w:val="24"/>
          <w:vertAlign w:val="superscript"/>
        </w:rPr>
        <w:t>2-</w:t>
      </w:r>
      <w:r>
        <w:rPr>
          <w:rFonts w:ascii="Times New Roman" w:hAnsi="Times New Roman"/>
          <w:bCs/>
          <w:color w:val="000000"/>
          <w:sz w:val="24"/>
          <w:szCs w:val="24"/>
        </w:rPr>
        <w:t>, Cl</w:t>
      </w:r>
      <w:r>
        <w:rPr>
          <w:rFonts w:ascii="Times New Roman" w:hAnsi="Times New Roman" w:hint="eastAsia"/>
          <w:bCs/>
          <w:color w:val="000000"/>
          <w:sz w:val="24"/>
          <w:szCs w:val="24"/>
        </w:rPr>
        <w:t>-</w:t>
      </w:r>
      <w:r>
        <w:rPr>
          <w:rFonts w:ascii="Times New Roman" w:hAnsi="Times New Roman"/>
          <w:bCs/>
          <w:color w:val="000000"/>
          <w:sz w:val="24"/>
          <w:szCs w:val="24"/>
        </w:rPr>
        <w:t>, PO</w:t>
      </w:r>
      <w:r>
        <w:rPr>
          <w:rFonts w:ascii="Times New Roman" w:hAnsi="Times New Roman" w:hint="eastAsia"/>
          <w:bCs/>
          <w:color w:val="000000"/>
          <w:sz w:val="24"/>
          <w:szCs w:val="24"/>
          <w:vertAlign w:val="subscript"/>
        </w:rPr>
        <w:t>4</w:t>
      </w:r>
      <w:r>
        <w:rPr>
          <w:rFonts w:ascii="Times New Roman" w:hAnsi="Times New Roman" w:hint="eastAsia"/>
          <w:bCs/>
          <w:color w:val="000000"/>
          <w:sz w:val="24"/>
          <w:szCs w:val="24"/>
          <w:vertAlign w:val="superscript"/>
        </w:rPr>
        <w:t>3-</w:t>
      </w:r>
      <w:r>
        <w:rPr>
          <w:rFonts w:ascii="Times New Roman" w:hAnsi="Times New Roman"/>
          <w:bCs/>
          <w:color w:val="000000"/>
          <w:sz w:val="24"/>
          <w:szCs w:val="24"/>
        </w:rPr>
        <w:t>, K</w:t>
      </w:r>
      <w:r>
        <w:rPr>
          <w:rFonts w:ascii="Times New Roman" w:hAnsi="Times New Roman" w:hint="eastAsia"/>
          <w:bCs/>
          <w:color w:val="000000"/>
          <w:sz w:val="24"/>
          <w:szCs w:val="24"/>
          <w:vertAlign w:val="superscript"/>
        </w:rPr>
        <w:t>+</w:t>
      </w:r>
      <w:r>
        <w:rPr>
          <w:rFonts w:ascii="Times New Roman" w:hAnsi="Times New Roman"/>
          <w:bCs/>
          <w:color w:val="000000"/>
          <w:sz w:val="24"/>
          <w:szCs w:val="24"/>
        </w:rPr>
        <w:t>, Zn</w:t>
      </w:r>
      <w:r>
        <w:rPr>
          <w:rFonts w:ascii="Times New Roman" w:hAnsi="Times New Roman" w:hint="eastAsia"/>
          <w:bCs/>
          <w:color w:val="000000"/>
          <w:sz w:val="24"/>
          <w:szCs w:val="24"/>
          <w:vertAlign w:val="superscript"/>
        </w:rPr>
        <w:t>2+</w:t>
      </w:r>
      <w:r>
        <w:rPr>
          <w:rFonts w:ascii="Times New Roman" w:hAnsi="Times New Roman"/>
          <w:bCs/>
          <w:color w:val="000000"/>
          <w:sz w:val="24"/>
          <w:szCs w:val="24"/>
        </w:rPr>
        <w:t>, Na</w:t>
      </w:r>
      <w:r>
        <w:rPr>
          <w:rFonts w:ascii="Times New Roman" w:hAnsi="Times New Roman" w:hint="eastAsia"/>
          <w:bCs/>
          <w:color w:val="000000"/>
          <w:sz w:val="24"/>
          <w:szCs w:val="24"/>
          <w:vertAlign w:val="superscript"/>
        </w:rPr>
        <w:t>+</w:t>
      </w:r>
      <w:r>
        <w:rPr>
          <w:rFonts w:ascii="Times New Roman" w:hAnsi="Times New Roman"/>
          <w:bCs/>
          <w:color w:val="000000"/>
          <w:sz w:val="24"/>
          <w:szCs w:val="24"/>
        </w:rPr>
        <w:t>, Ni</w:t>
      </w:r>
      <w:r>
        <w:rPr>
          <w:rFonts w:ascii="Times New Roman" w:hAnsi="Times New Roman" w:hint="eastAsia"/>
          <w:bCs/>
          <w:color w:val="000000"/>
          <w:sz w:val="24"/>
          <w:szCs w:val="24"/>
          <w:vertAlign w:val="superscript"/>
        </w:rPr>
        <w:t>2+</w:t>
      </w:r>
      <w:r>
        <w:rPr>
          <w:rFonts w:ascii="Times New Roman" w:hAnsi="Times New Roman"/>
          <w:bCs/>
          <w:color w:val="000000"/>
          <w:sz w:val="24"/>
          <w:szCs w:val="24"/>
        </w:rPr>
        <w:t>, Cu</w:t>
      </w:r>
      <w:r>
        <w:rPr>
          <w:rFonts w:ascii="Times New Roman" w:hAnsi="Times New Roman" w:hint="eastAsia"/>
          <w:bCs/>
          <w:color w:val="000000"/>
          <w:sz w:val="24"/>
          <w:szCs w:val="24"/>
          <w:vertAlign w:val="superscript"/>
        </w:rPr>
        <w:t>2+</w:t>
      </w:r>
      <w:r>
        <w:rPr>
          <w:rFonts w:ascii="Times New Roman" w:hAnsi="Times New Roman" w:hint="eastAsia"/>
          <w:bCs/>
          <w:color w:val="000000"/>
          <w:sz w:val="24"/>
          <w:szCs w:val="24"/>
        </w:rPr>
        <w:t>)</w:t>
      </w:r>
      <w:r>
        <w:rPr>
          <w:rFonts w:ascii="Times New Roman" w:hAnsi="Times New Roman"/>
          <w:bCs/>
          <w:color w:val="000000"/>
          <w:sz w:val="24"/>
          <w:szCs w:val="24"/>
        </w:rPr>
        <w:t xml:space="preserve"> was measured in parallel under the same optimal conditions. The test concentration for all interfering ions was set to 10 times that of </w:t>
      </w:r>
      <w:bookmarkStart w:id="2" w:name="_Hlk209791568"/>
      <w:r>
        <w:rPr>
          <w:rFonts w:ascii="Times New Roman" w:hAnsi="Times New Roman"/>
          <w:bCs/>
          <w:color w:val="000000"/>
          <w:sz w:val="24"/>
          <w:szCs w:val="24"/>
        </w:rPr>
        <w:t>Hg</w:t>
      </w:r>
      <w:r>
        <w:rPr>
          <w:rFonts w:ascii="Times New Roman" w:hAnsi="Times New Roman" w:hint="eastAsia"/>
          <w:bCs/>
          <w:color w:val="000000"/>
          <w:sz w:val="24"/>
          <w:szCs w:val="24"/>
          <w:vertAlign w:val="superscript"/>
        </w:rPr>
        <w:t>2+</w:t>
      </w:r>
      <w:bookmarkEnd w:id="2"/>
      <w:r>
        <w:rPr>
          <w:rFonts w:ascii="Times New Roman" w:hAnsi="Times New Roman"/>
          <w:bCs/>
          <w:color w:val="000000"/>
          <w:sz w:val="24"/>
          <w:szCs w:val="24"/>
        </w:rPr>
        <w:t>.</w:t>
      </w:r>
    </w:p>
    <w:p w14:paraId="664FC24B" w14:textId="77777777" w:rsidR="0011262F" w:rsidRDefault="00000000">
      <w:pPr>
        <w:spacing w:line="480" w:lineRule="auto"/>
        <w:rPr>
          <w:rFonts w:ascii="Times New Roman" w:hAnsi="Times New Roman"/>
          <w:b/>
          <w:bCs/>
          <w:iCs/>
          <w:kern w:val="0"/>
          <w:sz w:val="24"/>
          <w:szCs w:val="24"/>
        </w:rPr>
      </w:pPr>
      <w:r>
        <w:rPr>
          <w:rFonts w:ascii="Times New Roman" w:hAnsi="Times New Roman"/>
          <w:bCs/>
          <w:color w:val="000000"/>
          <w:sz w:val="24"/>
          <w:szCs w:val="24"/>
        </w:rPr>
        <w:br w:type="page"/>
      </w:r>
      <w:r>
        <w:rPr>
          <w:rFonts w:ascii="Times New Roman" w:hAnsi="Times New Roman"/>
          <w:b/>
          <w:bCs/>
          <w:iCs/>
          <w:kern w:val="0"/>
          <w:sz w:val="24"/>
          <w:szCs w:val="24"/>
        </w:rPr>
        <w:lastRenderedPageBreak/>
        <w:t>Mimic enzymes steady-state kinetic studies</w:t>
      </w:r>
    </w:p>
    <w:p w14:paraId="1CDDB19B" w14:textId="77777777" w:rsidR="0011262F" w:rsidRDefault="00000000">
      <w:pPr>
        <w:spacing w:line="480" w:lineRule="auto"/>
        <w:ind w:firstLineChars="200" w:firstLine="480"/>
        <w:rPr>
          <w:rFonts w:ascii="Times New Roman" w:hAnsi="Times New Roman"/>
          <w:strike/>
          <w:sz w:val="24"/>
          <w:szCs w:val="24"/>
        </w:rPr>
      </w:pPr>
      <w:r>
        <w:rPr>
          <w:rFonts w:ascii="Times New Roman" w:hAnsi="Times New Roman"/>
          <w:sz w:val="24"/>
          <w:szCs w:val="24"/>
        </w:rPr>
        <w:t>To further evaluate the effect of Hg</w:t>
      </w:r>
      <w:r>
        <w:rPr>
          <w:rFonts w:ascii="Times New Roman" w:hAnsi="Times New Roman"/>
          <w:sz w:val="24"/>
          <w:szCs w:val="24"/>
          <w:vertAlign w:val="superscript"/>
        </w:rPr>
        <w:t>2+</w:t>
      </w:r>
      <w:r>
        <w:rPr>
          <w:rFonts w:ascii="Times New Roman" w:hAnsi="Times New Roman"/>
          <w:sz w:val="24"/>
          <w:szCs w:val="24"/>
        </w:rPr>
        <w:t xml:space="preserve"> on the oxidase-mimetic activity of COF-</w:t>
      </w:r>
      <w:proofErr w:type="spellStart"/>
      <w:r>
        <w:rPr>
          <w:rFonts w:ascii="Times New Roman" w:hAnsi="Times New Roman"/>
          <w:sz w:val="24"/>
          <w:szCs w:val="24"/>
        </w:rPr>
        <w:t>AgNPs</w:t>
      </w:r>
      <w:proofErr w:type="spellEnd"/>
      <w:r>
        <w:rPr>
          <w:rFonts w:ascii="Times New Roman" w:hAnsi="Times New Roman"/>
          <w:sz w:val="24"/>
          <w:szCs w:val="24"/>
        </w:rPr>
        <w:t xml:space="preserve"> nano</w:t>
      </w:r>
      <w:r>
        <w:rPr>
          <w:rFonts w:ascii="Times New Roman" w:hAnsi="Times New Roman" w:hint="eastAsia"/>
          <w:sz w:val="24"/>
          <w:szCs w:val="24"/>
        </w:rPr>
        <w:t>-</w:t>
      </w:r>
      <w:r>
        <w:rPr>
          <w:rFonts w:ascii="Times New Roman" w:hAnsi="Times New Roman"/>
          <w:sz w:val="24"/>
          <w:szCs w:val="24"/>
        </w:rPr>
        <w:t>enzymes, steady-state kinetic analysis was performed. Catalytic activity was measured in COF-</w:t>
      </w:r>
      <w:proofErr w:type="spellStart"/>
      <w:r>
        <w:rPr>
          <w:rFonts w:ascii="Times New Roman" w:hAnsi="Times New Roman"/>
          <w:sz w:val="24"/>
          <w:szCs w:val="24"/>
        </w:rPr>
        <w:t>AgNPs</w:t>
      </w:r>
      <w:proofErr w:type="spellEnd"/>
      <w:r>
        <w:rPr>
          <w:rFonts w:ascii="Times New Roman" w:hAnsi="Times New Roman"/>
          <w:sz w:val="24"/>
          <w:szCs w:val="24"/>
        </w:rPr>
        <w:t xml:space="preserve"> nano</w:t>
      </w:r>
      <w:r>
        <w:rPr>
          <w:rFonts w:ascii="Times New Roman" w:hAnsi="Times New Roman" w:hint="eastAsia"/>
          <w:sz w:val="24"/>
          <w:szCs w:val="24"/>
        </w:rPr>
        <w:t>-</w:t>
      </w:r>
      <w:r>
        <w:rPr>
          <w:rFonts w:ascii="Times New Roman" w:hAnsi="Times New Roman"/>
          <w:sz w:val="24"/>
          <w:szCs w:val="24"/>
        </w:rPr>
        <w:t>enzyme systems both with and without Hg</w:t>
      </w:r>
      <w:r>
        <w:rPr>
          <w:rFonts w:ascii="Times New Roman" w:hAnsi="Times New Roman"/>
          <w:sz w:val="24"/>
          <w:szCs w:val="24"/>
          <w:vertAlign w:val="superscript"/>
        </w:rPr>
        <w:t>2+</w:t>
      </w:r>
      <w:r>
        <w:rPr>
          <w:rFonts w:ascii="Times New Roman" w:hAnsi="Times New Roman"/>
          <w:sz w:val="24"/>
          <w:szCs w:val="24"/>
        </w:rPr>
        <w:t xml:space="preserve"> by varying the substrate TMB concentration. The double reciprocal form of the Michaelis–Menten equation, namely the Lineweaver–Burk equation (Eq. </w:t>
      </w:r>
      <w:r>
        <w:rPr>
          <w:rFonts w:ascii="Times New Roman" w:hAnsi="Times New Roman" w:hint="eastAsia"/>
          <w:sz w:val="24"/>
          <w:szCs w:val="24"/>
        </w:rPr>
        <w:t>(</w:t>
      </w:r>
      <w:r>
        <w:rPr>
          <w:rFonts w:ascii="Times New Roman" w:hAnsi="Times New Roman"/>
          <w:sz w:val="24"/>
          <w:szCs w:val="24"/>
        </w:rPr>
        <w:t>1</w:t>
      </w:r>
      <w:r>
        <w:rPr>
          <w:rFonts w:ascii="Times New Roman" w:hAnsi="Times New Roman" w:hint="eastAsia"/>
          <w:sz w:val="24"/>
          <w:szCs w:val="24"/>
        </w:rPr>
        <w:t>)</w:t>
      </w:r>
      <w:r>
        <w:rPr>
          <w:rFonts w:ascii="Times New Roman" w:hAnsi="Times New Roman"/>
          <w:sz w:val="24"/>
          <w:szCs w:val="24"/>
        </w:rPr>
        <w:t>), was employed to calculate the key kinetic parameters: maximum reaction rate (</w:t>
      </w:r>
      <w:proofErr w:type="spellStart"/>
      <w:r>
        <w:rPr>
          <w:rFonts w:ascii="Times New Roman" w:hAnsi="Times New Roman" w:hint="eastAsia"/>
          <w:sz w:val="24"/>
          <w:szCs w:val="24"/>
        </w:rPr>
        <w:t>v</w:t>
      </w:r>
      <w:r>
        <w:rPr>
          <w:rFonts w:ascii="Times New Roman" w:hAnsi="Times New Roman" w:hint="eastAsia"/>
          <w:sz w:val="24"/>
          <w:szCs w:val="24"/>
          <w:vertAlign w:val="subscript"/>
        </w:rPr>
        <w:t>max</w:t>
      </w:r>
      <w:proofErr w:type="spellEnd"/>
      <w:r>
        <w:rPr>
          <w:rFonts w:ascii="Times New Roman" w:hAnsi="Times New Roman"/>
          <w:sz w:val="24"/>
          <w:szCs w:val="24"/>
        </w:rPr>
        <w:t>) and Michaelis constant (</w:t>
      </w:r>
      <w:r>
        <w:rPr>
          <w:rFonts w:ascii="Times New Roman" w:hAnsi="Times New Roman" w:hint="eastAsia"/>
          <w:i/>
          <w:iCs/>
          <w:sz w:val="24"/>
          <w:szCs w:val="24"/>
        </w:rPr>
        <w:t>k</w:t>
      </w:r>
      <w:r>
        <w:rPr>
          <w:rFonts w:ascii="Times New Roman" w:hAnsi="Times New Roman" w:hint="eastAsia"/>
          <w:i/>
          <w:iCs/>
          <w:sz w:val="24"/>
          <w:szCs w:val="24"/>
          <w:vertAlign w:val="subscript"/>
        </w:rPr>
        <w:t>m</w:t>
      </w:r>
      <w:r>
        <w:rPr>
          <w:rFonts w:ascii="Times New Roman" w:hAnsi="Times New Roman"/>
          <w:sz w:val="24"/>
          <w:szCs w:val="24"/>
        </w:rPr>
        <w:t xml:space="preserve">) </w:t>
      </w:r>
      <w:r>
        <w:rPr>
          <w:rFonts w:ascii="Times New Roman" w:hAnsi="Times New Roman"/>
          <w:sz w:val="24"/>
          <w:szCs w:val="24"/>
        </w:rPr>
        <w:fldChar w:fldCharType="begin"/>
      </w:r>
      <w:r>
        <w:rPr>
          <w:rFonts w:ascii="Times New Roman" w:hAnsi="Times New Roman"/>
          <w:sz w:val="24"/>
          <w:szCs w:val="24"/>
        </w:rPr>
        <w:instrText xml:space="preserve"> ADDIN ZOTERO_ITEM CSL_CITATION {"citationID":"PSiE7Mrz","properties":{"formattedCitation":"[2]","plainCitation":"[2]","noteIndex":0},"citationItems":[{"id":257,"uris":["http://zotero.org/users/12682253/items/42ZFGIEL"],"itemData":{"id":257,"type":"article-journal","abstract":"Herein we report on a novel inorganic peroxidase-mimicking nanocatalyst activated under blue LED photoirradiation. A novel flash-pyrolysis method has been developed for the generation of strong blue photoluminescence (PL) centers attributed to silicon and carbon-based sites within a mesoporous SBA-15 silica nanorod platform. The type of centers and their PL response can be controlled by varying the flash thermal treatment conditions. By tailoring the operating conditions the system can be driven towards the preferential generation of carbon-based luminescent centers, with or without the simultaneous generation of silicon-based centers. The properties and the nature of these luminescent centers within the mesoporous nanorods have been thoroughly corroborated by a battery of characterization techniques including fluorescence spectroscopy, X-ray photoelectron spectroscopy (XPS) and electron energy loss spectroscopy (EELS) at the local level of the structures combined with scanning transmission electron microscopy (STEM) imaging. In addition, these luminescent mesoporous nanorods have been successfully tested as robust photocatalysts able to display peroxidase-like activity and indirect glucose sensing in a wider range of pH conditions compared to the natural enzyme, especially when carbogenic dots and oxygen-deficient silica centers are simultaneously present in the structure.","container-title":"Chemical Science","DOI":"10.1039/C8SC03112F","ISSN":"2041-6539","issue":"40","journalAbbreviation":"Chem. Sci.","language":"en","note":"publisher: The Royal Society of Chemistry","page":"7766-7778","source":"pubs.rsc.org","title":"Luminescent mesoporous nanorods as photocatalytic enzyme-like peroxidase surrogates","volume":"9","author":[{"family":"Ortega-Liebana","given":"M. Carmen"},{"family":"Hueso","given":"Jose L."},{"family":"Fernandez-Pacheco","given":"Rodrigo"},{"family":"Irusta","given":"Silvia"},{"family":"Santamaria","given":"Jesus"}],"issued":{"date-parts":[["2018",10,17]]}}}],"schema":"https://github.com/citation-style-language/schema/raw/master/csl-citation.json"} </w:instrText>
      </w:r>
      <w:r>
        <w:rPr>
          <w:rFonts w:ascii="Times New Roman" w:hAnsi="Times New Roman"/>
          <w:sz w:val="24"/>
          <w:szCs w:val="24"/>
        </w:rPr>
        <w:fldChar w:fldCharType="separate"/>
      </w:r>
      <w:r>
        <w:rPr>
          <w:rFonts w:ascii="Times New Roman" w:hAnsi="Times New Roman" w:hint="eastAsia"/>
          <w:sz w:val="24"/>
        </w:rPr>
        <w:t>[2]</w:t>
      </w:r>
      <w:r>
        <w:rPr>
          <w:rFonts w:ascii="Times New Roman" w:hAnsi="Times New Roman"/>
          <w:sz w:val="24"/>
          <w:szCs w:val="24"/>
        </w:rPr>
        <w:fldChar w:fldCharType="end"/>
      </w:r>
      <w:r>
        <w:rPr>
          <w:rFonts w:ascii="Times New Roman" w:hAnsi="Times New Roman"/>
          <w:sz w:val="24"/>
          <w:szCs w:val="24"/>
        </w:rPr>
        <w:t xml:space="preserve">. </w:t>
      </w:r>
    </w:p>
    <w:p w14:paraId="7FF35288" w14:textId="77777777" w:rsidR="0011262F" w:rsidRDefault="00000000">
      <w:pPr>
        <w:spacing w:line="480" w:lineRule="auto"/>
        <w:jc w:val="left"/>
        <w:rPr>
          <w:rFonts w:ascii="Times New Roman" w:hAnsi="Times New Roman"/>
          <w:b/>
          <w:sz w:val="24"/>
          <w:szCs w:val="24"/>
        </w:rPr>
      </w:pPr>
      <w:r>
        <w:rPr>
          <w:rFonts w:ascii="Times New Roman" w:hAnsi="Times New Roman"/>
          <w:b/>
          <w:noProof/>
          <w:sz w:val="24"/>
          <w:szCs w:val="24"/>
        </w:rPr>
        <w:drawing>
          <wp:inline distT="0" distB="0" distL="114300" distR="114300" wp14:anchorId="03CE98F8" wp14:editId="27CF1EF1">
            <wp:extent cx="1873885" cy="501650"/>
            <wp:effectExtent l="0" t="0" r="5715" b="6350"/>
            <wp:docPr id="1"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7"/>
                    <pic:cNvPicPr>
                      <a:picLocks noChangeAspect="1"/>
                    </pic:cNvPicPr>
                  </pic:nvPicPr>
                  <pic:blipFill>
                    <a:blip r:embed="rId8"/>
                    <a:stretch>
                      <a:fillRect/>
                    </a:stretch>
                  </pic:blipFill>
                  <pic:spPr>
                    <a:xfrm>
                      <a:off x="0" y="0"/>
                      <a:ext cx="1873885" cy="501650"/>
                    </a:xfrm>
                    <a:prstGeom prst="rect">
                      <a:avLst/>
                    </a:prstGeom>
                    <a:noFill/>
                    <a:ln>
                      <a:noFill/>
                    </a:ln>
                  </pic:spPr>
                </pic:pic>
              </a:graphicData>
            </a:graphic>
          </wp:inline>
        </w:drawing>
      </w:r>
      <w:r>
        <w:rPr>
          <w:rFonts w:ascii="Times New Roman" w:hAnsi="Times New Roman"/>
          <w:b/>
          <w:sz w:val="24"/>
          <w:szCs w:val="24"/>
        </w:rPr>
        <w:t xml:space="preserve">                               (1)</w:t>
      </w:r>
    </w:p>
    <w:p w14:paraId="34B239B2" w14:textId="77777777" w:rsidR="0011262F" w:rsidRDefault="00000000">
      <w:pPr>
        <w:spacing w:line="480" w:lineRule="auto"/>
        <w:ind w:firstLineChars="200" w:firstLine="480"/>
        <w:rPr>
          <w:rFonts w:ascii="Times New Roman" w:hAnsi="Times New Roman"/>
          <w:sz w:val="24"/>
          <w:szCs w:val="24"/>
        </w:rPr>
      </w:pPr>
      <w:bookmarkStart w:id="3" w:name="OLE_LINK17"/>
      <w:r>
        <w:rPr>
          <w:rFonts w:ascii="Times New Roman" w:hAnsi="Times New Roman"/>
          <w:sz w:val="24"/>
          <w:szCs w:val="24"/>
        </w:rPr>
        <w:t>Here, [S] represents the substrate TMB concentration</w:t>
      </w:r>
      <w:r>
        <w:rPr>
          <w:rFonts w:ascii="Times New Roman" w:hAnsi="Times New Roman" w:hint="eastAsia"/>
          <w:sz w:val="24"/>
          <w:szCs w:val="24"/>
        </w:rPr>
        <w:t>.</w:t>
      </w:r>
      <w:r>
        <w:rPr>
          <w:rFonts w:ascii="Times New Roman" w:hAnsi="Times New Roman"/>
          <w:sz w:val="24"/>
          <w:szCs w:val="24"/>
        </w:rPr>
        <w:t xml:space="preserve"> </w:t>
      </w:r>
      <w:r>
        <w:rPr>
          <w:rFonts w:ascii="Times New Roman" w:hAnsi="Times New Roman"/>
          <w:i/>
          <w:iCs/>
          <w:sz w:val="24"/>
          <w:szCs w:val="24"/>
        </w:rPr>
        <w:t>K</w:t>
      </w:r>
      <w:r>
        <w:rPr>
          <w:rFonts w:ascii="Times New Roman" w:hAnsi="Times New Roman"/>
          <w:sz w:val="24"/>
          <w:szCs w:val="24"/>
          <w:vertAlign w:val="subscript"/>
        </w:rPr>
        <w:t>m</w:t>
      </w:r>
      <w:r>
        <w:rPr>
          <w:rFonts w:ascii="Times New Roman" w:hAnsi="Times New Roman"/>
          <w:sz w:val="24"/>
          <w:szCs w:val="24"/>
        </w:rPr>
        <w:t xml:space="preserve"> reflects the affinity between the nano-enzyme and the substrate, while </w:t>
      </w:r>
      <w:proofErr w:type="spellStart"/>
      <w:r>
        <w:rPr>
          <w:rFonts w:ascii="Times New Roman" w:hAnsi="Times New Roman"/>
          <w:i/>
          <w:iCs/>
          <w:sz w:val="24"/>
          <w:szCs w:val="24"/>
        </w:rPr>
        <w:t>v</w:t>
      </w:r>
      <w:r>
        <w:rPr>
          <w:rFonts w:ascii="Times New Roman" w:hAnsi="Times New Roman"/>
          <w:sz w:val="24"/>
          <w:szCs w:val="24"/>
          <w:vertAlign w:val="subscript"/>
        </w:rPr>
        <w:t>max</w:t>
      </w:r>
      <w:proofErr w:type="spellEnd"/>
      <w:r>
        <w:rPr>
          <w:rFonts w:ascii="Times New Roman" w:hAnsi="Times New Roman"/>
          <w:sz w:val="24"/>
          <w:szCs w:val="24"/>
        </w:rPr>
        <w:t xml:space="preserve"> characterizes the maximum rate of the catalytic reaction.</w:t>
      </w:r>
    </w:p>
    <w:p w14:paraId="345C391B" w14:textId="77777777" w:rsidR="0011262F" w:rsidRDefault="00000000">
      <w:pPr>
        <w:spacing w:line="480" w:lineRule="auto"/>
        <w:ind w:firstLineChars="200" w:firstLine="480"/>
        <w:rPr>
          <w:rFonts w:ascii="Times New Roman" w:hAnsi="Times New Roman"/>
          <w:color w:val="FF0000"/>
          <w:sz w:val="24"/>
          <w:szCs w:val="24"/>
        </w:rPr>
      </w:pPr>
      <w:r>
        <w:rPr>
          <w:rFonts w:ascii="Times New Roman" w:hAnsi="Times New Roman"/>
          <w:sz w:val="24"/>
          <w:szCs w:val="24"/>
        </w:rPr>
        <w:t xml:space="preserve">The conversion between absorbance and reaction velocity was performed using the Lambert–Beer law (Eq. (2)) </w:t>
      </w:r>
      <w:r>
        <w:rPr>
          <w:rFonts w:ascii="Times New Roman" w:hAnsi="Times New Roman"/>
          <w:sz w:val="24"/>
          <w:szCs w:val="24"/>
        </w:rPr>
        <w:fldChar w:fldCharType="begin"/>
      </w:r>
      <w:r>
        <w:rPr>
          <w:rFonts w:ascii="Times New Roman" w:hAnsi="Times New Roman"/>
          <w:sz w:val="24"/>
          <w:szCs w:val="24"/>
        </w:rPr>
        <w:instrText xml:space="preserve"> ADDIN ZOTERO_ITEM CSL_CITATION {"citationID":"nMna2UJA","properties":{"formattedCitation":"[3]","plainCitation":"[3]","noteIndex":0},"citationItems":[{"id":273,"uris":["http://zotero.org/users/12682253/items/HQYHEX69"],"itemData":{"id":273,"type":"article-journal","abstract":"Novel methods for high-performance detection of Hg2+ in seafood are critical for ensuring food safety and human health. Herein, Ag nanoparticles (Ag NPs) were successfully deposited on carbon microspheres (CMs) to form Ag NPs-CMs na</w:instrText>
      </w:r>
      <w:r>
        <w:rPr>
          <w:rFonts w:ascii="Times New Roman" w:hAnsi="Times New Roman" w:hint="eastAsia"/>
          <w:sz w:val="24"/>
          <w:szCs w:val="24"/>
        </w:rPr>
        <w:instrText>nocomplex. The proposed Ag NPs-CMs could oxidize colorless 3,3</w:instrText>
      </w:r>
      <w:r>
        <w:rPr>
          <w:rFonts w:ascii="Times New Roman" w:hAnsi="Times New Roman" w:hint="eastAsia"/>
          <w:sz w:val="24"/>
          <w:szCs w:val="24"/>
        </w:rPr>
        <w:instrText>′</w:instrText>
      </w:r>
      <w:r>
        <w:rPr>
          <w:rFonts w:ascii="Times New Roman" w:hAnsi="Times New Roman" w:hint="eastAsia"/>
          <w:sz w:val="24"/>
          <w:szCs w:val="24"/>
        </w:rPr>
        <w:instrText>,5,5</w:instrText>
      </w:r>
      <w:r>
        <w:rPr>
          <w:rFonts w:ascii="Times New Roman" w:hAnsi="Times New Roman" w:hint="eastAsia"/>
          <w:sz w:val="24"/>
          <w:szCs w:val="24"/>
        </w:rPr>
        <w:instrText>′</w:instrText>
      </w:r>
      <w:r>
        <w:rPr>
          <w:rFonts w:ascii="Times New Roman" w:hAnsi="Times New Roman" w:hint="eastAsia"/>
          <w:sz w:val="24"/>
          <w:szCs w:val="24"/>
        </w:rPr>
        <w:instrText>-tetramethylbenzidine (TMB) to blue oxidation state TMB (oxTMB) in the presence of hydrogen peroxide (H2O2) and had a significant UV</w:instrText>
      </w:r>
      <w:r>
        <w:rPr>
          <w:rFonts w:ascii="Times New Roman" w:hAnsi="Times New Roman" w:hint="eastAsia"/>
          <w:sz w:val="24"/>
          <w:szCs w:val="24"/>
        </w:rPr>
        <w:instrText>–</w:instrText>
      </w:r>
      <w:r>
        <w:rPr>
          <w:rFonts w:ascii="Times New Roman" w:hAnsi="Times New Roman" w:hint="eastAsia"/>
          <w:sz w:val="24"/>
          <w:szCs w:val="24"/>
        </w:rPr>
        <w:instrText>vis absorption peak at 652 nm. The excellent peroxidas</w:instrText>
      </w:r>
      <w:r>
        <w:rPr>
          <w:rFonts w:ascii="Times New Roman" w:hAnsi="Times New Roman"/>
          <w:sz w:val="24"/>
          <w:szCs w:val="24"/>
        </w:rPr>
        <w:instrText xml:space="preserve">e-like activity was attributed to the increased electrostatic attraction of CMs and the catalytic synergistic effect. After adding Hg2+, the catalytic activity of Ag NPs-CMs was specifically enhanced and the Michaelis–Menten constant (Km) decreased from 0.067 to 0.052 mmol/L due to the formation of Ag-Hg amalgam which produced more superoxide anions (O2•−) and hydroxyl radicals (•OH). The linear response ranges for Hg2+ were 2~833 nmol/L and 2.5~40 μmol/L, with the low detection limit of 1.10 nmol/L. This method was applied to detect Hg2+ in seafood with satisfactory recoveries of 95.65~106.56%. A hydrogel kit was designed for portable detection of Hg2+, and the response range was 0.5~5 μmol/L. This work provides a reliable method for visual Hg2+ detection in seafood as well as a feasible strategy for the design of high-performance nanozymes.","container-title":"Microchimica Acta","DOI":"10.1007/s00604-023-05921-w","ISSN":"1436-5073","issue":"8","journalAbbreviation":"Microchim Acta","language":"en","page":"340","source":"Springer Link","title":"Silver nanoparticles deposited carbon microspheres nanozyme with enhanced peroxidase-like catalysis for colorimetric detection of Hg2+ in seafood","volume":"190","author":[{"family":"Zhang","given":"Ziyi"},{"family":"Liu","given":"Dan"},{"family":"Zhang","given":"Xiaoshuo"},{"family":"Luo","given":"Xueli"},{"family":"Lin","given":"Wanmei"},{"family":"Li","given":"Zhonghong"},{"family":"Huang","given":"Jihong"}],"issued":{"date-parts":[["2023",8,2]]}}}],"schema":"https://github.com/citation-style-language/schema/raw/master/csl-citation.json"} </w:instrText>
      </w:r>
      <w:r>
        <w:rPr>
          <w:rFonts w:ascii="Times New Roman" w:hAnsi="Times New Roman"/>
          <w:sz w:val="24"/>
          <w:szCs w:val="24"/>
        </w:rPr>
        <w:fldChar w:fldCharType="separate"/>
      </w:r>
      <w:r>
        <w:rPr>
          <w:rFonts w:ascii="Times New Roman" w:hAnsi="Times New Roman" w:hint="eastAsia"/>
          <w:sz w:val="24"/>
        </w:rPr>
        <w:t>[3]</w:t>
      </w:r>
      <w:r>
        <w:rPr>
          <w:rFonts w:ascii="Times New Roman" w:hAnsi="Times New Roman"/>
          <w:sz w:val="24"/>
          <w:szCs w:val="24"/>
        </w:rPr>
        <w:fldChar w:fldCharType="end"/>
      </w:r>
      <w:r>
        <w:rPr>
          <w:rFonts w:ascii="Times New Roman" w:hAnsi="Times New Roman"/>
          <w:sz w:val="24"/>
          <w:szCs w:val="24"/>
        </w:rPr>
        <w:t xml:space="preserve">, </w:t>
      </w:r>
      <w:bookmarkEnd w:id="3"/>
      <w:r>
        <w:rPr>
          <w:rFonts w:ascii="Times New Roman" w:hAnsi="Times New Roman"/>
          <w:sz w:val="24"/>
          <w:szCs w:val="24"/>
        </w:rPr>
        <w:t xml:space="preserve">where A represents the absorbed light, ε is the molar absorption coefficient that quantifies the substance's light absorption at a specific wavelength, </w:t>
      </w:r>
      <w:r>
        <w:rPr>
          <w:rFonts w:ascii="Times New Roman" w:hAnsi="Times New Roman"/>
          <w:color w:val="000000"/>
          <w:sz w:val="24"/>
          <w:szCs w:val="24"/>
        </w:rPr>
        <w:t>b is the optical path length, and c is the concentration of the absorbing substance.</w:t>
      </w:r>
    </w:p>
    <w:p w14:paraId="510799AC" w14:textId="77777777" w:rsidR="0011262F" w:rsidRDefault="00000000">
      <w:pPr>
        <w:spacing w:line="480" w:lineRule="auto"/>
        <w:rPr>
          <w:rFonts w:ascii="Times New Roman" w:hAnsi="Times New Roman"/>
          <w:b/>
          <w:sz w:val="24"/>
          <w:szCs w:val="24"/>
        </w:rPr>
      </w:pPr>
      <m:oMath>
        <m:r>
          <w:rPr>
            <w:rFonts w:ascii="Cambria Math" w:hAnsi="Cambria Math" w:cs="Arial"/>
            <w:color w:val="1F2329"/>
            <w:kern w:val="0"/>
            <w:sz w:val="24"/>
            <w:szCs w:val="24"/>
            <w:shd w:val="clear" w:color="auto" w:fill="FFFFFF"/>
          </w:rPr>
          <m:t>A = εbc</m:t>
        </m:r>
      </m:oMath>
      <w:r>
        <w:rPr>
          <w:rFonts w:ascii="Times New Roman" w:hAnsi="Times New Roman"/>
          <w:sz w:val="24"/>
          <w:szCs w:val="24"/>
        </w:rPr>
        <w:t xml:space="preserve">                               </w:t>
      </w:r>
      <w:r>
        <w:rPr>
          <w:rFonts w:ascii="Times New Roman" w:hAnsi="Times New Roman" w:hint="eastAsia"/>
          <w:sz w:val="24"/>
          <w:szCs w:val="24"/>
        </w:rPr>
        <w:t xml:space="preserve">     </w:t>
      </w:r>
      <w:r>
        <w:rPr>
          <w:rFonts w:ascii="Times New Roman" w:hAnsi="Times New Roman"/>
          <w:sz w:val="24"/>
          <w:szCs w:val="24"/>
        </w:rPr>
        <w:t xml:space="preserve">     </w:t>
      </w:r>
      <w:r>
        <w:rPr>
          <w:rFonts w:ascii="Times New Roman" w:hAnsi="Times New Roman"/>
          <w:b/>
          <w:bCs/>
          <w:sz w:val="24"/>
          <w:szCs w:val="24"/>
        </w:rPr>
        <w:t xml:space="preserve">   </w:t>
      </w:r>
      <w:r>
        <w:rPr>
          <w:rFonts w:ascii="Times New Roman" w:hAnsi="Times New Roman" w:hint="eastAsia"/>
          <w:b/>
          <w:bCs/>
          <w:sz w:val="24"/>
          <w:szCs w:val="24"/>
        </w:rPr>
        <w:t xml:space="preserve">  </w:t>
      </w:r>
      <w:r>
        <w:rPr>
          <w:rFonts w:ascii="Times New Roman" w:hAnsi="Times New Roman"/>
          <w:b/>
          <w:bCs/>
          <w:sz w:val="24"/>
          <w:szCs w:val="24"/>
        </w:rPr>
        <w:t xml:space="preserve">  </w:t>
      </w:r>
      <w:r>
        <w:rPr>
          <w:rFonts w:ascii="Times New Roman" w:hAnsi="Times New Roman"/>
          <w:b/>
          <w:sz w:val="24"/>
          <w:szCs w:val="24"/>
        </w:rPr>
        <w:t>(2)</w:t>
      </w:r>
    </w:p>
    <w:p w14:paraId="2B9F45A9" w14:textId="77777777" w:rsidR="0011262F" w:rsidRDefault="0011262F">
      <w:pPr>
        <w:spacing w:line="480" w:lineRule="auto"/>
        <w:ind w:firstLineChars="200" w:firstLine="480"/>
        <w:rPr>
          <w:rFonts w:ascii="Times New Roman" w:hAnsi="Times New Roman"/>
          <w:bCs/>
          <w:color w:val="000000"/>
          <w:sz w:val="24"/>
          <w:szCs w:val="24"/>
        </w:rPr>
      </w:pPr>
    </w:p>
    <w:p w14:paraId="184026A2" w14:textId="77777777" w:rsidR="0011262F" w:rsidRDefault="00000000">
      <w:pPr>
        <w:spacing w:line="480" w:lineRule="auto"/>
        <w:rPr>
          <w:rFonts w:ascii="Times New Roman" w:hAnsi="Times New Roman"/>
          <w:b/>
          <w:color w:val="000000"/>
          <w:sz w:val="24"/>
          <w:szCs w:val="24"/>
        </w:rPr>
      </w:pPr>
      <w:r>
        <w:rPr>
          <w:rFonts w:ascii="Times New Roman" w:hAnsi="Times New Roman"/>
          <w:b/>
          <w:color w:val="000000"/>
          <w:sz w:val="24"/>
          <w:szCs w:val="24"/>
        </w:rPr>
        <w:br w:type="page"/>
      </w:r>
      <w:r>
        <w:rPr>
          <w:rFonts w:ascii="Times New Roman" w:hAnsi="Times New Roman"/>
          <w:b/>
          <w:bCs/>
          <w:iCs/>
          <w:color w:val="000000"/>
          <w:sz w:val="24"/>
          <w:szCs w:val="24"/>
        </w:rPr>
        <w:lastRenderedPageBreak/>
        <w:t>Optimization of the experimental conditions</w:t>
      </w:r>
    </w:p>
    <w:p w14:paraId="7016DE34" w14:textId="77777777" w:rsidR="0011262F" w:rsidRDefault="00000000">
      <w:pPr>
        <w:spacing w:line="480" w:lineRule="auto"/>
        <w:contextualSpacing/>
        <w:rPr>
          <w:rFonts w:ascii="Times New Roman" w:eastAsia="宋体" w:hAnsi="Times New Roman"/>
          <w:b/>
          <w:bCs/>
          <w:color w:val="000000"/>
          <w:sz w:val="24"/>
          <w:szCs w:val="24"/>
        </w:rPr>
      </w:pPr>
      <w:r>
        <w:rPr>
          <w:rFonts w:ascii="Times New Roman" w:eastAsia="宋体" w:hAnsi="Times New Roman"/>
          <w:b/>
          <w:bCs/>
          <w:color w:val="000000"/>
          <w:sz w:val="24"/>
          <w:szCs w:val="24"/>
        </w:rPr>
        <w:t>Optimization of reaction temperature</w:t>
      </w:r>
    </w:p>
    <w:p w14:paraId="38576A6D" w14:textId="77777777" w:rsidR="0011262F" w:rsidRDefault="00000000">
      <w:pPr>
        <w:spacing w:line="480" w:lineRule="auto"/>
        <w:ind w:firstLineChars="200" w:firstLine="480"/>
        <w:contextualSpacing/>
        <w:rPr>
          <w:rFonts w:ascii="Times New Roman" w:eastAsia="宋体" w:hAnsi="Times New Roman"/>
          <w:color w:val="000000"/>
          <w:sz w:val="24"/>
          <w:szCs w:val="24"/>
        </w:rPr>
      </w:pPr>
      <w:r>
        <w:rPr>
          <w:rFonts w:ascii="Times New Roman" w:eastAsia="宋体" w:hAnsi="Times New Roman"/>
          <w:color w:val="000000"/>
          <w:sz w:val="24"/>
          <w:szCs w:val="24"/>
        </w:rPr>
        <w:t>To investigate the effect of temperature on detection sensitivity, COF-</w:t>
      </w:r>
      <w:proofErr w:type="spellStart"/>
      <w:r>
        <w:rPr>
          <w:rFonts w:ascii="Times New Roman" w:eastAsia="宋体" w:hAnsi="Times New Roman"/>
          <w:color w:val="000000"/>
          <w:sz w:val="24"/>
          <w:szCs w:val="24"/>
        </w:rPr>
        <w:t>AgNPs</w:t>
      </w:r>
      <w:proofErr w:type="spellEnd"/>
      <w:r>
        <w:rPr>
          <w:rFonts w:ascii="Times New Roman" w:eastAsia="宋体" w:hAnsi="Times New Roman"/>
          <w:color w:val="000000"/>
          <w:sz w:val="24"/>
          <w:szCs w:val="24"/>
        </w:rPr>
        <w:t xml:space="preserve"> (50 </w:t>
      </w:r>
      <w:proofErr w:type="spellStart"/>
      <w:r>
        <w:rPr>
          <w:rFonts w:ascii="Times New Roman" w:eastAsia="宋体" w:hAnsi="Times New Roman"/>
          <w:color w:val="000000"/>
          <w:sz w:val="24"/>
          <w:szCs w:val="24"/>
        </w:rPr>
        <w:t>μL</w:t>
      </w:r>
      <w:proofErr w:type="spellEnd"/>
      <w:r>
        <w:rPr>
          <w:rFonts w:ascii="Times New Roman" w:eastAsia="宋体" w:hAnsi="Times New Roman"/>
          <w:color w:val="000000"/>
          <w:sz w:val="24"/>
          <w:szCs w:val="24"/>
        </w:rPr>
        <w:t xml:space="preserve">, 1.0 mg/mL) and TMB (200 </w:t>
      </w:r>
      <w:proofErr w:type="spellStart"/>
      <w:r>
        <w:rPr>
          <w:rFonts w:ascii="Times New Roman" w:eastAsia="宋体" w:hAnsi="Times New Roman"/>
          <w:color w:val="000000"/>
          <w:sz w:val="24"/>
          <w:szCs w:val="24"/>
        </w:rPr>
        <w:t>μL</w:t>
      </w:r>
      <w:proofErr w:type="spellEnd"/>
      <w:r>
        <w:rPr>
          <w:rFonts w:ascii="Times New Roman" w:eastAsia="宋体" w:hAnsi="Times New Roman"/>
          <w:color w:val="000000"/>
          <w:sz w:val="24"/>
          <w:szCs w:val="24"/>
        </w:rPr>
        <w:t xml:space="preserve">, 0.5 mM) were added to the </w:t>
      </w:r>
      <w:proofErr w:type="spellStart"/>
      <w:r>
        <w:rPr>
          <w:rFonts w:ascii="Times New Roman" w:eastAsia="宋体" w:hAnsi="Times New Roman"/>
          <w:color w:val="000000"/>
          <w:sz w:val="24"/>
          <w:szCs w:val="24"/>
        </w:rPr>
        <w:t>HAc-NaAc</w:t>
      </w:r>
      <w:proofErr w:type="spellEnd"/>
      <w:r>
        <w:rPr>
          <w:rFonts w:ascii="Times New Roman" w:eastAsia="宋体" w:hAnsi="Times New Roman"/>
          <w:color w:val="000000"/>
          <w:sz w:val="24"/>
          <w:szCs w:val="24"/>
        </w:rPr>
        <w:t xml:space="preserve"> buffer (1mL, pH 5.0) system,</w:t>
      </w:r>
      <w:r>
        <w:rPr>
          <w:rFonts w:ascii="Times New Roman" w:eastAsia="宋体" w:hAnsi="Times New Roman"/>
          <w:sz w:val="24"/>
          <w:szCs w:val="24"/>
        </w:rPr>
        <w:t xml:space="preserve"> </w:t>
      </w:r>
      <w:r>
        <w:rPr>
          <w:rFonts w:ascii="Times New Roman" w:eastAsia="宋体" w:hAnsi="Times New Roman"/>
          <w:color w:val="000000"/>
          <w:sz w:val="24"/>
          <w:szCs w:val="24"/>
        </w:rPr>
        <w:t>followed by the addition of Hg</w:t>
      </w:r>
      <w:r>
        <w:rPr>
          <w:rFonts w:ascii="Times New Roman" w:eastAsia="宋体" w:hAnsi="Times New Roman" w:hint="eastAsia"/>
          <w:color w:val="000000"/>
          <w:sz w:val="24"/>
          <w:szCs w:val="24"/>
          <w:vertAlign w:val="superscript"/>
        </w:rPr>
        <w:t>2+</w:t>
      </w:r>
      <w:r>
        <w:rPr>
          <w:rFonts w:ascii="Times New Roman" w:eastAsia="宋体" w:hAnsi="Times New Roman"/>
          <w:color w:val="000000"/>
          <w:sz w:val="24"/>
          <w:szCs w:val="24"/>
        </w:rPr>
        <w:t xml:space="preserve"> standard solution (final concentration of 10 </w:t>
      </w:r>
      <w:proofErr w:type="spellStart"/>
      <w:r>
        <w:rPr>
          <w:rFonts w:ascii="Times New Roman" w:eastAsia="宋体" w:hAnsi="Times New Roman"/>
          <w:color w:val="000000"/>
          <w:sz w:val="24"/>
          <w:szCs w:val="24"/>
        </w:rPr>
        <w:t>μM</w:t>
      </w:r>
      <w:proofErr w:type="spellEnd"/>
      <w:r>
        <w:rPr>
          <w:rFonts w:ascii="Times New Roman" w:eastAsia="宋体" w:hAnsi="Times New Roman"/>
          <w:color w:val="000000"/>
          <w:sz w:val="24"/>
          <w:szCs w:val="24"/>
        </w:rPr>
        <w:t>).</w:t>
      </w:r>
      <w:r>
        <w:rPr>
          <w:rFonts w:ascii="Times New Roman" w:eastAsia="宋体" w:hAnsi="Times New Roman"/>
          <w:sz w:val="24"/>
          <w:szCs w:val="24"/>
        </w:rPr>
        <w:t xml:space="preserve"> </w:t>
      </w:r>
      <w:r>
        <w:rPr>
          <w:rFonts w:ascii="Times New Roman" w:eastAsia="宋体" w:hAnsi="Times New Roman"/>
          <w:color w:val="000000"/>
          <w:sz w:val="24"/>
          <w:szCs w:val="24"/>
        </w:rPr>
        <w:t>The resulting mixture was incubated at different temperatures (4, 10, 20, 30, 40, 50, 60, 70</w:t>
      </w:r>
      <w:r>
        <w:rPr>
          <w:rFonts w:ascii="Times New Roman" w:eastAsia="宋体" w:hAnsi="Times New Roman" w:hint="eastAsia"/>
          <w:color w:val="000000"/>
          <w:sz w:val="24"/>
          <w:szCs w:val="24"/>
        </w:rPr>
        <w:t xml:space="preserve"> and</w:t>
      </w:r>
      <w:r>
        <w:rPr>
          <w:rFonts w:ascii="Times New Roman" w:eastAsia="宋体" w:hAnsi="Times New Roman"/>
          <w:color w:val="000000"/>
          <w:sz w:val="24"/>
          <w:szCs w:val="24"/>
        </w:rPr>
        <w:t xml:space="preserve"> 80 °C) for 10 min. Immediately after reaction completion, the absorbance values at 652 nm were measured for both the </w:t>
      </w:r>
      <w:r>
        <w:rPr>
          <w:rFonts w:ascii="Times New Roman" w:eastAsia="宋体" w:hAnsi="Times New Roman"/>
          <w:bCs/>
          <w:color w:val="000000"/>
          <w:sz w:val="24"/>
          <w:szCs w:val="24"/>
        </w:rPr>
        <w:t>Hg</w:t>
      </w:r>
      <w:r>
        <w:rPr>
          <w:rFonts w:ascii="Times New Roman" w:eastAsia="宋体" w:hAnsi="Times New Roman"/>
          <w:bCs/>
          <w:color w:val="000000"/>
          <w:sz w:val="24"/>
          <w:szCs w:val="24"/>
          <w:vertAlign w:val="superscript"/>
        </w:rPr>
        <w:t>2+</w:t>
      </w:r>
      <w:r>
        <w:rPr>
          <w:rFonts w:ascii="Times New Roman" w:eastAsia="宋体" w:hAnsi="Times New Roman"/>
          <w:color w:val="000000"/>
          <w:sz w:val="24"/>
          <w:szCs w:val="24"/>
        </w:rPr>
        <w:t xml:space="preserve">-containing group and the control group. The optimal reaction temperature was determined based on the principle of maximizing the absorbance difference. </w:t>
      </w:r>
    </w:p>
    <w:p w14:paraId="0C9AA30E" w14:textId="77777777" w:rsidR="0011262F" w:rsidRDefault="0011262F">
      <w:pPr>
        <w:spacing w:line="480" w:lineRule="auto"/>
        <w:ind w:firstLineChars="200" w:firstLine="480"/>
        <w:contextualSpacing/>
        <w:rPr>
          <w:rFonts w:ascii="Times New Roman" w:eastAsia="宋体" w:hAnsi="Times New Roman"/>
          <w:color w:val="000000"/>
          <w:sz w:val="24"/>
          <w:szCs w:val="24"/>
        </w:rPr>
      </w:pPr>
    </w:p>
    <w:p w14:paraId="236E0031" w14:textId="77777777" w:rsidR="0011262F" w:rsidRDefault="00000000">
      <w:pPr>
        <w:spacing w:line="480" w:lineRule="auto"/>
        <w:contextualSpacing/>
        <w:rPr>
          <w:rFonts w:ascii="Times New Roman" w:eastAsia="宋体" w:hAnsi="Times New Roman"/>
          <w:b/>
          <w:bCs/>
          <w:color w:val="000000"/>
          <w:sz w:val="24"/>
          <w:szCs w:val="24"/>
        </w:rPr>
      </w:pPr>
      <w:r>
        <w:rPr>
          <w:rFonts w:ascii="Times New Roman" w:eastAsia="宋体" w:hAnsi="Times New Roman"/>
          <w:b/>
          <w:bCs/>
          <w:color w:val="000000"/>
          <w:sz w:val="24"/>
          <w:szCs w:val="24"/>
        </w:rPr>
        <w:t>Optimization of reaction time</w:t>
      </w:r>
    </w:p>
    <w:p w14:paraId="4E0A22CE" w14:textId="77777777" w:rsidR="0011262F" w:rsidRDefault="00000000">
      <w:pPr>
        <w:spacing w:line="480" w:lineRule="auto"/>
        <w:ind w:firstLineChars="200" w:firstLine="480"/>
        <w:contextualSpacing/>
        <w:rPr>
          <w:rFonts w:ascii="Times New Roman" w:eastAsia="宋体" w:hAnsi="Times New Roman"/>
          <w:color w:val="000000"/>
          <w:sz w:val="24"/>
          <w:szCs w:val="24"/>
        </w:rPr>
      </w:pPr>
      <w:r>
        <w:rPr>
          <w:rFonts w:ascii="Times New Roman" w:eastAsia="宋体" w:hAnsi="Times New Roman"/>
          <w:color w:val="000000"/>
          <w:sz w:val="24"/>
          <w:szCs w:val="24"/>
        </w:rPr>
        <w:t xml:space="preserve">To determine the optimal reaction time, experiments were conducted under fixed conditions: </w:t>
      </w:r>
      <w:proofErr w:type="spellStart"/>
      <w:r>
        <w:rPr>
          <w:rFonts w:ascii="Times New Roman" w:eastAsia="宋体" w:hAnsi="Times New Roman"/>
          <w:color w:val="000000"/>
          <w:sz w:val="24"/>
          <w:szCs w:val="24"/>
        </w:rPr>
        <w:t>HAc-NaAc</w:t>
      </w:r>
      <w:proofErr w:type="spellEnd"/>
      <w:r>
        <w:rPr>
          <w:rFonts w:ascii="Times New Roman" w:eastAsia="宋体" w:hAnsi="Times New Roman"/>
          <w:color w:val="000000"/>
          <w:sz w:val="24"/>
          <w:szCs w:val="24"/>
        </w:rPr>
        <w:t xml:space="preserve"> buffer (1 mL, pH 5.0), TMB (200 </w:t>
      </w:r>
      <w:proofErr w:type="spellStart"/>
      <w:r>
        <w:rPr>
          <w:rFonts w:ascii="Times New Roman" w:eastAsia="宋体" w:hAnsi="Times New Roman"/>
          <w:color w:val="000000"/>
          <w:sz w:val="24"/>
          <w:szCs w:val="24"/>
        </w:rPr>
        <w:t>μL</w:t>
      </w:r>
      <w:proofErr w:type="spellEnd"/>
      <w:r>
        <w:rPr>
          <w:rFonts w:ascii="Times New Roman" w:eastAsia="宋体" w:hAnsi="Times New Roman"/>
          <w:color w:val="000000"/>
          <w:sz w:val="24"/>
          <w:szCs w:val="24"/>
        </w:rPr>
        <w:t>, 0.5 mM), COF-</w:t>
      </w:r>
      <w:proofErr w:type="spellStart"/>
      <w:r>
        <w:rPr>
          <w:rFonts w:ascii="Times New Roman" w:eastAsia="宋体" w:hAnsi="Times New Roman"/>
          <w:color w:val="000000"/>
          <w:sz w:val="24"/>
          <w:szCs w:val="24"/>
        </w:rPr>
        <w:t>AgNPs</w:t>
      </w:r>
      <w:proofErr w:type="spellEnd"/>
      <w:r>
        <w:rPr>
          <w:rFonts w:ascii="Times New Roman" w:eastAsia="宋体" w:hAnsi="Times New Roman"/>
          <w:color w:val="000000"/>
          <w:sz w:val="24"/>
          <w:szCs w:val="24"/>
        </w:rPr>
        <w:t xml:space="preserve"> (50 </w:t>
      </w:r>
      <w:proofErr w:type="spellStart"/>
      <w:r>
        <w:rPr>
          <w:rFonts w:ascii="Times New Roman" w:eastAsia="宋体" w:hAnsi="Times New Roman"/>
          <w:color w:val="000000"/>
          <w:sz w:val="24"/>
          <w:szCs w:val="24"/>
        </w:rPr>
        <w:t>μL</w:t>
      </w:r>
      <w:proofErr w:type="spellEnd"/>
      <w:r>
        <w:rPr>
          <w:rFonts w:ascii="Times New Roman" w:eastAsia="宋体" w:hAnsi="Times New Roman"/>
          <w:color w:val="000000"/>
          <w:sz w:val="24"/>
          <w:szCs w:val="24"/>
        </w:rPr>
        <w:t>, 1.0 mg/mL), and Hg</w:t>
      </w:r>
      <w:r>
        <w:rPr>
          <w:rFonts w:ascii="Times New Roman" w:eastAsia="宋体" w:hAnsi="Times New Roman" w:hint="eastAsia"/>
          <w:color w:val="000000"/>
          <w:sz w:val="24"/>
          <w:szCs w:val="24"/>
          <w:vertAlign w:val="superscript"/>
        </w:rPr>
        <w:t>2+</w:t>
      </w:r>
      <w:r>
        <w:rPr>
          <w:rFonts w:ascii="Times New Roman" w:eastAsia="宋体" w:hAnsi="Times New Roman"/>
          <w:color w:val="000000"/>
          <w:sz w:val="24"/>
          <w:szCs w:val="24"/>
        </w:rPr>
        <w:t xml:space="preserve"> standard solution (final concentration of 10 </w:t>
      </w:r>
      <w:proofErr w:type="spellStart"/>
      <w:r>
        <w:rPr>
          <w:rFonts w:ascii="Times New Roman" w:eastAsia="宋体" w:hAnsi="Times New Roman"/>
          <w:color w:val="000000"/>
          <w:sz w:val="24"/>
          <w:szCs w:val="24"/>
        </w:rPr>
        <w:t>μM</w:t>
      </w:r>
      <w:proofErr w:type="spellEnd"/>
      <w:r>
        <w:rPr>
          <w:rFonts w:ascii="Times New Roman" w:eastAsia="宋体" w:hAnsi="Times New Roman"/>
          <w:color w:val="000000"/>
          <w:sz w:val="24"/>
          <w:szCs w:val="24"/>
        </w:rPr>
        <w:t>). The reaction was carried out at 25 °C, and the absorbance changes at 652 nm were monitored in real time at different time points for both the Hg</w:t>
      </w:r>
      <w:r>
        <w:rPr>
          <w:rFonts w:ascii="Times New Roman" w:eastAsia="宋体" w:hAnsi="Times New Roman" w:hint="eastAsia"/>
          <w:color w:val="000000"/>
          <w:sz w:val="24"/>
          <w:szCs w:val="24"/>
          <w:vertAlign w:val="superscript"/>
        </w:rPr>
        <w:t>2+</w:t>
      </w:r>
      <w:r>
        <w:rPr>
          <w:rFonts w:ascii="Times New Roman" w:eastAsia="宋体" w:hAnsi="Times New Roman"/>
          <w:color w:val="000000"/>
          <w:sz w:val="24"/>
          <w:szCs w:val="24"/>
        </w:rPr>
        <w:t>-containing group and the control group. The optimal reaction time was selected based on the absorbance difference reaching a plateau and remaining stable.</w:t>
      </w:r>
    </w:p>
    <w:p w14:paraId="75E60BDB" w14:textId="77777777" w:rsidR="0011262F" w:rsidRDefault="0011262F">
      <w:pPr>
        <w:spacing w:line="480" w:lineRule="auto"/>
        <w:ind w:firstLineChars="200" w:firstLine="480"/>
        <w:contextualSpacing/>
        <w:rPr>
          <w:rFonts w:ascii="Times New Roman" w:eastAsia="宋体" w:hAnsi="Times New Roman"/>
          <w:color w:val="000000"/>
          <w:sz w:val="24"/>
          <w:szCs w:val="24"/>
        </w:rPr>
      </w:pPr>
    </w:p>
    <w:p w14:paraId="1561B44B" w14:textId="77777777" w:rsidR="0011262F" w:rsidRDefault="00000000">
      <w:pPr>
        <w:spacing w:line="480" w:lineRule="auto"/>
        <w:contextualSpacing/>
        <w:rPr>
          <w:rFonts w:ascii="Times New Roman" w:eastAsia="宋体" w:hAnsi="Times New Roman"/>
          <w:b/>
          <w:bCs/>
          <w:color w:val="000000"/>
          <w:sz w:val="24"/>
          <w:szCs w:val="24"/>
        </w:rPr>
      </w:pPr>
      <w:r>
        <w:rPr>
          <w:rFonts w:ascii="Times New Roman" w:eastAsia="宋体" w:hAnsi="Times New Roman"/>
          <w:b/>
          <w:bCs/>
          <w:color w:val="000000"/>
          <w:sz w:val="24"/>
          <w:szCs w:val="24"/>
        </w:rPr>
        <w:t>Optimization of nano</w:t>
      </w:r>
      <w:r>
        <w:rPr>
          <w:rFonts w:ascii="Times New Roman" w:eastAsia="宋体" w:hAnsi="Times New Roman" w:hint="eastAsia"/>
          <w:b/>
          <w:bCs/>
          <w:color w:val="000000"/>
          <w:sz w:val="24"/>
          <w:szCs w:val="24"/>
        </w:rPr>
        <w:t>-</w:t>
      </w:r>
      <w:r>
        <w:rPr>
          <w:rFonts w:ascii="Times New Roman" w:eastAsia="宋体" w:hAnsi="Times New Roman"/>
          <w:b/>
          <w:bCs/>
          <w:color w:val="000000"/>
          <w:sz w:val="24"/>
          <w:szCs w:val="24"/>
        </w:rPr>
        <w:t>enzyme amount</w:t>
      </w:r>
    </w:p>
    <w:p w14:paraId="604E4BBB" w14:textId="77777777" w:rsidR="0011262F" w:rsidRDefault="00000000">
      <w:pPr>
        <w:spacing w:line="480" w:lineRule="auto"/>
        <w:ind w:firstLineChars="200" w:firstLine="480"/>
        <w:contextualSpacing/>
        <w:rPr>
          <w:rFonts w:ascii="Times New Roman" w:eastAsia="宋体" w:hAnsi="Times New Roman"/>
          <w:color w:val="000000"/>
          <w:sz w:val="24"/>
          <w:szCs w:val="24"/>
        </w:rPr>
      </w:pPr>
      <w:r>
        <w:rPr>
          <w:rFonts w:ascii="Times New Roman" w:eastAsia="宋体" w:hAnsi="Times New Roman"/>
          <w:color w:val="000000"/>
          <w:sz w:val="24"/>
          <w:szCs w:val="24"/>
        </w:rPr>
        <w:t>To determine the optimal dosage of COF-</w:t>
      </w:r>
      <w:proofErr w:type="spellStart"/>
      <w:r>
        <w:rPr>
          <w:rFonts w:ascii="Times New Roman" w:eastAsia="宋体" w:hAnsi="Times New Roman"/>
          <w:color w:val="000000"/>
          <w:sz w:val="24"/>
          <w:szCs w:val="24"/>
        </w:rPr>
        <w:t>AgNPs</w:t>
      </w:r>
      <w:proofErr w:type="spellEnd"/>
      <w:r>
        <w:rPr>
          <w:rFonts w:ascii="Times New Roman" w:eastAsia="宋体" w:hAnsi="Times New Roman"/>
          <w:color w:val="000000"/>
          <w:sz w:val="24"/>
          <w:szCs w:val="24"/>
        </w:rPr>
        <w:t xml:space="preserve"> nano-catalysts, the reaction </w:t>
      </w:r>
      <w:r>
        <w:rPr>
          <w:rFonts w:ascii="Times New Roman" w:eastAsia="宋体" w:hAnsi="Times New Roman"/>
          <w:color w:val="000000"/>
          <w:sz w:val="24"/>
          <w:szCs w:val="24"/>
        </w:rPr>
        <w:lastRenderedPageBreak/>
        <w:t xml:space="preserve">conditions were fixed as follows: </w:t>
      </w:r>
      <w:proofErr w:type="spellStart"/>
      <w:r>
        <w:rPr>
          <w:rFonts w:ascii="Times New Roman" w:eastAsia="宋体" w:hAnsi="Times New Roman"/>
          <w:color w:val="000000"/>
          <w:sz w:val="24"/>
          <w:szCs w:val="24"/>
        </w:rPr>
        <w:t>HAc-NaAc</w:t>
      </w:r>
      <w:proofErr w:type="spellEnd"/>
      <w:r>
        <w:rPr>
          <w:rFonts w:ascii="Times New Roman" w:eastAsia="宋体" w:hAnsi="Times New Roman"/>
          <w:color w:val="000000"/>
          <w:sz w:val="24"/>
          <w:szCs w:val="24"/>
        </w:rPr>
        <w:t xml:space="preserve"> buffer (1 mL, pH 5.0), TMB (200 </w:t>
      </w:r>
      <w:proofErr w:type="spellStart"/>
      <w:r>
        <w:rPr>
          <w:rFonts w:ascii="Times New Roman" w:eastAsia="宋体" w:hAnsi="Times New Roman"/>
          <w:color w:val="000000"/>
          <w:sz w:val="24"/>
          <w:szCs w:val="24"/>
        </w:rPr>
        <w:t>μL</w:t>
      </w:r>
      <w:proofErr w:type="spellEnd"/>
      <w:r>
        <w:rPr>
          <w:rFonts w:ascii="Times New Roman" w:eastAsia="宋体" w:hAnsi="Times New Roman"/>
          <w:color w:val="000000"/>
          <w:sz w:val="24"/>
          <w:szCs w:val="24"/>
        </w:rPr>
        <w:t>, 0.5 mM), reaction temperature (25 °C), and reaction time (10 min). Hg</w:t>
      </w:r>
      <w:r>
        <w:rPr>
          <w:rFonts w:ascii="Times New Roman" w:eastAsia="宋体" w:hAnsi="Times New Roman" w:hint="eastAsia"/>
          <w:color w:val="000000"/>
          <w:sz w:val="24"/>
          <w:szCs w:val="24"/>
          <w:vertAlign w:val="superscript"/>
        </w:rPr>
        <w:t>2+</w:t>
      </w:r>
      <w:r>
        <w:rPr>
          <w:rFonts w:ascii="Times New Roman" w:eastAsia="宋体" w:hAnsi="Times New Roman"/>
          <w:color w:val="000000"/>
          <w:sz w:val="24"/>
          <w:szCs w:val="24"/>
        </w:rPr>
        <w:t xml:space="preserve"> standard solution (final concentration of 10 </w:t>
      </w:r>
      <w:proofErr w:type="spellStart"/>
      <w:r>
        <w:rPr>
          <w:rFonts w:ascii="Times New Roman" w:eastAsia="宋体" w:hAnsi="Times New Roman"/>
          <w:color w:val="000000"/>
          <w:sz w:val="24"/>
          <w:szCs w:val="24"/>
        </w:rPr>
        <w:t>μM</w:t>
      </w:r>
      <w:proofErr w:type="spellEnd"/>
      <w:r>
        <w:rPr>
          <w:rFonts w:ascii="Times New Roman" w:eastAsia="宋体" w:hAnsi="Times New Roman"/>
          <w:color w:val="000000"/>
          <w:sz w:val="24"/>
          <w:szCs w:val="24"/>
        </w:rPr>
        <w:t>) was then added, and the dosage of COF-</w:t>
      </w:r>
      <w:proofErr w:type="spellStart"/>
      <w:r>
        <w:rPr>
          <w:rFonts w:ascii="Times New Roman" w:eastAsia="宋体" w:hAnsi="Times New Roman"/>
          <w:color w:val="000000"/>
          <w:sz w:val="24"/>
          <w:szCs w:val="24"/>
        </w:rPr>
        <w:t>AgNPs</w:t>
      </w:r>
      <w:proofErr w:type="spellEnd"/>
      <w:r>
        <w:rPr>
          <w:rFonts w:ascii="Times New Roman" w:eastAsia="宋体" w:hAnsi="Times New Roman"/>
          <w:color w:val="000000"/>
          <w:sz w:val="24"/>
          <w:szCs w:val="24"/>
        </w:rPr>
        <w:t xml:space="preserve"> was varied (0.25, 0.5, 1.0, 1.5, and 2.0 mg/mL). The effects of COF-</w:t>
      </w:r>
      <w:proofErr w:type="spellStart"/>
      <w:r>
        <w:rPr>
          <w:rFonts w:ascii="Times New Roman" w:eastAsia="宋体" w:hAnsi="Times New Roman"/>
          <w:color w:val="000000"/>
          <w:sz w:val="24"/>
          <w:szCs w:val="24"/>
        </w:rPr>
        <w:t>AgNPs</w:t>
      </w:r>
      <w:proofErr w:type="spellEnd"/>
      <w:r>
        <w:rPr>
          <w:rFonts w:ascii="Times New Roman" w:eastAsia="宋体" w:hAnsi="Times New Roman"/>
          <w:color w:val="000000"/>
          <w:sz w:val="24"/>
          <w:szCs w:val="24"/>
        </w:rPr>
        <w:t xml:space="preserve"> dosage on the reaction were evaluated by measuring the absorbance at 652 nm for both Hg</w:t>
      </w:r>
      <w:r>
        <w:rPr>
          <w:rFonts w:ascii="Times New Roman" w:eastAsia="宋体" w:hAnsi="Times New Roman" w:hint="eastAsia"/>
          <w:color w:val="000000"/>
          <w:sz w:val="24"/>
          <w:szCs w:val="24"/>
          <w:vertAlign w:val="superscript"/>
        </w:rPr>
        <w:t>2+</w:t>
      </w:r>
      <w:r>
        <w:rPr>
          <w:rFonts w:ascii="Times New Roman" w:eastAsia="宋体" w:hAnsi="Times New Roman"/>
          <w:color w:val="000000"/>
          <w:sz w:val="24"/>
          <w:szCs w:val="24"/>
        </w:rPr>
        <w:t>-containing and Hg</w:t>
      </w:r>
      <w:r>
        <w:rPr>
          <w:rFonts w:ascii="Times New Roman" w:eastAsia="宋体" w:hAnsi="Times New Roman" w:hint="eastAsia"/>
          <w:color w:val="000000"/>
          <w:sz w:val="24"/>
          <w:szCs w:val="24"/>
          <w:vertAlign w:val="superscript"/>
        </w:rPr>
        <w:t>2+</w:t>
      </w:r>
      <w:r>
        <w:rPr>
          <w:rFonts w:ascii="Times New Roman" w:eastAsia="宋体" w:hAnsi="Times New Roman"/>
          <w:color w:val="000000"/>
          <w:sz w:val="24"/>
          <w:szCs w:val="24"/>
        </w:rPr>
        <w:t>-free control groups. The optimal nanozyme dosage was selected based on maximizing the absorbance difference between the two groups.</w:t>
      </w:r>
    </w:p>
    <w:p w14:paraId="36BC1E66" w14:textId="77777777" w:rsidR="0011262F" w:rsidRDefault="0011262F">
      <w:pPr>
        <w:spacing w:line="480" w:lineRule="auto"/>
        <w:ind w:firstLineChars="200" w:firstLine="480"/>
        <w:contextualSpacing/>
        <w:rPr>
          <w:rFonts w:ascii="Times New Roman" w:eastAsia="宋体" w:hAnsi="Times New Roman"/>
          <w:color w:val="000000"/>
          <w:sz w:val="24"/>
          <w:szCs w:val="24"/>
        </w:rPr>
      </w:pPr>
    </w:p>
    <w:p w14:paraId="69E7043F" w14:textId="77777777" w:rsidR="0011262F" w:rsidRDefault="00000000">
      <w:pPr>
        <w:spacing w:line="480" w:lineRule="auto"/>
        <w:contextualSpacing/>
        <w:rPr>
          <w:rFonts w:ascii="Times New Roman" w:eastAsia="宋体" w:hAnsi="Times New Roman"/>
          <w:b/>
          <w:bCs/>
          <w:color w:val="000000"/>
          <w:sz w:val="24"/>
          <w:szCs w:val="24"/>
        </w:rPr>
      </w:pPr>
      <w:r>
        <w:rPr>
          <w:rFonts w:ascii="Times New Roman" w:eastAsia="宋体" w:hAnsi="Times New Roman"/>
          <w:b/>
          <w:bCs/>
          <w:color w:val="000000"/>
          <w:sz w:val="24"/>
          <w:szCs w:val="24"/>
        </w:rPr>
        <w:t>Optimization of buffer pH</w:t>
      </w:r>
    </w:p>
    <w:p w14:paraId="5E9AD2E1" w14:textId="77777777" w:rsidR="0011262F" w:rsidRDefault="00000000">
      <w:pPr>
        <w:spacing w:line="480" w:lineRule="auto"/>
        <w:ind w:firstLineChars="200" w:firstLine="480"/>
        <w:contextualSpacing/>
        <w:rPr>
          <w:rFonts w:ascii="Times New Roman" w:eastAsia="宋体" w:hAnsi="Times New Roman"/>
          <w:color w:val="000000"/>
          <w:sz w:val="24"/>
          <w:szCs w:val="24"/>
        </w:rPr>
      </w:pPr>
      <w:r>
        <w:rPr>
          <w:rFonts w:ascii="Times New Roman" w:eastAsia="宋体" w:hAnsi="Times New Roman"/>
          <w:color w:val="000000"/>
          <w:sz w:val="24"/>
          <w:szCs w:val="24"/>
        </w:rPr>
        <w:t>Given the significant influence of pH on nanozyme catalytic activity and reaction kinetics, the amounts of COF-</w:t>
      </w:r>
      <w:proofErr w:type="spellStart"/>
      <w:r>
        <w:rPr>
          <w:rFonts w:ascii="Times New Roman" w:eastAsia="宋体" w:hAnsi="Times New Roman"/>
          <w:color w:val="000000"/>
          <w:sz w:val="24"/>
          <w:szCs w:val="24"/>
        </w:rPr>
        <w:t>AgNPs</w:t>
      </w:r>
      <w:proofErr w:type="spellEnd"/>
      <w:r>
        <w:rPr>
          <w:rFonts w:ascii="Times New Roman" w:eastAsia="宋体" w:hAnsi="Times New Roman"/>
          <w:color w:val="000000"/>
          <w:sz w:val="24"/>
          <w:szCs w:val="24"/>
        </w:rPr>
        <w:t xml:space="preserve"> (50 </w:t>
      </w:r>
      <w:proofErr w:type="spellStart"/>
      <w:r>
        <w:rPr>
          <w:rFonts w:ascii="Times New Roman" w:eastAsia="宋体" w:hAnsi="Times New Roman"/>
          <w:color w:val="000000"/>
          <w:sz w:val="24"/>
          <w:szCs w:val="24"/>
        </w:rPr>
        <w:t>μL</w:t>
      </w:r>
      <w:proofErr w:type="spellEnd"/>
      <w:r>
        <w:rPr>
          <w:rFonts w:ascii="Times New Roman" w:eastAsia="宋体" w:hAnsi="Times New Roman"/>
          <w:color w:val="000000"/>
          <w:sz w:val="24"/>
          <w:szCs w:val="24"/>
        </w:rPr>
        <w:t xml:space="preserve">, 1.0 mg/mL) and TMB (200 </w:t>
      </w:r>
      <w:proofErr w:type="spellStart"/>
      <w:r>
        <w:rPr>
          <w:rFonts w:ascii="Times New Roman" w:eastAsia="宋体" w:hAnsi="Times New Roman"/>
          <w:color w:val="000000"/>
          <w:sz w:val="24"/>
          <w:szCs w:val="24"/>
        </w:rPr>
        <w:t>μL</w:t>
      </w:r>
      <w:proofErr w:type="spellEnd"/>
      <w:r>
        <w:rPr>
          <w:rFonts w:ascii="Times New Roman" w:eastAsia="宋体" w:hAnsi="Times New Roman"/>
          <w:color w:val="000000"/>
          <w:sz w:val="24"/>
          <w:szCs w:val="24"/>
        </w:rPr>
        <w:t>, 0.5 mM), as well as the reaction temperature (25 °C), were fixed in the reaction system. Hg</w:t>
      </w:r>
      <w:r>
        <w:rPr>
          <w:rFonts w:ascii="Times New Roman" w:eastAsia="宋体" w:hAnsi="Times New Roman" w:hint="eastAsia"/>
          <w:color w:val="000000"/>
          <w:sz w:val="24"/>
          <w:szCs w:val="24"/>
          <w:vertAlign w:val="superscript"/>
        </w:rPr>
        <w:t>2+</w:t>
      </w:r>
      <w:r>
        <w:rPr>
          <w:rFonts w:ascii="Times New Roman" w:eastAsia="宋体" w:hAnsi="Times New Roman"/>
          <w:color w:val="000000"/>
          <w:sz w:val="24"/>
          <w:szCs w:val="24"/>
        </w:rPr>
        <w:t xml:space="preserve"> standard solution (final concentration of 10 </w:t>
      </w:r>
      <w:proofErr w:type="spellStart"/>
      <w:r>
        <w:rPr>
          <w:rFonts w:ascii="Times New Roman" w:eastAsia="宋体" w:hAnsi="Times New Roman"/>
          <w:color w:val="000000"/>
          <w:sz w:val="24"/>
          <w:szCs w:val="24"/>
        </w:rPr>
        <w:t>μM</w:t>
      </w:r>
      <w:proofErr w:type="spellEnd"/>
      <w:r>
        <w:rPr>
          <w:rFonts w:ascii="Times New Roman" w:eastAsia="宋体" w:hAnsi="Times New Roman"/>
          <w:color w:val="000000"/>
          <w:sz w:val="24"/>
          <w:szCs w:val="24"/>
        </w:rPr>
        <w:t xml:space="preserve">) was then added, and the reaction was conducted for 10 min in </w:t>
      </w:r>
      <w:proofErr w:type="spellStart"/>
      <w:r>
        <w:rPr>
          <w:rFonts w:ascii="Times New Roman" w:eastAsia="宋体" w:hAnsi="Times New Roman"/>
          <w:color w:val="000000"/>
          <w:sz w:val="24"/>
          <w:szCs w:val="24"/>
        </w:rPr>
        <w:t>HAc-NaAc</w:t>
      </w:r>
      <w:proofErr w:type="spellEnd"/>
      <w:r>
        <w:rPr>
          <w:rFonts w:ascii="Times New Roman" w:eastAsia="宋体" w:hAnsi="Times New Roman"/>
          <w:color w:val="000000"/>
          <w:sz w:val="24"/>
          <w:szCs w:val="24"/>
        </w:rPr>
        <w:t xml:space="preserve"> buffers at different pH values (2.0, 3.0, 4.0, 5.0, 6.0, 7.0, </w:t>
      </w:r>
      <w:r>
        <w:rPr>
          <w:rFonts w:ascii="Times New Roman" w:eastAsia="宋体" w:hAnsi="Times New Roman" w:hint="eastAsia"/>
          <w:color w:val="000000"/>
          <w:sz w:val="24"/>
          <w:szCs w:val="24"/>
        </w:rPr>
        <w:t xml:space="preserve">and </w:t>
      </w:r>
      <w:r>
        <w:rPr>
          <w:rFonts w:ascii="Times New Roman" w:eastAsia="宋体" w:hAnsi="Times New Roman"/>
          <w:color w:val="000000"/>
          <w:sz w:val="24"/>
          <w:szCs w:val="24"/>
        </w:rPr>
        <w:t>8.0). Absorbance values at 652 nm were measured using a microplate reader. The optimal reaction pH was determined by analyzing the trend of absorbance difference between the Hg</w:t>
      </w:r>
      <w:r>
        <w:rPr>
          <w:rFonts w:ascii="Times New Roman" w:eastAsia="宋体" w:hAnsi="Times New Roman" w:hint="eastAsia"/>
          <w:color w:val="000000"/>
          <w:sz w:val="24"/>
          <w:szCs w:val="24"/>
          <w:vertAlign w:val="superscript"/>
        </w:rPr>
        <w:t>2+</w:t>
      </w:r>
      <w:r>
        <w:rPr>
          <w:rFonts w:ascii="Times New Roman" w:eastAsia="宋体" w:hAnsi="Times New Roman"/>
          <w:color w:val="000000"/>
          <w:sz w:val="24"/>
          <w:szCs w:val="24"/>
        </w:rPr>
        <w:t xml:space="preserve">-containing group and the control group as a function of </w:t>
      </w:r>
      <w:proofErr w:type="spellStart"/>
      <w:r>
        <w:rPr>
          <w:rFonts w:ascii="Times New Roman" w:eastAsia="宋体" w:hAnsi="Times New Roman"/>
          <w:color w:val="000000"/>
          <w:sz w:val="24"/>
          <w:szCs w:val="24"/>
        </w:rPr>
        <w:t>pH.</w:t>
      </w:r>
      <w:proofErr w:type="spellEnd"/>
    </w:p>
    <w:p w14:paraId="7498F473" w14:textId="77777777" w:rsidR="0011262F" w:rsidRDefault="0011262F">
      <w:pPr>
        <w:spacing w:line="480" w:lineRule="auto"/>
        <w:ind w:firstLineChars="200" w:firstLine="480"/>
        <w:contextualSpacing/>
        <w:rPr>
          <w:rFonts w:ascii="Times New Roman" w:eastAsia="宋体" w:hAnsi="Times New Roman"/>
          <w:color w:val="000000"/>
          <w:sz w:val="24"/>
          <w:szCs w:val="24"/>
        </w:rPr>
      </w:pPr>
    </w:p>
    <w:p w14:paraId="2AE6E381" w14:textId="77777777" w:rsidR="0011262F" w:rsidRDefault="00000000">
      <w:pPr>
        <w:spacing w:line="480" w:lineRule="auto"/>
        <w:contextualSpacing/>
        <w:rPr>
          <w:rFonts w:ascii="Times New Roman" w:eastAsia="宋体" w:hAnsi="Times New Roman"/>
          <w:b/>
          <w:bCs/>
          <w:strike/>
          <w:color w:val="000000"/>
          <w:sz w:val="24"/>
          <w:szCs w:val="24"/>
        </w:rPr>
      </w:pPr>
      <w:r>
        <w:rPr>
          <w:rFonts w:ascii="Times New Roman" w:eastAsia="宋体" w:hAnsi="Times New Roman"/>
          <w:b/>
          <w:bCs/>
          <w:color w:val="000000"/>
          <w:sz w:val="24"/>
          <w:szCs w:val="24"/>
        </w:rPr>
        <w:t xml:space="preserve">Optimization of TMB </w:t>
      </w:r>
      <w:r>
        <w:rPr>
          <w:rFonts w:ascii="Times New Roman" w:hAnsi="Times New Roman"/>
          <w:b/>
          <w:bCs/>
          <w:sz w:val="24"/>
          <w:szCs w:val="24"/>
        </w:rPr>
        <w:t>amount</w:t>
      </w:r>
    </w:p>
    <w:p w14:paraId="76B28BED" w14:textId="77777777" w:rsidR="0011262F" w:rsidRDefault="00000000">
      <w:pPr>
        <w:widowControl/>
        <w:spacing w:line="480" w:lineRule="auto"/>
        <w:ind w:firstLineChars="200" w:firstLine="480"/>
        <w:rPr>
          <w:rFonts w:ascii="Times New Roman" w:hAnsi="Times New Roman"/>
          <w:color w:val="000000"/>
          <w:sz w:val="24"/>
          <w:szCs w:val="24"/>
        </w:rPr>
      </w:pPr>
      <w:bookmarkStart w:id="4" w:name="OLE_LINK1"/>
      <w:r>
        <w:rPr>
          <w:rFonts w:ascii="Times New Roman" w:hAnsi="Times New Roman"/>
          <w:color w:val="000000"/>
          <w:sz w:val="24"/>
          <w:szCs w:val="24"/>
        </w:rPr>
        <w:t xml:space="preserve">To determine the optimal amount of the chromogenic substrate TMB, the following conditions were fixed in an </w:t>
      </w:r>
      <w:proofErr w:type="spellStart"/>
      <w:r>
        <w:rPr>
          <w:rFonts w:ascii="Times New Roman" w:hAnsi="Times New Roman"/>
          <w:color w:val="000000"/>
          <w:sz w:val="24"/>
          <w:szCs w:val="24"/>
        </w:rPr>
        <w:t>HAc-NaAc</w:t>
      </w:r>
      <w:proofErr w:type="spellEnd"/>
      <w:r>
        <w:rPr>
          <w:rFonts w:ascii="Times New Roman" w:hAnsi="Times New Roman"/>
          <w:color w:val="000000"/>
          <w:sz w:val="24"/>
          <w:szCs w:val="24"/>
        </w:rPr>
        <w:t xml:space="preserve"> buffer (1 mL, pH 5.0) system: COF-</w:t>
      </w:r>
      <w:proofErr w:type="spellStart"/>
      <w:r>
        <w:rPr>
          <w:rFonts w:ascii="Times New Roman" w:hAnsi="Times New Roman"/>
          <w:color w:val="000000"/>
          <w:sz w:val="24"/>
          <w:szCs w:val="24"/>
        </w:rPr>
        <w:lastRenderedPageBreak/>
        <w:t>AgNPs</w:t>
      </w:r>
      <w:proofErr w:type="spellEnd"/>
      <w:r>
        <w:rPr>
          <w:rFonts w:ascii="Times New Roman" w:hAnsi="Times New Roman"/>
          <w:color w:val="000000"/>
          <w:sz w:val="24"/>
          <w:szCs w:val="24"/>
        </w:rPr>
        <w:t xml:space="preserve"> nano-catalyst amount (50 </w:t>
      </w:r>
      <w:proofErr w:type="spellStart"/>
      <w:r>
        <w:rPr>
          <w:rFonts w:ascii="Times New Roman" w:hAnsi="Times New Roman"/>
          <w:color w:val="000000"/>
          <w:sz w:val="24"/>
          <w:szCs w:val="24"/>
        </w:rPr>
        <w:t>μL</w:t>
      </w:r>
      <w:proofErr w:type="spellEnd"/>
      <w:r>
        <w:rPr>
          <w:rFonts w:ascii="Times New Roman" w:hAnsi="Times New Roman"/>
          <w:color w:val="000000"/>
          <w:sz w:val="24"/>
          <w:szCs w:val="24"/>
        </w:rPr>
        <w:t xml:space="preserve">, 1.0 mg/mL), reaction temperature (25 °C), and reaction time (10 min), followed by the addition of </w:t>
      </w:r>
      <w:r>
        <w:rPr>
          <w:rFonts w:ascii="Times New Roman" w:eastAsia="宋体" w:hAnsi="Times New Roman"/>
          <w:color w:val="000000"/>
          <w:sz w:val="24"/>
          <w:szCs w:val="24"/>
        </w:rPr>
        <w:t>Hg</w:t>
      </w:r>
      <w:r>
        <w:rPr>
          <w:rFonts w:ascii="Times New Roman" w:eastAsia="宋体" w:hAnsi="Times New Roman" w:hint="eastAsia"/>
          <w:color w:val="000000"/>
          <w:sz w:val="24"/>
          <w:szCs w:val="24"/>
          <w:vertAlign w:val="superscript"/>
        </w:rPr>
        <w:t>2+</w:t>
      </w:r>
      <w:r>
        <w:rPr>
          <w:rFonts w:ascii="Times New Roman" w:hAnsi="Times New Roman"/>
          <w:color w:val="000000"/>
          <w:sz w:val="24"/>
          <w:szCs w:val="24"/>
        </w:rPr>
        <w:t xml:space="preserve"> standard solution (final concentration of 10 </w:t>
      </w:r>
      <w:proofErr w:type="spellStart"/>
      <w:r>
        <w:rPr>
          <w:rFonts w:ascii="Times New Roman" w:hAnsi="Times New Roman"/>
          <w:color w:val="000000"/>
          <w:sz w:val="24"/>
          <w:szCs w:val="24"/>
        </w:rPr>
        <w:t>μM</w:t>
      </w:r>
      <w:proofErr w:type="spellEnd"/>
      <w:r>
        <w:rPr>
          <w:rFonts w:ascii="Times New Roman" w:hAnsi="Times New Roman"/>
          <w:color w:val="000000"/>
          <w:sz w:val="24"/>
          <w:szCs w:val="24"/>
        </w:rPr>
        <w:t xml:space="preserve">). The effects of varying TMB concentrations (0.2, 0.3, 0.4, 0.5, 0.6, 0.7, 0.8, 0.9, </w:t>
      </w:r>
      <w:r>
        <w:rPr>
          <w:rFonts w:ascii="Times New Roman" w:hAnsi="Times New Roman" w:hint="eastAsia"/>
          <w:color w:val="000000"/>
          <w:sz w:val="24"/>
          <w:szCs w:val="24"/>
        </w:rPr>
        <w:t xml:space="preserve">and </w:t>
      </w:r>
      <w:r>
        <w:rPr>
          <w:rFonts w:ascii="Times New Roman" w:hAnsi="Times New Roman"/>
          <w:color w:val="000000"/>
          <w:sz w:val="24"/>
          <w:szCs w:val="24"/>
        </w:rPr>
        <w:t xml:space="preserve">1.0 mM) on the reaction system were investigated. After the reaction, the absorbance was measured at 652 nm. The optimal TMB amount was selected based on maximizing the absorbance difference between the </w:t>
      </w:r>
      <w:r>
        <w:rPr>
          <w:rFonts w:ascii="Times New Roman" w:eastAsia="宋体" w:hAnsi="Times New Roman"/>
          <w:color w:val="000000"/>
          <w:sz w:val="24"/>
          <w:szCs w:val="24"/>
        </w:rPr>
        <w:t>Hg</w:t>
      </w:r>
      <w:r>
        <w:rPr>
          <w:rFonts w:ascii="Times New Roman" w:eastAsia="宋体" w:hAnsi="Times New Roman" w:hint="eastAsia"/>
          <w:color w:val="000000"/>
          <w:sz w:val="24"/>
          <w:szCs w:val="24"/>
          <w:vertAlign w:val="superscript"/>
        </w:rPr>
        <w:t>2+</w:t>
      </w:r>
      <w:r>
        <w:rPr>
          <w:rFonts w:ascii="Times New Roman" w:hAnsi="Times New Roman"/>
          <w:color w:val="000000"/>
          <w:sz w:val="24"/>
          <w:szCs w:val="24"/>
        </w:rPr>
        <w:t xml:space="preserve">-containing system and the </w:t>
      </w:r>
      <w:r>
        <w:rPr>
          <w:rFonts w:ascii="Times New Roman" w:eastAsia="宋体" w:hAnsi="Times New Roman"/>
          <w:color w:val="000000"/>
          <w:sz w:val="24"/>
          <w:szCs w:val="24"/>
        </w:rPr>
        <w:t>Hg</w:t>
      </w:r>
      <w:r>
        <w:rPr>
          <w:rFonts w:ascii="Times New Roman" w:eastAsia="宋体" w:hAnsi="Times New Roman" w:hint="eastAsia"/>
          <w:color w:val="000000"/>
          <w:sz w:val="24"/>
          <w:szCs w:val="24"/>
          <w:vertAlign w:val="superscript"/>
        </w:rPr>
        <w:t>2+</w:t>
      </w:r>
      <w:r>
        <w:rPr>
          <w:rFonts w:ascii="Times New Roman" w:hAnsi="Times New Roman"/>
          <w:color w:val="000000"/>
          <w:sz w:val="24"/>
          <w:szCs w:val="24"/>
        </w:rPr>
        <w:t>-free system.</w:t>
      </w:r>
    </w:p>
    <w:p w14:paraId="3AAEE88D" w14:textId="77777777" w:rsidR="0011262F" w:rsidRDefault="0011262F">
      <w:pPr>
        <w:rPr>
          <w:rFonts w:ascii="Times New Roman" w:hAnsi="Times New Roman"/>
          <w:color w:val="000000"/>
          <w:sz w:val="24"/>
          <w:szCs w:val="24"/>
        </w:rPr>
      </w:pPr>
    </w:p>
    <w:p w14:paraId="631C40F6" w14:textId="77777777" w:rsidR="0011262F" w:rsidRDefault="00000000">
      <w:pPr>
        <w:rPr>
          <w:rFonts w:ascii="Times New Roman" w:hAnsi="Times New Roman"/>
          <w:color w:val="000000"/>
          <w:sz w:val="24"/>
          <w:szCs w:val="24"/>
        </w:rPr>
      </w:pPr>
      <w:r>
        <w:rPr>
          <w:rFonts w:ascii="Times New Roman" w:hAnsi="Times New Roman"/>
          <w:color w:val="000000"/>
          <w:sz w:val="24"/>
          <w:szCs w:val="24"/>
        </w:rPr>
        <w:br w:type="page"/>
      </w:r>
    </w:p>
    <w:p w14:paraId="4DF5121B" w14:textId="77777777" w:rsidR="0011262F" w:rsidRDefault="00000000">
      <w:pPr>
        <w:spacing w:line="480" w:lineRule="auto"/>
        <w:rPr>
          <w:rFonts w:ascii="Times New Roman" w:eastAsia="宋体" w:hAnsi="Times New Roman"/>
          <w:b/>
          <w:bCs/>
          <w:iCs/>
          <w:color w:val="000000" w:themeColor="text1"/>
          <w:sz w:val="24"/>
          <w:szCs w:val="24"/>
        </w:rPr>
      </w:pPr>
      <w:r>
        <w:rPr>
          <w:rFonts w:ascii="Times New Roman" w:eastAsia="宋体" w:hAnsi="Times New Roman"/>
          <w:b/>
          <w:bCs/>
          <w:iCs/>
          <w:color w:val="000000" w:themeColor="text1"/>
          <w:sz w:val="24"/>
          <w:szCs w:val="24"/>
        </w:rPr>
        <w:lastRenderedPageBreak/>
        <w:t>Construction of Multimodal ML</w:t>
      </w:r>
    </w:p>
    <w:p w14:paraId="4DC46F7F" w14:textId="77777777" w:rsidR="0011262F" w:rsidRDefault="00000000">
      <w:pPr>
        <w:spacing w:line="480" w:lineRule="auto"/>
        <w:ind w:firstLineChars="200" w:firstLine="480"/>
        <w:rPr>
          <w:rFonts w:ascii="Times New Roman" w:eastAsia="宋体" w:hAnsi="Times New Roman"/>
          <w:color w:val="000000" w:themeColor="text1"/>
          <w:sz w:val="24"/>
          <w:szCs w:val="24"/>
        </w:rPr>
      </w:pPr>
      <w:r>
        <w:rPr>
          <w:rFonts w:ascii="Times New Roman" w:eastAsia="宋体" w:hAnsi="Times New Roman"/>
          <w:color w:val="000000" w:themeColor="text1"/>
          <w:sz w:val="24"/>
          <w:szCs w:val="24"/>
        </w:rPr>
        <w:t xml:space="preserve">To automatically discover hidden and high-value quantitative relationships and patterns from complex actual detection data, and to overcome the limitations faced by traditional analysis methods, the analysis method of ML was adopted in this work for the study of real sample detection. </w:t>
      </w:r>
    </w:p>
    <w:p w14:paraId="03F6453D" w14:textId="77777777" w:rsidR="0011262F" w:rsidRDefault="00000000">
      <w:pPr>
        <w:spacing w:line="480" w:lineRule="auto"/>
        <w:ind w:firstLineChars="200" w:firstLine="480"/>
        <w:rPr>
          <w:rFonts w:ascii="Times New Roman" w:eastAsia="宋体" w:hAnsi="Times New Roman"/>
          <w:color w:val="000000" w:themeColor="text1"/>
          <w:sz w:val="24"/>
          <w:szCs w:val="24"/>
        </w:rPr>
      </w:pPr>
      <w:r>
        <w:rPr>
          <w:rFonts w:ascii="Times New Roman" w:eastAsia="宋体" w:hAnsi="Times New Roman"/>
          <w:color w:val="000000" w:themeColor="text1"/>
          <w:sz w:val="24"/>
          <w:szCs w:val="24"/>
        </w:rPr>
        <w:t xml:space="preserve">The ML processing flow is shown in the </w:t>
      </w:r>
      <w:r>
        <w:rPr>
          <w:rFonts w:ascii="Times New Roman" w:eastAsia="宋体" w:hAnsi="Times New Roman"/>
          <w:iCs/>
          <w:color w:val="0070C0"/>
          <w:sz w:val="24"/>
          <w:szCs w:val="24"/>
        </w:rPr>
        <w:t>Fig. S1</w:t>
      </w:r>
      <w:r>
        <w:rPr>
          <w:rFonts w:ascii="Times New Roman" w:eastAsia="宋体" w:hAnsi="Times New Roman"/>
          <w:color w:val="000000" w:themeColor="text1"/>
          <w:sz w:val="24"/>
          <w:szCs w:val="24"/>
        </w:rPr>
        <w:t xml:space="preserve">. </w:t>
      </w:r>
      <w:bookmarkStart w:id="5" w:name="OLE_LINK30"/>
      <w:r>
        <w:rPr>
          <w:rFonts w:ascii="Times New Roman" w:eastAsia="宋体" w:hAnsi="Times New Roman"/>
          <w:color w:val="000000" w:themeColor="text1"/>
          <w:sz w:val="24"/>
          <w:szCs w:val="24"/>
        </w:rPr>
        <w:t>Firstly, we collected the initial ML input data, including spectral and RGB measurements.</w:t>
      </w:r>
      <w:bookmarkEnd w:id="5"/>
      <w:r>
        <w:rPr>
          <w:rFonts w:ascii="Times New Roman" w:eastAsia="宋体" w:hAnsi="Times New Roman"/>
          <w:color w:val="000000" w:themeColor="text1"/>
          <w:sz w:val="24"/>
          <w:szCs w:val="24"/>
        </w:rPr>
        <w:t xml:space="preserve"> A multimodal data acquisition strategy was used to construct a Hg</w:t>
      </w:r>
      <w:r>
        <w:rPr>
          <w:rFonts w:ascii="Times New Roman" w:eastAsia="宋体" w:hAnsi="Times New Roman"/>
          <w:color w:val="000000" w:themeColor="text1"/>
          <w:sz w:val="24"/>
          <w:szCs w:val="24"/>
          <w:vertAlign w:val="superscript"/>
        </w:rPr>
        <w:t>2+</w:t>
      </w:r>
      <w:r>
        <w:rPr>
          <w:rFonts w:ascii="Times New Roman" w:eastAsia="宋体" w:hAnsi="Times New Roman"/>
          <w:color w:val="000000" w:themeColor="text1"/>
          <w:sz w:val="24"/>
          <w:szCs w:val="24"/>
        </w:rPr>
        <w:t xml:space="preserve"> sample set (n=752) with a concentration gradient ranging from 0.01 to 50 </w:t>
      </w:r>
      <w:proofErr w:type="spellStart"/>
      <w:r>
        <w:rPr>
          <w:rFonts w:ascii="Times New Roman" w:eastAsia="宋体" w:hAnsi="Times New Roman"/>
          <w:color w:val="000000" w:themeColor="text1"/>
          <w:sz w:val="24"/>
          <w:szCs w:val="24"/>
        </w:rPr>
        <w:t>μM</w:t>
      </w:r>
      <w:proofErr w:type="spellEnd"/>
      <w:r>
        <w:rPr>
          <w:rFonts w:ascii="Times New Roman" w:eastAsia="宋体" w:hAnsi="Times New Roman"/>
          <w:color w:val="000000" w:themeColor="text1"/>
          <w:sz w:val="24"/>
          <w:szCs w:val="24"/>
        </w:rPr>
        <w:t xml:space="preserve">. Spectral data were obtained using a </w:t>
      </w:r>
      <w:proofErr w:type="spellStart"/>
      <w:r>
        <w:rPr>
          <w:rFonts w:ascii="Times New Roman" w:eastAsia="宋体" w:hAnsi="Times New Roman"/>
          <w:color w:val="000000" w:themeColor="text1"/>
          <w:sz w:val="24"/>
          <w:szCs w:val="24"/>
        </w:rPr>
        <w:t>Muktisjan</w:t>
      </w:r>
      <w:proofErr w:type="spellEnd"/>
      <w:r>
        <w:rPr>
          <w:rFonts w:ascii="Times New Roman" w:eastAsia="宋体" w:hAnsi="Times New Roman"/>
          <w:color w:val="000000" w:themeColor="text1"/>
          <w:sz w:val="24"/>
          <w:szCs w:val="24"/>
        </w:rPr>
        <w:t xml:space="preserve"> </w:t>
      </w:r>
      <w:proofErr w:type="spellStart"/>
      <w:r>
        <w:rPr>
          <w:rFonts w:ascii="Times New Roman" w:eastAsia="宋体" w:hAnsi="Times New Roman"/>
          <w:color w:val="000000" w:themeColor="text1"/>
          <w:sz w:val="24"/>
          <w:szCs w:val="24"/>
        </w:rPr>
        <w:t>SkyHigh</w:t>
      </w:r>
      <w:proofErr w:type="spellEnd"/>
      <w:r>
        <w:rPr>
          <w:rFonts w:ascii="Times New Roman" w:eastAsia="宋体" w:hAnsi="Times New Roman"/>
          <w:color w:val="000000" w:themeColor="text1"/>
          <w:sz w:val="24"/>
          <w:szCs w:val="24"/>
        </w:rPr>
        <w:t xml:space="preserve"> microplate reader, capturing high-resolution spectra across the 400–800 nm wavelength range, resulting in 400-dimensional feature vectors. RGB data were acquired by capturing reaction system images under standard D65 illumination (5500K) with an iPhone </w:t>
      </w:r>
      <w:proofErr w:type="spellStart"/>
      <w:r>
        <w:rPr>
          <w:rFonts w:ascii="Times New Roman" w:eastAsia="宋体" w:hAnsi="Times New Roman"/>
          <w:color w:val="000000" w:themeColor="text1"/>
          <w:sz w:val="24"/>
          <w:szCs w:val="24"/>
        </w:rPr>
        <w:t>Xs</w:t>
      </w:r>
      <w:proofErr w:type="spellEnd"/>
      <w:r>
        <w:rPr>
          <w:rFonts w:ascii="Times New Roman" w:eastAsia="宋体" w:hAnsi="Times New Roman"/>
          <w:color w:val="000000" w:themeColor="text1"/>
          <w:sz w:val="24"/>
          <w:szCs w:val="24"/>
        </w:rPr>
        <w:t xml:space="preserve"> smartphone, and RGB channel values were extracted using Color Picker software. </w:t>
      </w:r>
    </w:p>
    <w:p w14:paraId="19CAF06E" w14:textId="77777777" w:rsidR="0011262F" w:rsidRDefault="00000000">
      <w:pPr>
        <w:spacing w:line="480" w:lineRule="auto"/>
        <w:ind w:firstLineChars="200" w:firstLine="480"/>
        <w:rPr>
          <w:rFonts w:ascii="Times New Roman" w:eastAsia="宋体" w:hAnsi="Times New Roman"/>
          <w:color w:val="000000" w:themeColor="text1"/>
          <w:sz w:val="24"/>
          <w:szCs w:val="24"/>
        </w:rPr>
      </w:pPr>
      <w:r>
        <w:rPr>
          <w:rFonts w:ascii="Times New Roman" w:eastAsia="宋体" w:hAnsi="Times New Roman"/>
          <w:color w:val="000000" w:themeColor="text1"/>
          <w:sz w:val="24"/>
          <w:szCs w:val="24"/>
        </w:rPr>
        <w:t xml:space="preserve">Secondly, the second step involves data preprocessing, feature extraction, and dataset division. On the </w:t>
      </w:r>
      <w:proofErr w:type="spellStart"/>
      <w:r>
        <w:rPr>
          <w:rFonts w:ascii="Times New Roman" w:eastAsia="宋体" w:hAnsi="Times New Roman"/>
          <w:color w:val="000000" w:themeColor="text1"/>
          <w:sz w:val="24"/>
          <w:szCs w:val="24"/>
        </w:rPr>
        <w:t>Matlab</w:t>
      </w:r>
      <w:proofErr w:type="spellEnd"/>
      <w:r>
        <w:rPr>
          <w:rFonts w:ascii="Times New Roman" w:eastAsia="宋体" w:hAnsi="Times New Roman"/>
          <w:color w:val="000000" w:themeColor="text1"/>
          <w:sz w:val="24"/>
          <w:szCs w:val="24"/>
        </w:rPr>
        <w:t xml:space="preserve"> platform, five preprocessing methods (multiplicative scatter correction (MSC), standard normal variate (SNV), first-order derivative (D1), and second-order derivative (D2), </w:t>
      </w:r>
      <w:proofErr w:type="spellStart"/>
      <w:r>
        <w:rPr>
          <w:rFonts w:ascii="Times New Roman" w:eastAsia="宋体" w:hAnsi="Times New Roman"/>
          <w:color w:val="000000" w:themeColor="text1"/>
          <w:sz w:val="24"/>
          <w:szCs w:val="24"/>
        </w:rPr>
        <w:t>savitzky-golay</w:t>
      </w:r>
      <w:proofErr w:type="spellEnd"/>
      <w:r>
        <w:rPr>
          <w:rFonts w:ascii="Times New Roman" w:eastAsia="宋体" w:hAnsi="Times New Roman"/>
          <w:color w:val="000000" w:themeColor="text1"/>
          <w:sz w:val="24"/>
          <w:szCs w:val="24"/>
        </w:rPr>
        <w:t xml:space="preserve"> (SG) smoothing) were employed to process the original spectral data. The processed results were compared with the original spectral data to determine the most suitable processing method. Then three feature selection algorithms (principal component analysis (PCA), successive projections algorithm (SPA), and competitive adaptive reweighted sampling (CARS)) </w:t>
      </w:r>
      <w:r>
        <w:rPr>
          <w:rFonts w:ascii="Times New Roman" w:eastAsia="宋体" w:hAnsi="Times New Roman"/>
          <w:color w:val="000000" w:themeColor="text1"/>
          <w:sz w:val="24"/>
          <w:szCs w:val="24"/>
        </w:rPr>
        <w:lastRenderedPageBreak/>
        <w:t>were implemented using the Python scikit-learn library to select key wavelength variables, thereby reducing the 400-dimensional high-resolution spectral data to 10-dimensional feature vectors. After that, a stratified sampling strategy was adopted to randomly divide the dataset (comprising spectral data and RGB data) into a training set (n=526) and a test set (n=226) in a 7:3 ratio.</w:t>
      </w:r>
    </w:p>
    <w:p w14:paraId="19767971" w14:textId="77777777" w:rsidR="0011262F" w:rsidRDefault="00000000">
      <w:pPr>
        <w:spacing w:line="480" w:lineRule="auto"/>
        <w:ind w:firstLineChars="200" w:firstLine="480"/>
        <w:rPr>
          <w:rFonts w:ascii="Times New Roman" w:eastAsia="宋体" w:hAnsi="Times New Roman"/>
          <w:color w:val="000000" w:themeColor="text1"/>
          <w:sz w:val="24"/>
          <w:szCs w:val="24"/>
        </w:rPr>
      </w:pPr>
      <w:r>
        <w:rPr>
          <w:rFonts w:ascii="Times New Roman" w:eastAsia="宋体" w:hAnsi="Times New Roman"/>
          <w:color w:val="000000" w:themeColor="text1"/>
          <w:sz w:val="24"/>
          <w:szCs w:val="24"/>
        </w:rPr>
        <w:t xml:space="preserve">Finally, the selection and training of the ML model, and the verification of the final detection results. This work employed three different sets of feature groups as input data for model training: spectral features, RGB features, and the fused features combining spectral data and RGB data. It then conducted a systematic evaluation of the performance of five ML algorithms (random forest (RF), support vector machine (SVM), linear discriminant analysis (LDA), k-nearest neighbor (k-NN)). </w:t>
      </w:r>
      <w:bookmarkStart w:id="6" w:name="OLE_LINK4"/>
      <w:r>
        <w:rPr>
          <w:rFonts w:ascii="Times New Roman" w:eastAsia="宋体" w:hAnsi="Times New Roman"/>
          <w:color w:val="000000" w:themeColor="text1"/>
          <w:sz w:val="24"/>
          <w:szCs w:val="24"/>
        </w:rPr>
        <w:t xml:space="preserve">These five algorithms were selected due to their widespread applicability and superior performance in spectral and image-based detection tasks </w:t>
      </w:r>
      <w:r>
        <w:rPr>
          <w:rFonts w:ascii="Times New Roman" w:eastAsia="宋体" w:hAnsi="Times New Roman"/>
          <w:color w:val="000000" w:themeColor="text1"/>
          <w:sz w:val="24"/>
          <w:szCs w:val="24"/>
        </w:rPr>
        <w:fldChar w:fldCharType="begin"/>
      </w:r>
      <w:r>
        <w:rPr>
          <w:rFonts w:ascii="Times New Roman" w:eastAsia="宋体" w:hAnsi="Times New Roman"/>
          <w:color w:val="000000" w:themeColor="text1"/>
          <w:sz w:val="24"/>
          <w:szCs w:val="24"/>
        </w:rPr>
        <w:instrText xml:space="preserve"> ADDIN ZOTERO_ITEM CSL_CITATION {"citationID":"h3aob4IZ","properties":{"formattedCitation":"[4\\uc0\\u8211{}6]","plainCitation":"[4–6]","noteIndex":0},"citationItems":[{"id":295,"uris":["http://zotero.org/users/12682253/items/KAAJJY8D"],"itemData":{"id":295,"type":"article-journal","abstract":"Food adulteration is a global concern, drawing attention from safety authorities due to its potential health risks. Detecting and categorizing oil adulteration is crucial for consumer safety and food industry integrity. This research explores hyperspectral imaging (HSI) analysis to identify substandard oil adulteration at different stages. Using the non-destructive HSI Specim Fx 10 system, a method for precise and easy imaging-based fraud detection and classification was proposed. The 670 oil samples, including pure (Almond, Mustard, Coconut, Olive) and adulterated (Sunflower, Castor, Liquid Paraffin), were analyzed. The Savitzky-Golay filter preprocessed the images to remove noise and smooth spectral signatures. The oils were identified using various machine learning approaches, including Support Vector Machines, Logistic Regression, Linear Discriminant Analysis, Random Forests, Decision Trees, K-Nearest Neighbors, and Naïve Bayes with Linear Discriminant Analysis excelling in identification. Performance parameters, including precision, recall, F1-score, and overall accuracy, were calculated. The proposed method achieved a validation accuracy of 100%, outperforming numerous state-of-the-art approaches. This study introduces a robust pipeline for effective oil adulteration detection, offering a significant advancement in food safety and quality control.","container-title":"Current Research in Food Science","DOI":"10.1016/j.crfs.2024.100773","ISSN":"2665-9271","journalAbbreviation":"Current Research in Food Science","page":"100773","source":"ScienceDirect","title":"Hyperspectral identification of oil adulteration using machine learning techniques","volume":"8","author":[{"family":"Aqeel","given":"Muhammad"},{"family":"Sohaib","given":"Ahmad"},{"family":"Iqbal","given":"Muhammad"},{"family":"Rehman","given":"Hafeez Ur"},{"family":"Rustam","given":"Furqan"}],"issued":{"date-parts":[["2024",1,1]]}}},{"id":297,"uris":["http://zotero.org/users/12682253/items/GA3E7449"],"itemData":{"id":297,"type":"article-journal","abstract":"Background\nHyperspectral imaging (HSI) technology fusing spectroscopic technology and imaging technology has been proposed to achieve rapid and non-destructive inspection of food quality. In order to make full use of the hyperspectral data containing rich information, it is needed to develop effective and efficient data analysis methods to mine new information from hyperspectral data. The feature construction (FC) method, as a method of extracting information to construct new features, is applied to construct more representative and informative features from hyperspectral data for the detection of food quality.\nScope and approach\nThe review focuses on the construction methods of different dimensional features including zero-dimensional (0-D) features, one-dimensional (1-D) features, two-dimensional (2-D) features and three-dimensional (3-D) features in detail and presents their principles and implementation steps. In the review, applications of the HSI technology combined with different dimensional FC methods for the quality inspection of food are also discussed, and challenges and future work of the HSI technology combined with FC methods are presented.\nKey findings and conclusions\nThe current review is expected to provide some guidance to researchers on different dimensional FC methods, which should further encourage more applications of the HSI technology in food quality inspection. Despite the challenges in combining FC methods with hyperspectral technology, the encapsulation of FC methods in miniaturised hyperspectral instruments is an inevitable trend for future development.","container-title":"Trends in Food Science &amp; Technology","DOI":"10.1016/j.tifs.2023.06.036","ISSN":"0924-2244","journalAbbreviation":"Trends in Food Science &amp; Technology","page":"726-737","source":"ScienceDirect","title":"Feature construction methods for processing and analysing spectral images and their applications in food quality inspection","volume":"138","author":[{"family":"Pu","given":"Hongbin"},{"family":"Yu","given":"Jingxiao"},{"family":"Sun","given":"Da-Wen"},{"family":"Wei","given":"Qingyi"},{"family":"Wang","given":"Zhe"}],"issued":{"date-parts":[["2023",8,1]]}}},{"id":320,"uris":["http://zotero.org/users/12682253/items/RDDTGX5S"],"itemData":{"id":320,"type":"article-journal","abstract":"Abstract\n            Machine learning (ML) has proven to be a useful technology for data analysis and modeling in a wide variety of domains, including food science and engineering. The use of ML models for the monitoring and prediction of food safety is growing in recent years. Currently, several studies have reviewed ML applications on foodborne disease and deep learning applications on food. This article presents a literature review on ML applications for monitoring and predicting food safety. The paper summarizes and categorizes ML applications in this domain, categorizes and discusses data types used for ML modeling, and provides suggestions for data sources and input variables for future ML applications. The review is based on three scientific literature databases: Scopus, CAB Abstracts, and IEEE. It includes studies that were published in English in the period from January 1, 2011 to April 1, 2021. Results show that most studies applied Bayesian networks, Neural networks, or Support vector machines. Of the various ML models reviewed, all relevant studies showed high prediction accuracy by the validation process. Based on the ML applications, this article identifies several avenues for future studies applying ML models for the monitoring and prediction of food safety, in addition to providing suggestions for data sources and input variables.","container-title":"Comprehensive Reviews in Food Science and Food Safety","DOI":"10.1111/1541-4337.12868","ISSN":"1541-4337, 1541-4337","issue":"1","journalAbbreviation":"Comp Rev Food Sci Food Safe","language":"en","note":"TLDR: Of the various ML models reviewed, all relevant studies showed high prediction accuracy by the validation process, and several avenues for future studies applying ML models for the monitoring and prediction of food safety, in addition to providing suggestions for data sources and input variables.","page":"416-434","source":"DOI.org (Crossref)","title":"Application of machine learning to the monitoring and prediction of food safety: A review","title-short":"Application of machine learning to the monitoring and prediction of food safety","volume":"21","author":[{"family":"Wang","given":"Xinxin"},{"family"</w:instrText>
      </w:r>
      <w:r>
        <w:rPr>
          <w:rFonts w:ascii="Times New Roman" w:eastAsia="宋体" w:hAnsi="Times New Roman" w:hint="eastAsia"/>
          <w:color w:val="000000" w:themeColor="text1"/>
          <w:sz w:val="24"/>
          <w:szCs w:val="24"/>
        </w:rPr>
        <w:instrText>:"Bouzembrak","given":"Yamine"},{"family":"Lansink","given":"Agjm Oude"},{"family":"Van Der Fels</w:instrText>
      </w:r>
      <w:r>
        <w:rPr>
          <w:rFonts w:ascii="Times New Roman" w:eastAsia="宋体" w:hAnsi="Times New Roman" w:hint="eastAsia"/>
          <w:color w:val="000000" w:themeColor="text1"/>
          <w:sz w:val="24"/>
          <w:szCs w:val="24"/>
        </w:rPr>
        <w:instrText>‐</w:instrText>
      </w:r>
      <w:r>
        <w:rPr>
          <w:rFonts w:ascii="Times New Roman" w:eastAsia="宋体" w:hAnsi="Times New Roman" w:hint="eastAsia"/>
          <w:color w:val="000000" w:themeColor="text1"/>
          <w:sz w:val="24"/>
          <w:szCs w:val="24"/>
        </w:rPr>
        <w:instrText xml:space="preserve">Klerx","given":"H. J."}],"issued":{"date-parts":[["2022",1]]}}}],"schema":"https://github.com/citation-style-language/schema/raw/master/csl-citation.json"} </w:instrText>
      </w:r>
      <w:r>
        <w:rPr>
          <w:rFonts w:ascii="Times New Roman" w:eastAsia="宋体" w:hAnsi="Times New Roman"/>
          <w:color w:val="000000" w:themeColor="text1"/>
          <w:sz w:val="24"/>
          <w:szCs w:val="24"/>
        </w:rPr>
        <w:fldChar w:fldCharType="separate"/>
      </w:r>
      <w:r>
        <w:rPr>
          <w:rFonts w:ascii="Times New Roman" w:hAnsi="Times New Roman"/>
          <w:kern w:val="0"/>
          <w:sz w:val="24"/>
        </w:rPr>
        <w:t>[4–6]</w:t>
      </w:r>
      <w:r>
        <w:rPr>
          <w:rFonts w:ascii="Times New Roman" w:eastAsia="宋体" w:hAnsi="Times New Roman"/>
          <w:color w:val="000000" w:themeColor="text1"/>
          <w:sz w:val="24"/>
          <w:szCs w:val="24"/>
        </w:rPr>
        <w:fldChar w:fldCharType="end"/>
      </w:r>
      <w:r>
        <w:rPr>
          <w:rFonts w:ascii="Times New Roman" w:eastAsia="宋体" w:hAnsi="Times New Roman"/>
          <w:color w:val="000000" w:themeColor="text1"/>
          <w:sz w:val="24"/>
          <w:szCs w:val="24"/>
        </w:rPr>
        <w:t>.</w:t>
      </w:r>
      <w:bookmarkEnd w:id="6"/>
      <w:r>
        <w:rPr>
          <w:rFonts w:ascii="Times New Roman" w:eastAsia="宋体" w:hAnsi="Times New Roman"/>
          <w:color w:val="000000" w:themeColor="text1"/>
          <w:sz w:val="24"/>
          <w:szCs w:val="24"/>
        </w:rPr>
        <w:t xml:space="preserve"> </w:t>
      </w:r>
      <w:bookmarkStart w:id="7" w:name="OLE_LINK5"/>
      <w:r>
        <w:rPr>
          <w:rFonts w:ascii="Times New Roman" w:eastAsia="宋体" w:hAnsi="Times New Roman"/>
          <w:color w:val="000000" w:themeColor="text1"/>
          <w:sz w:val="24"/>
          <w:szCs w:val="24"/>
        </w:rPr>
        <w:t xml:space="preserve">To improve the stability of model, this work used grid search to optimize the models’ hyperparameters and adopted five-fold cross-validation. </w:t>
      </w:r>
      <w:bookmarkStart w:id="8" w:name="OLE_LINK8"/>
      <w:r>
        <w:rPr>
          <w:rFonts w:ascii="Times New Roman" w:eastAsia="宋体" w:hAnsi="Times New Roman"/>
          <w:color w:val="000000" w:themeColor="text1"/>
          <w:sz w:val="24"/>
          <w:szCs w:val="24"/>
        </w:rPr>
        <w:t>To obtain the best training model, multiple indicators such as recall rate, accuracy, precision rate and F1 score were used to evaluate the training results</w:t>
      </w:r>
      <w:bookmarkEnd w:id="7"/>
      <w:r>
        <w:rPr>
          <w:rFonts w:ascii="Times New Roman" w:eastAsia="宋体" w:hAnsi="Times New Roman"/>
          <w:color w:val="000000" w:themeColor="text1"/>
          <w:sz w:val="24"/>
          <w:szCs w:val="24"/>
        </w:rPr>
        <w:t xml:space="preserve"> </w:t>
      </w:r>
      <w:r>
        <w:rPr>
          <w:rFonts w:ascii="Times New Roman" w:eastAsia="宋体" w:hAnsi="Times New Roman"/>
          <w:color w:val="000000" w:themeColor="text1"/>
          <w:sz w:val="24"/>
          <w:szCs w:val="24"/>
        </w:rPr>
        <w:fldChar w:fldCharType="begin"/>
      </w:r>
      <w:r>
        <w:rPr>
          <w:rFonts w:ascii="Times New Roman" w:eastAsia="宋体" w:hAnsi="Times New Roman"/>
          <w:color w:val="000000" w:themeColor="text1"/>
          <w:sz w:val="24"/>
          <w:szCs w:val="24"/>
        </w:rPr>
        <w:instrText xml:space="preserve"> ADDIN ZOTERO_ITEM CSL_CITATION {"citationID":"4ogV23tV","properties":{"formattedCitation":"[7, 8]","plainCitation":"[7, 8]","noteIndex":0},"citationItems":[{"id":301,"uris":["http://zotero.org/users/12682253/items/A45DCYHC"],"itemData":{"id":301,"type":"article-journal","abstract":"Fluorescent nanomaterials such as carbon quantum dots (CQDs) have been widely utilized as optical nanosensors for the detection and imaging of chemical or biological species with their superior sensitivity and spatiotemporal monitoring capabilities. Even though the nanosensors originally provide high sensitivity, the potential limit of detection (LOD) could not be accurately utilized for real-world applications due to the absence of signal extraction near the noise level, which is significantly influenced by various environmental factors and conventional statistical methods. To address this issue, we have developed an optical signal processing technique based on machine learning to enhance the practical sensing performance of CQD nanosensors for heavy metal ion detection. Fluorescence spectra of the nanosensor are acquired under both normal conditions (absence of analytes, n = 786) and analyte conditions (presence of analytes with varying concentrations, n = 288). Seven different types of machine learning algorithms are systematically applied to a training data set of fluorescence features (n = 200). Our best model could distinguish the spectra of 10 nM and 100 pM Cu2+ from just noise signals without analytes, which are 104 and 106 times enhanced LOD compared to the original detection limit (95 μM) providing accuracies of 90.69 and 70.41%, respectively. We further demonstrate that this technique could be universally applied for different types of analytes such as Hg2+, Pb2+, Cr6+, and Fe3+ ions with distinct sensing performances. This technique can be up to 106 times lower than the LOD of the fluorescent nanosensors. Our approach is not limited to CQD nanosensors or metal ions but can also be directly applied to various types of fluorescent nanosensors and biochemical analytes.","container-title":"ACS Applied Nano Materials","DOI":"10.1021/acsanm.4c00359","issue":"5","journalAbbreviation":"ACS Appl. Nano Mater.","note":"publisher: American Chemical Society","page":"5576-5586","source":"ACS Publications","title":"Machine-Learning-Enhanced Fluorescent Nanosensor Based on Carbon Quantum Dots for Heavy Metal Detection","volume":"7","author":[{"family":"Tian","given":"Changyu"},{"family":"Lee","given":"Yullim"},{"family":"Song","given":"Youngho"},{"family":"Elmasry","given":"Mohamed R."},{"family":"Yoon","given":"Minyeong"},{"family":"Kim","given":"Dong-Hwan"},{"family":"Cho","given":"Soo-Yeon"}],"issued":{"date-parts":[["2024",3,8]]}},"label":"page"},{"id":362,"uris":["http://zotero.org/users/12682253/items/X6VR3K6Q"],"itemData":{"id":362,"type":"article-journal","abstract":"Imbalanced datasets pose a persistent challenge in business data mining, particularly in high-stakes domains such as financial risk prediction and customer churn analysis, where the minority class often carries disproportionate operational and financial consequences. Although widely used evaluation metrics–such as accuracy, precision, recall, F1-score, and Matthews Correlation Coefficient (MCC)–are commonly applied in practice, there remains no empirical consensus on which metric offers the most reliable performance under real-world conditions. Existing studies lack a unified, statistically validated framework that accounts for threshold sensitivity, input noise, and interpretability–factors critical to business decision-making. To address this gap, we present a comprehensive and statistically rigorous evaluation of performance metrics for imbalanced business classification tasks. Using two benchmark datasets with distinct sizes and imbalance ratios–the Default of Credit Card Clients dataset and the Telco Customer Churn dataset–we evaluate five commonly used machine learning models: Logistic Regression (LR), Decision Tree (DT), Random Forest (RF), Extreme Gradient Boosting (XGBoost), and k-Nearest Neighbors (KNN). Our methodology incorporates static and dynamic threshold analysis, Gaussian noise robustness testing, bootstrap confidence intervals, McNemar’s test, Cohen’s kappa, and analysis of variance (ANOVA) to assess the statistical reliability of performance metrics. In addition, we introduce a novel two-stage explainable artificial intelligence (XAI) framework using SHapley Additive exPlanations (SHAP). The first stage employs standard SHAP visualizations (bar and beeswarm plots) to ensure baseline interpretability. The second stage extends this with a novel 3D metric-conditioned SHAP analysis, linking feature contributions to variations in classification thresholds and evaluation metrics. Our findings show that the F1-score consistently provides the most stable and balanced evaluation across datasets and testing conditions, with MCC offering complementary diagnostic value. In contrast, accuracy and precision demonstrate limited robustness under class imbalance. By combining statistical rigor with interpretable AI, this study offers the most comprehensive guidance to date for selecting performance metrics in imbalanced business classification, with practical implications for model deployment in finance, marketing, and customer analytics.","container-title":"Journal of Big Data","DOI":"10.1186/s40537-025-01313-4","issue":"1","language":"English","license":"© The Author(s) 2025. This work is published under http://creativecommons.org/licenses/by-nc-nd/4.0/ (the “License”). Notwithstanding the ProQuest Terms and Conditions, you may use this content in accordance with the terms of the License.","note":"number-of-pages: 268\npublisher: Springer Nature B.V.\nTLDR: This study offers the most comprehensive guidance to date for selecting performance metrics in imbalanced business classification, with practical implications for model deployment in finance, marketing, and customer analytics.","page":"268","source":"ProQuest","title":"Accuracy, precision, recall, f1-score, or MCC? empirical evidence from advanced statistics, ML, and XAI for evaluating business predictive models","title-short":"Accuracy, precision, recall, f1-score, or MCC?","volume":"12","author":[{"family":"Sujon","given":"Khaled Mahmud"},{"family":"Hassan","given":"Rohayanti"},{"family":"Choi","given":"Kwonhue"},{"family":"Samad","given":"Md Abdus"}],"issued":{"date-parts":[["2025",12]]}}}],"schema":"https://github.com/citation-style-language/schema/raw/master/csl-citation.json"} </w:instrText>
      </w:r>
      <w:r>
        <w:rPr>
          <w:rFonts w:ascii="Times New Roman" w:eastAsia="宋体" w:hAnsi="Times New Roman"/>
          <w:color w:val="000000" w:themeColor="text1"/>
          <w:sz w:val="24"/>
          <w:szCs w:val="24"/>
        </w:rPr>
        <w:fldChar w:fldCharType="separate"/>
      </w:r>
      <w:r>
        <w:rPr>
          <w:rFonts w:ascii="Times New Roman" w:hAnsi="Times New Roman" w:hint="eastAsia"/>
          <w:sz w:val="24"/>
        </w:rPr>
        <w:t>[7, 8]</w:t>
      </w:r>
      <w:r>
        <w:rPr>
          <w:rFonts w:ascii="Times New Roman" w:eastAsia="宋体" w:hAnsi="Times New Roman"/>
          <w:color w:val="000000" w:themeColor="text1"/>
          <w:sz w:val="24"/>
          <w:szCs w:val="24"/>
        </w:rPr>
        <w:fldChar w:fldCharType="end"/>
      </w:r>
      <w:r>
        <w:rPr>
          <w:rFonts w:ascii="Times New Roman" w:eastAsia="宋体" w:hAnsi="Times New Roman"/>
          <w:color w:val="000000" w:themeColor="text1"/>
          <w:sz w:val="24"/>
          <w:szCs w:val="24"/>
        </w:rPr>
        <w:t>.</w:t>
      </w:r>
      <w:bookmarkEnd w:id="8"/>
      <w:r>
        <w:rPr>
          <w:rFonts w:ascii="Times New Roman" w:eastAsia="宋体" w:hAnsi="Times New Roman"/>
          <w:color w:val="000000" w:themeColor="text1"/>
          <w:sz w:val="24"/>
          <w:szCs w:val="24"/>
        </w:rPr>
        <w:t xml:space="preserve"> </w:t>
      </w:r>
    </w:p>
    <w:p w14:paraId="711D907B" w14:textId="77777777" w:rsidR="0011262F" w:rsidRDefault="00000000">
      <w:pPr>
        <w:widowControl/>
        <w:spacing w:line="480" w:lineRule="auto"/>
        <w:ind w:firstLineChars="200" w:firstLine="480"/>
        <w:rPr>
          <w:rFonts w:ascii="Times New Roman" w:eastAsia="宋体" w:hAnsi="Times New Roman"/>
          <w:color w:val="000000" w:themeColor="text1"/>
          <w:sz w:val="24"/>
          <w:szCs w:val="24"/>
        </w:rPr>
      </w:pPr>
      <w:r>
        <w:rPr>
          <w:rFonts w:ascii="Times New Roman" w:eastAsia="宋体" w:hAnsi="Times New Roman"/>
          <w:color w:val="000000" w:themeColor="text1"/>
          <w:sz w:val="24"/>
          <w:szCs w:val="24"/>
        </w:rPr>
        <w:t>After determining the optimal ML model, the real detection results were predicted using the optimal model. And the predicted results were compared with the real detection results to evaluate the feasibility of applying the optimal ML model.</w:t>
      </w:r>
    </w:p>
    <w:p w14:paraId="163CB3E0" w14:textId="77777777" w:rsidR="0011262F" w:rsidRDefault="00000000">
      <w:pPr>
        <w:widowControl/>
        <w:jc w:val="left"/>
        <w:rPr>
          <w:rFonts w:ascii="Times New Roman" w:eastAsia="宋体" w:hAnsi="Times New Roman"/>
          <w:color w:val="000000" w:themeColor="text1"/>
          <w:sz w:val="24"/>
          <w:szCs w:val="24"/>
        </w:rPr>
      </w:pPr>
      <w:r>
        <w:rPr>
          <w:rFonts w:ascii="Times New Roman" w:eastAsia="宋体" w:hAnsi="Times New Roman"/>
          <w:color w:val="000000" w:themeColor="text1"/>
          <w:sz w:val="24"/>
          <w:szCs w:val="24"/>
        </w:rPr>
        <w:br w:type="page"/>
      </w:r>
    </w:p>
    <w:bookmarkEnd w:id="4"/>
    <w:p w14:paraId="31CD4F26" w14:textId="77777777" w:rsidR="0011262F" w:rsidRDefault="00000000">
      <w:pPr>
        <w:spacing w:line="480" w:lineRule="auto"/>
        <w:contextualSpacing/>
        <w:rPr>
          <w:rFonts w:ascii="Times New Roman" w:eastAsia="宋体" w:hAnsi="Times New Roman"/>
          <w:sz w:val="24"/>
          <w:szCs w:val="24"/>
        </w:rPr>
      </w:pPr>
      <w:r>
        <w:rPr>
          <w:rFonts w:ascii="Times New Roman" w:eastAsia="宋体" w:hAnsi="Times New Roman"/>
          <w:b/>
          <w:bCs/>
          <w:sz w:val="24"/>
          <w:szCs w:val="24"/>
        </w:rPr>
        <w:lastRenderedPageBreak/>
        <w:t>Table S1</w:t>
      </w:r>
      <w:r>
        <w:rPr>
          <w:rFonts w:ascii="Times New Roman" w:eastAsia="宋体" w:hAnsi="Times New Roman" w:hint="eastAsia"/>
          <w:b/>
          <w:bCs/>
          <w:sz w:val="24"/>
          <w:szCs w:val="24"/>
        </w:rPr>
        <w:t xml:space="preserve">. </w:t>
      </w:r>
      <w:r>
        <w:rPr>
          <w:rFonts w:ascii="Times New Roman" w:eastAsia="宋体" w:hAnsi="Times New Roman"/>
          <w:sz w:val="24"/>
          <w:szCs w:val="24"/>
        </w:rPr>
        <w:t>Comparison of Michaelis-Menten constants (</w:t>
      </w:r>
      <w:r>
        <w:rPr>
          <w:rFonts w:ascii="Times New Roman" w:eastAsia="宋体" w:hAnsi="Times New Roman" w:hint="eastAsia"/>
          <w:i/>
          <w:iCs/>
          <w:sz w:val="24"/>
          <w:szCs w:val="24"/>
        </w:rPr>
        <w:t>k</w:t>
      </w:r>
      <w:r>
        <w:rPr>
          <w:rFonts w:ascii="Times New Roman" w:eastAsia="宋体" w:hAnsi="Times New Roman" w:hint="eastAsia"/>
          <w:i/>
          <w:iCs/>
          <w:sz w:val="24"/>
          <w:szCs w:val="24"/>
          <w:vertAlign w:val="subscript"/>
        </w:rPr>
        <w:t>m</w:t>
      </w:r>
      <w:r>
        <w:rPr>
          <w:rFonts w:ascii="Times New Roman" w:eastAsia="宋体" w:hAnsi="Times New Roman"/>
          <w:sz w:val="24"/>
          <w:szCs w:val="24"/>
        </w:rPr>
        <w:t>) and maximum initial reaction rates (</w:t>
      </w:r>
      <w:proofErr w:type="spellStart"/>
      <w:r>
        <w:rPr>
          <w:rFonts w:ascii="Times New Roman" w:eastAsia="宋体" w:hAnsi="Times New Roman"/>
          <w:i/>
          <w:iCs/>
          <w:sz w:val="24"/>
          <w:szCs w:val="24"/>
        </w:rPr>
        <w:t>ν</w:t>
      </w:r>
      <w:r>
        <w:rPr>
          <w:rFonts w:ascii="Times New Roman" w:eastAsia="宋体" w:hAnsi="Times New Roman"/>
          <w:i/>
          <w:iCs/>
          <w:sz w:val="24"/>
          <w:szCs w:val="24"/>
          <w:vertAlign w:val="subscript"/>
        </w:rPr>
        <w:t>max</w:t>
      </w:r>
      <w:proofErr w:type="spellEnd"/>
      <w:r>
        <w:rPr>
          <w:rFonts w:ascii="Times New Roman" w:eastAsia="宋体" w:hAnsi="Times New Roman"/>
          <w:sz w:val="24"/>
          <w:szCs w:val="24"/>
        </w:rPr>
        <w:t>) of different silver-based nanozymes with TMB as substrate</w:t>
      </w:r>
      <w:r>
        <w:rPr>
          <w:rFonts w:ascii="Times New Roman" w:eastAsia="宋体" w:hAnsi="Times New Roman" w:hint="eastAsia"/>
          <w:sz w:val="24"/>
          <w:szCs w:val="24"/>
        </w:rPr>
        <w:t>.</w:t>
      </w:r>
    </w:p>
    <w:tbl>
      <w:tblPr>
        <w:tblW w:w="0" w:type="auto"/>
        <w:tblBorders>
          <w:top w:val="single" w:sz="4" w:space="0" w:color="auto"/>
          <w:bottom w:val="single" w:sz="4" w:space="0" w:color="auto"/>
        </w:tblBorders>
        <w:tblLayout w:type="fixed"/>
        <w:tblLook w:val="04A0" w:firstRow="1" w:lastRow="0" w:firstColumn="1" w:lastColumn="0" w:noHBand="0" w:noVBand="1"/>
      </w:tblPr>
      <w:tblGrid>
        <w:gridCol w:w="2081"/>
        <w:gridCol w:w="1230"/>
        <w:gridCol w:w="1333"/>
        <w:gridCol w:w="1843"/>
        <w:gridCol w:w="1809"/>
      </w:tblGrid>
      <w:tr w:rsidR="0011262F" w14:paraId="1E53A5B8" w14:textId="77777777">
        <w:tc>
          <w:tcPr>
            <w:tcW w:w="2081" w:type="dxa"/>
            <w:tcBorders>
              <w:top w:val="single" w:sz="4" w:space="0" w:color="auto"/>
              <w:bottom w:val="single" w:sz="4" w:space="0" w:color="auto"/>
            </w:tcBorders>
            <w:vAlign w:val="center"/>
          </w:tcPr>
          <w:p w14:paraId="2C62362E" w14:textId="77777777" w:rsidR="0011262F" w:rsidRDefault="00000000">
            <w:pPr>
              <w:spacing w:line="360" w:lineRule="auto"/>
              <w:jc w:val="center"/>
              <w:rPr>
                <w:rFonts w:ascii="Times New Roman" w:eastAsia="宋体" w:hAnsi="Times New Roman"/>
                <w:sz w:val="24"/>
                <w:szCs w:val="24"/>
              </w:rPr>
            </w:pPr>
            <w:r>
              <w:rPr>
                <w:rFonts w:ascii="Times New Roman" w:eastAsia="宋体" w:hAnsi="Times New Roman"/>
                <w:sz w:val="24"/>
                <w:szCs w:val="24"/>
              </w:rPr>
              <w:t>Nanozymes</w:t>
            </w:r>
          </w:p>
        </w:tc>
        <w:tc>
          <w:tcPr>
            <w:tcW w:w="1230" w:type="dxa"/>
            <w:tcBorders>
              <w:top w:val="single" w:sz="4" w:space="0" w:color="auto"/>
              <w:bottom w:val="single" w:sz="4" w:space="0" w:color="auto"/>
            </w:tcBorders>
            <w:vAlign w:val="center"/>
          </w:tcPr>
          <w:p w14:paraId="4EC5403A" w14:textId="77777777" w:rsidR="0011262F" w:rsidRDefault="00000000">
            <w:pPr>
              <w:spacing w:line="360" w:lineRule="auto"/>
              <w:jc w:val="center"/>
              <w:rPr>
                <w:rFonts w:ascii="Times New Roman" w:eastAsia="宋体" w:hAnsi="Times New Roman"/>
                <w:sz w:val="24"/>
                <w:szCs w:val="24"/>
              </w:rPr>
            </w:pPr>
            <w:r>
              <w:rPr>
                <w:rFonts w:ascii="Times New Roman" w:eastAsia="宋体" w:hAnsi="Times New Roman"/>
                <w:sz w:val="24"/>
                <w:szCs w:val="24"/>
              </w:rPr>
              <w:t>Substance</w:t>
            </w:r>
          </w:p>
        </w:tc>
        <w:tc>
          <w:tcPr>
            <w:tcW w:w="1333" w:type="dxa"/>
            <w:tcBorders>
              <w:top w:val="single" w:sz="4" w:space="0" w:color="auto"/>
              <w:bottom w:val="single" w:sz="4" w:space="0" w:color="auto"/>
            </w:tcBorders>
            <w:vAlign w:val="center"/>
          </w:tcPr>
          <w:p w14:paraId="003DCFC9" w14:textId="77777777" w:rsidR="0011262F" w:rsidRDefault="00000000">
            <w:pPr>
              <w:spacing w:line="360" w:lineRule="auto"/>
              <w:jc w:val="center"/>
              <w:rPr>
                <w:rFonts w:ascii="Times New Roman" w:eastAsia="宋体" w:hAnsi="Times New Roman"/>
                <w:sz w:val="24"/>
                <w:szCs w:val="24"/>
              </w:rPr>
            </w:pPr>
            <w:r>
              <w:rPr>
                <w:rFonts w:ascii="Times New Roman" w:eastAsia="宋体" w:hAnsi="Times New Roman" w:hint="eastAsia"/>
                <w:i/>
                <w:iCs/>
                <w:sz w:val="24"/>
                <w:szCs w:val="24"/>
              </w:rPr>
              <w:t>k</w:t>
            </w:r>
            <w:r>
              <w:rPr>
                <w:rFonts w:ascii="Times New Roman" w:eastAsia="宋体" w:hAnsi="Times New Roman" w:hint="eastAsia"/>
                <w:i/>
                <w:iCs/>
                <w:sz w:val="24"/>
                <w:szCs w:val="24"/>
                <w:vertAlign w:val="subscript"/>
              </w:rPr>
              <w:t>m</w:t>
            </w:r>
            <w:r>
              <w:rPr>
                <w:rFonts w:ascii="Times New Roman" w:eastAsia="宋体" w:hAnsi="Times New Roman"/>
                <w:sz w:val="24"/>
                <w:szCs w:val="24"/>
              </w:rPr>
              <w:t xml:space="preserve"> (mM)</w:t>
            </w:r>
          </w:p>
        </w:tc>
        <w:tc>
          <w:tcPr>
            <w:tcW w:w="1843" w:type="dxa"/>
            <w:tcBorders>
              <w:top w:val="single" w:sz="4" w:space="0" w:color="auto"/>
              <w:bottom w:val="single" w:sz="4" w:space="0" w:color="auto"/>
            </w:tcBorders>
            <w:vAlign w:val="center"/>
          </w:tcPr>
          <w:p w14:paraId="5E58F5E9" w14:textId="77777777" w:rsidR="0011262F" w:rsidRDefault="00000000">
            <w:pPr>
              <w:spacing w:line="360" w:lineRule="auto"/>
              <w:jc w:val="center"/>
              <w:rPr>
                <w:rFonts w:ascii="Times New Roman" w:eastAsia="宋体" w:hAnsi="Times New Roman"/>
                <w:sz w:val="24"/>
                <w:szCs w:val="24"/>
              </w:rPr>
            </w:pPr>
            <w:proofErr w:type="spellStart"/>
            <w:r>
              <w:rPr>
                <w:rFonts w:ascii="Times New Roman" w:eastAsia="宋体" w:hAnsi="Times New Roman"/>
                <w:i/>
                <w:iCs/>
                <w:sz w:val="24"/>
                <w:szCs w:val="24"/>
              </w:rPr>
              <w:t>ν</w:t>
            </w:r>
            <w:r>
              <w:rPr>
                <w:rFonts w:ascii="Times New Roman" w:eastAsia="宋体" w:hAnsi="Times New Roman"/>
                <w:i/>
                <w:iCs/>
                <w:sz w:val="24"/>
                <w:szCs w:val="24"/>
                <w:vertAlign w:val="subscript"/>
              </w:rPr>
              <w:t>max</w:t>
            </w:r>
            <w:proofErr w:type="spellEnd"/>
            <w:r>
              <w:rPr>
                <w:rFonts w:ascii="Times New Roman" w:eastAsia="宋体" w:hAnsi="Times New Roman"/>
                <w:sz w:val="24"/>
                <w:szCs w:val="24"/>
              </w:rPr>
              <w:t xml:space="preserve"> (10</w:t>
            </w:r>
            <w:r>
              <w:rPr>
                <w:rFonts w:ascii="Times New Roman" w:eastAsia="宋体" w:hAnsi="Times New Roman"/>
                <w:sz w:val="24"/>
                <w:szCs w:val="24"/>
                <w:vertAlign w:val="superscript"/>
              </w:rPr>
              <w:t>-8</w:t>
            </w:r>
            <w:r>
              <w:rPr>
                <w:rFonts w:ascii="Times New Roman" w:eastAsia="宋体" w:hAnsi="Times New Roman" w:hint="eastAsia"/>
                <w:sz w:val="24"/>
                <w:szCs w:val="24"/>
                <w:vertAlign w:val="superscript"/>
              </w:rPr>
              <w:t xml:space="preserve"> </w:t>
            </w:r>
            <w:r>
              <w:rPr>
                <w:rFonts w:ascii="Times New Roman" w:eastAsia="宋体" w:hAnsi="Times New Roman"/>
                <w:sz w:val="24"/>
                <w:szCs w:val="24"/>
              </w:rPr>
              <w:t>M·s</w:t>
            </w:r>
            <w:r>
              <w:rPr>
                <w:rFonts w:ascii="Times New Roman" w:eastAsia="宋体" w:hAnsi="Times New Roman"/>
                <w:sz w:val="24"/>
                <w:szCs w:val="24"/>
                <w:vertAlign w:val="superscript"/>
              </w:rPr>
              <w:t>-1</w:t>
            </w:r>
            <w:r>
              <w:rPr>
                <w:rFonts w:ascii="Times New Roman" w:eastAsia="宋体" w:hAnsi="Times New Roman" w:hint="eastAsia"/>
                <w:sz w:val="24"/>
                <w:szCs w:val="24"/>
              </w:rPr>
              <w:t>)</w:t>
            </w:r>
          </w:p>
        </w:tc>
        <w:tc>
          <w:tcPr>
            <w:tcW w:w="1809" w:type="dxa"/>
            <w:tcBorders>
              <w:top w:val="single" w:sz="4" w:space="0" w:color="auto"/>
              <w:bottom w:val="single" w:sz="4" w:space="0" w:color="auto"/>
            </w:tcBorders>
            <w:vAlign w:val="center"/>
          </w:tcPr>
          <w:p w14:paraId="15DEC5B6" w14:textId="77777777" w:rsidR="0011262F" w:rsidRDefault="00000000">
            <w:pPr>
              <w:spacing w:line="360" w:lineRule="auto"/>
              <w:jc w:val="center"/>
              <w:rPr>
                <w:rFonts w:ascii="Times New Roman" w:eastAsia="宋体" w:hAnsi="Times New Roman"/>
                <w:sz w:val="24"/>
                <w:szCs w:val="24"/>
              </w:rPr>
            </w:pPr>
            <w:r>
              <w:rPr>
                <w:rFonts w:ascii="Times New Roman" w:eastAsia="宋体" w:hAnsi="Times New Roman"/>
                <w:sz w:val="24"/>
                <w:szCs w:val="24"/>
              </w:rPr>
              <w:t>reference</w:t>
            </w:r>
          </w:p>
        </w:tc>
      </w:tr>
      <w:tr w:rsidR="0011262F" w14:paraId="2EE6C901" w14:textId="77777777">
        <w:trPr>
          <w:trHeight w:val="334"/>
        </w:trPr>
        <w:tc>
          <w:tcPr>
            <w:tcW w:w="2081" w:type="dxa"/>
            <w:tcBorders>
              <w:top w:val="single" w:sz="4" w:space="0" w:color="auto"/>
            </w:tcBorders>
            <w:vAlign w:val="center"/>
          </w:tcPr>
          <w:p w14:paraId="0A094C14" w14:textId="77777777" w:rsidR="0011262F" w:rsidRDefault="00000000">
            <w:pPr>
              <w:spacing w:line="360" w:lineRule="auto"/>
              <w:jc w:val="center"/>
              <w:rPr>
                <w:rFonts w:ascii="Times New Roman" w:eastAsia="宋体" w:hAnsi="Times New Roman"/>
                <w:sz w:val="24"/>
                <w:szCs w:val="24"/>
              </w:rPr>
            </w:pPr>
            <w:r>
              <w:rPr>
                <w:rFonts w:ascii="Times New Roman" w:eastAsia="宋体" w:hAnsi="Times New Roman" w:hint="eastAsia"/>
                <w:sz w:val="24"/>
                <w:szCs w:val="24"/>
              </w:rPr>
              <w:t>HRP</w:t>
            </w:r>
          </w:p>
        </w:tc>
        <w:tc>
          <w:tcPr>
            <w:tcW w:w="1230" w:type="dxa"/>
            <w:tcBorders>
              <w:top w:val="single" w:sz="4" w:space="0" w:color="auto"/>
            </w:tcBorders>
            <w:vAlign w:val="center"/>
          </w:tcPr>
          <w:p w14:paraId="21B852A4" w14:textId="77777777" w:rsidR="0011262F" w:rsidRDefault="00000000">
            <w:pPr>
              <w:spacing w:line="360" w:lineRule="auto"/>
              <w:jc w:val="center"/>
              <w:rPr>
                <w:rFonts w:ascii="Times New Roman" w:eastAsia="宋体" w:hAnsi="Times New Roman"/>
                <w:sz w:val="24"/>
                <w:szCs w:val="24"/>
              </w:rPr>
            </w:pPr>
            <w:r>
              <w:rPr>
                <w:rFonts w:ascii="Times New Roman" w:eastAsia="宋体" w:hAnsi="Times New Roman" w:hint="eastAsia"/>
                <w:sz w:val="24"/>
                <w:szCs w:val="24"/>
              </w:rPr>
              <w:t>TMB</w:t>
            </w:r>
          </w:p>
        </w:tc>
        <w:tc>
          <w:tcPr>
            <w:tcW w:w="1333" w:type="dxa"/>
            <w:tcBorders>
              <w:top w:val="single" w:sz="4" w:space="0" w:color="auto"/>
            </w:tcBorders>
            <w:vAlign w:val="center"/>
          </w:tcPr>
          <w:p w14:paraId="374719F9" w14:textId="77777777" w:rsidR="0011262F" w:rsidRDefault="00000000">
            <w:pPr>
              <w:spacing w:line="360" w:lineRule="auto"/>
              <w:jc w:val="center"/>
              <w:rPr>
                <w:rFonts w:ascii="Times New Roman" w:eastAsia="宋体" w:hAnsi="Times New Roman"/>
                <w:sz w:val="24"/>
                <w:szCs w:val="24"/>
              </w:rPr>
            </w:pPr>
            <w:r>
              <w:rPr>
                <w:rFonts w:ascii="Times New Roman" w:eastAsia="宋体" w:hAnsi="Times New Roman" w:hint="eastAsia"/>
                <w:sz w:val="24"/>
                <w:szCs w:val="24"/>
              </w:rPr>
              <w:t>0.434</w:t>
            </w:r>
          </w:p>
        </w:tc>
        <w:tc>
          <w:tcPr>
            <w:tcW w:w="1843" w:type="dxa"/>
            <w:tcBorders>
              <w:top w:val="single" w:sz="4" w:space="0" w:color="auto"/>
            </w:tcBorders>
            <w:vAlign w:val="center"/>
          </w:tcPr>
          <w:p w14:paraId="3DBC285E" w14:textId="77777777" w:rsidR="0011262F" w:rsidRDefault="00000000">
            <w:pPr>
              <w:spacing w:line="360" w:lineRule="auto"/>
              <w:jc w:val="center"/>
              <w:rPr>
                <w:rFonts w:ascii="Times New Roman" w:eastAsia="宋体" w:hAnsi="Times New Roman"/>
                <w:sz w:val="24"/>
                <w:szCs w:val="24"/>
              </w:rPr>
            </w:pPr>
            <w:r>
              <w:rPr>
                <w:rFonts w:ascii="Times New Roman" w:eastAsia="宋体" w:hAnsi="Times New Roman" w:hint="eastAsia"/>
                <w:sz w:val="24"/>
                <w:szCs w:val="24"/>
              </w:rPr>
              <w:t>10</w:t>
            </w:r>
          </w:p>
        </w:tc>
        <w:tc>
          <w:tcPr>
            <w:tcW w:w="1809" w:type="dxa"/>
            <w:tcBorders>
              <w:top w:val="single" w:sz="4" w:space="0" w:color="auto"/>
            </w:tcBorders>
            <w:vAlign w:val="center"/>
          </w:tcPr>
          <w:p w14:paraId="76657FDA" w14:textId="77777777" w:rsidR="0011262F" w:rsidRDefault="00000000">
            <w:pPr>
              <w:spacing w:line="360" w:lineRule="auto"/>
              <w:jc w:val="center"/>
              <w:rPr>
                <w:rFonts w:ascii="Times New Roman" w:eastAsia="宋体" w:hAnsi="Times New Roman"/>
                <w:sz w:val="24"/>
                <w:szCs w:val="24"/>
              </w:rPr>
            </w:pPr>
            <w:r>
              <w:rPr>
                <w:rFonts w:ascii="Times New Roman" w:eastAsia="宋体" w:hAnsi="Times New Roman"/>
                <w:sz w:val="24"/>
                <w:szCs w:val="24"/>
              </w:rPr>
              <w:fldChar w:fldCharType="begin"/>
            </w:r>
            <w:r>
              <w:rPr>
                <w:rFonts w:ascii="Times New Roman" w:eastAsia="宋体" w:hAnsi="Times New Roman"/>
                <w:sz w:val="24"/>
                <w:szCs w:val="24"/>
              </w:rPr>
              <w:instrText xml:space="preserve"> ADDIN ZOTERO_ITEM CSL_CITATION {"citationID":"pNjcPylV","properties":{"formattedCitation":"[9]","plainCitation":"[9]","noteIndex":0},"citationItems":[{"id":192,"uris":["http://zotero.org/users/12682253/items/SNFRCCJP"],"itemData":{"id":192,"type":"article-journal","abstract":"Four kinds of Ag3PO4 materials were prepared by controlling the experimental conditions, which were developed as oxidase mimics. Experimental results showed that different synthesis methods led to distinct crystal structures, morpho</w:instrText>
            </w:r>
            <w:r>
              <w:rPr>
                <w:rFonts w:ascii="Times New Roman" w:eastAsia="宋体" w:hAnsi="Times New Roman" w:hint="eastAsia"/>
                <w:sz w:val="24"/>
                <w:szCs w:val="24"/>
              </w:rPr>
              <w:instrText>logies, and surface properties, which contributed to diverse oxidase-like activities of Ag3PO4 materials. Among them, Ag3PO4 microcubes (APMCs) can efficiently catalyze the oxidation of colorless 3,3</w:instrText>
            </w:r>
            <w:r>
              <w:rPr>
                <w:rFonts w:ascii="Times New Roman" w:eastAsia="宋体" w:hAnsi="Times New Roman" w:hint="eastAsia"/>
                <w:sz w:val="24"/>
                <w:szCs w:val="24"/>
              </w:rPr>
              <w:instrText>′</w:instrText>
            </w:r>
            <w:r>
              <w:rPr>
                <w:rFonts w:ascii="Times New Roman" w:eastAsia="宋体" w:hAnsi="Times New Roman" w:hint="eastAsia"/>
                <w:sz w:val="24"/>
                <w:szCs w:val="24"/>
              </w:rPr>
              <w:instrText>,5,5</w:instrText>
            </w:r>
            <w:r>
              <w:rPr>
                <w:rFonts w:ascii="Times New Roman" w:eastAsia="宋体" w:hAnsi="Times New Roman" w:hint="eastAsia"/>
                <w:sz w:val="24"/>
                <w:szCs w:val="24"/>
              </w:rPr>
              <w:instrText>′</w:instrText>
            </w:r>
            <w:r>
              <w:rPr>
                <w:rFonts w:ascii="Times New Roman" w:eastAsia="宋体" w:hAnsi="Times New Roman" w:hint="eastAsia"/>
                <w:sz w:val="24"/>
                <w:szCs w:val="24"/>
              </w:rPr>
              <w:instrText>-tetramethylbenzidine in the presence of dissolved</w:instrText>
            </w:r>
            <w:r>
              <w:rPr>
                <w:rFonts w:ascii="Times New Roman" w:eastAsia="宋体" w:hAnsi="Times New Roman"/>
                <w:sz w:val="24"/>
                <w:szCs w:val="24"/>
              </w:rPr>
              <w:instrText xml:space="preserve"> oxygen to form a blue-colored oxide, presenting the best intrinsic oxidase mimetic ability. The higher-energy [110] facets with more oxygen vacancies exposed and more active sites coupled with more negative charge and larger specific surface area of APMCs contributed to its enhanced oxidase mimetic performance. Besides, mercury ions were proved to remarkably and selectively stimulate the oxidase-like ability of APMCs owing to the formation of Ag–Hg amalgam on its surface. Based on the stimulating effect of Hg2+ towards APMCs, a simple and rapid method for colorimetric determination of Hg2+ was thus established via the significant signal amplification and megascopic color variation. Under the optimal conditions, the sensing system showed a good linear relationship ranging from 0.1 to 7.0 μM and a detection limit of 20 nM for Hg2+, exhibiting high selectivity and good colour stability. Moreover, the colorimetric method was successfully applied to determine Hg2+ in real water samples. Considering these advantages, the developed colorimetric sensing system is expected to hold bright prospects for trace determination of Hg2+ in biological, environmental, and food samples.","container-title":"Microchimica Acta","DOI":"10.1007/s00604-020-04399-0","ISSN":"1436-5073","issue":"7","journalAbbreviation":"Microchim Acta","language":"en","note":"TLDR: A simple and rapid method for colorimetric determination of Hg2+ was established via the significant signal amplification and megascopic color variation and, under the optimal conditions, the sensing system showed a good linear relationship ranging from 0.1 to 7.0 μM and a detection limit of 20 nM, exhibiting high selectivity and good colour stability.","page":"422","source":"Springer Link","title":"Colorimetric determination of Hg2+ based on the mercury-stimulated oxidase mimetic activity of Ag3PO4 microcubes","volume":"187","author":[{"family":"Zhang","given":"Yu"},{"family":"Ju","given":"Peng"},{"family":"Sun","given":"Liping"},{"family":"Wang","given":"Zhe"},{"family":"Zhai","given":"Xiaofan"},{"family":"Jiang","given":"Fenghua"},{"family":"Sun","given":"Chengjun"}],"issued":{"date-parts":[["2020",7,2]]}}}],"schema":"https://github.com/citation-style-language/schema/raw/master/csl-citation.json"} </w:instrText>
            </w:r>
            <w:r>
              <w:rPr>
                <w:rFonts w:ascii="Times New Roman" w:eastAsia="宋体" w:hAnsi="Times New Roman"/>
                <w:sz w:val="24"/>
                <w:szCs w:val="24"/>
              </w:rPr>
              <w:fldChar w:fldCharType="separate"/>
            </w:r>
            <w:r>
              <w:rPr>
                <w:rFonts w:ascii="Times New Roman" w:hAnsi="Times New Roman" w:hint="eastAsia"/>
                <w:sz w:val="24"/>
              </w:rPr>
              <w:t>[9]</w:t>
            </w:r>
            <w:r>
              <w:rPr>
                <w:rFonts w:ascii="Times New Roman" w:eastAsia="宋体" w:hAnsi="Times New Roman"/>
                <w:sz w:val="24"/>
                <w:szCs w:val="24"/>
              </w:rPr>
              <w:fldChar w:fldCharType="end"/>
            </w:r>
          </w:p>
        </w:tc>
      </w:tr>
      <w:tr w:rsidR="0011262F" w14:paraId="759E4810" w14:textId="77777777">
        <w:trPr>
          <w:trHeight w:val="334"/>
        </w:trPr>
        <w:tc>
          <w:tcPr>
            <w:tcW w:w="2081" w:type="dxa"/>
            <w:vAlign w:val="center"/>
          </w:tcPr>
          <w:p w14:paraId="66B9FA1C" w14:textId="77777777" w:rsidR="0011262F" w:rsidRDefault="00000000">
            <w:pPr>
              <w:spacing w:line="360" w:lineRule="auto"/>
              <w:jc w:val="center"/>
              <w:rPr>
                <w:rFonts w:ascii="Times New Roman" w:eastAsia="宋体" w:hAnsi="Times New Roman"/>
                <w:sz w:val="24"/>
                <w:szCs w:val="24"/>
              </w:rPr>
            </w:pPr>
            <w:r>
              <w:rPr>
                <w:rFonts w:ascii="Times New Roman" w:eastAsia="宋体" w:hAnsi="Times New Roman"/>
                <w:sz w:val="24"/>
                <w:szCs w:val="24"/>
              </w:rPr>
              <w:t>Fe</w:t>
            </w:r>
            <w:r>
              <w:rPr>
                <w:rFonts w:ascii="Times New Roman" w:eastAsia="宋体" w:hAnsi="Times New Roman"/>
                <w:sz w:val="24"/>
                <w:szCs w:val="24"/>
                <w:vertAlign w:val="subscript"/>
              </w:rPr>
              <w:t>3</w:t>
            </w:r>
            <w:r>
              <w:rPr>
                <w:rFonts w:ascii="Times New Roman" w:eastAsia="宋体" w:hAnsi="Times New Roman"/>
                <w:sz w:val="24"/>
                <w:szCs w:val="24"/>
              </w:rPr>
              <w:t>O</w:t>
            </w:r>
            <w:r>
              <w:rPr>
                <w:rFonts w:ascii="Times New Roman" w:eastAsia="宋体" w:hAnsi="Times New Roman"/>
                <w:sz w:val="24"/>
                <w:szCs w:val="24"/>
                <w:vertAlign w:val="subscript"/>
              </w:rPr>
              <w:t>4</w:t>
            </w:r>
            <w:r>
              <w:rPr>
                <w:rFonts w:ascii="Times New Roman" w:eastAsia="宋体" w:hAnsi="Times New Roman"/>
                <w:sz w:val="24"/>
                <w:szCs w:val="24"/>
              </w:rPr>
              <w:t>@Ag</w:t>
            </w:r>
          </w:p>
        </w:tc>
        <w:tc>
          <w:tcPr>
            <w:tcW w:w="1230" w:type="dxa"/>
            <w:vAlign w:val="center"/>
          </w:tcPr>
          <w:p w14:paraId="07BD00B5" w14:textId="77777777" w:rsidR="0011262F" w:rsidRDefault="00000000">
            <w:pPr>
              <w:spacing w:line="360" w:lineRule="auto"/>
              <w:jc w:val="center"/>
              <w:rPr>
                <w:rFonts w:ascii="Times New Roman" w:eastAsia="宋体" w:hAnsi="Times New Roman"/>
                <w:sz w:val="24"/>
                <w:szCs w:val="24"/>
              </w:rPr>
            </w:pPr>
            <w:r>
              <w:rPr>
                <w:rFonts w:ascii="Times New Roman" w:eastAsia="宋体" w:hAnsi="Times New Roman" w:hint="eastAsia"/>
                <w:sz w:val="24"/>
                <w:szCs w:val="24"/>
              </w:rPr>
              <w:t>TMB</w:t>
            </w:r>
          </w:p>
        </w:tc>
        <w:tc>
          <w:tcPr>
            <w:tcW w:w="1333" w:type="dxa"/>
            <w:vAlign w:val="center"/>
          </w:tcPr>
          <w:p w14:paraId="78D0CEE1" w14:textId="77777777" w:rsidR="0011262F" w:rsidRDefault="00000000">
            <w:pPr>
              <w:spacing w:line="360" w:lineRule="auto"/>
              <w:jc w:val="center"/>
              <w:rPr>
                <w:rFonts w:ascii="Times New Roman" w:eastAsia="宋体" w:hAnsi="Times New Roman"/>
                <w:sz w:val="24"/>
                <w:szCs w:val="24"/>
              </w:rPr>
            </w:pPr>
            <w:r>
              <w:rPr>
                <w:rFonts w:ascii="Times New Roman" w:eastAsia="宋体" w:hAnsi="Times New Roman" w:hint="eastAsia"/>
                <w:sz w:val="24"/>
                <w:szCs w:val="24"/>
              </w:rPr>
              <w:t>0.61</w:t>
            </w:r>
          </w:p>
        </w:tc>
        <w:tc>
          <w:tcPr>
            <w:tcW w:w="1843" w:type="dxa"/>
            <w:vAlign w:val="center"/>
          </w:tcPr>
          <w:p w14:paraId="7D9D979A" w14:textId="77777777" w:rsidR="0011262F" w:rsidRDefault="00000000">
            <w:pPr>
              <w:spacing w:line="360" w:lineRule="auto"/>
              <w:jc w:val="center"/>
              <w:rPr>
                <w:rFonts w:ascii="Times New Roman" w:eastAsia="宋体" w:hAnsi="Times New Roman"/>
                <w:sz w:val="24"/>
                <w:szCs w:val="24"/>
              </w:rPr>
            </w:pPr>
            <w:r>
              <w:rPr>
                <w:rFonts w:ascii="Times New Roman" w:eastAsia="宋体" w:hAnsi="Times New Roman"/>
                <w:sz w:val="24"/>
                <w:szCs w:val="24"/>
              </w:rPr>
              <w:t>11.11</w:t>
            </w:r>
          </w:p>
        </w:tc>
        <w:tc>
          <w:tcPr>
            <w:tcW w:w="1809" w:type="dxa"/>
            <w:vAlign w:val="center"/>
          </w:tcPr>
          <w:p w14:paraId="21CDF78B" w14:textId="77777777" w:rsidR="0011262F" w:rsidRDefault="00000000">
            <w:pPr>
              <w:spacing w:line="360" w:lineRule="auto"/>
              <w:jc w:val="center"/>
              <w:rPr>
                <w:rFonts w:ascii="Times New Roman" w:eastAsia="宋体" w:hAnsi="Times New Roman"/>
                <w:sz w:val="24"/>
                <w:szCs w:val="24"/>
              </w:rPr>
            </w:pPr>
            <w:r>
              <w:rPr>
                <w:rFonts w:ascii="Times New Roman" w:eastAsia="宋体" w:hAnsi="Times New Roman"/>
                <w:sz w:val="24"/>
                <w:szCs w:val="24"/>
              </w:rPr>
              <w:fldChar w:fldCharType="begin"/>
            </w:r>
            <w:r>
              <w:rPr>
                <w:rFonts w:ascii="Times New Roman" w:eastAsia="宋体" w:hAnsi="Times New Roman"/>
                <w:sz w:val="24"/>
                <w:szCs w:val="24"/>
              </w:rPr>
              <w:instrText xml:space="preserve"> ADDIN ZOTERO_ITEM CSL_CITATION {"citationID":"McBsrjcn","properties":{"formattedCitation":"[10]","plainCitation":"[10]","noteIndex":0},"citationItems":[{"id":195,"uris":["http://zotero.org/users/12682253/items/3WGFBZNY"],"itemData":{"id":195,"type":"article-journal","abstract":"Visualization of signaling molecules in single living cells is crucial for understanding cellular metabolism and physiology, which can provide valuable insights into early diagnoses and treatments of diseases. Highly sensitive in situ monitoring of intracellular analytes released from single living cells by virtue of label-free nanosensors is urgently needed, which can avoid interferences from molecular labeling. Here, we proposed an ultrasensitive strategy for in situ imaging of intracellular H2O2 in single living cancer cells by surface-enhanced Raman scattering (SERS) spectroscopy with the utilization of label-free Fe3O4@Ag core–satellite nanoparticles (NPs). The Fe3O4@Ag NPs can efficiently and selectively catalyze the oxidati</w:instrText>
            </w:r>
            <w:r>
              <w:rPr>
                <w:rFonts w:ascii="Times New Roman" w:eastAsia="宋体" w:hAnsi="Times New Roman" w:hint="eastAsia"/>
                <w:sz w:val="24"/>
                <w:szCs w:val="24"/>
              </w:rPr>
              <w:instrText>on of the peroxidase substrate 3,3</w:instrText>
            </w:r>
            <w:r>
              <w:rPr>
                <w:rFonts w:ascii="Times New Roman" w:eastAsia="宋体" w:hAnsi="Times New Roman" w:hint="eastAsia"/>
                <w:sz w:val="24"/>
                <w:szCs w:val="24"/>
              </w:rPr>
              <w:instrText>′</w:instrText>
            </w:r>
            <w:r>
              <w:rPr>
                <w:rFonts w:ascii="Times New Roman" w:eastAsia="宋体" w:hAnsi="Times New Roman" w:hint="eastAsia"/>
                <w:sz w:val="24"/>
                <w:szCs w:val="24"/>
              </w:rPr>
              <w:instrText>,5,5</w:instrText>
            </w:r>
            <w:r>
              <w:rPr>
                <w:rFonts w:ascii="Times New Roman" w:eastAsia="宋体" w:hAnsi="Times New Roman" w:hint="eastAsia"/>
                <w:sz w:val="24"/>
                <w:szCs w:val="24"/>
              </w:rPr>
              <w:instrText>′</w:instrText>
            </w:r>
            <w:r>
              <w:rPr>
                <w:rFonts w:ascii="Times New Roman" w:eastAsia="宋体" w:hAnsi="Times New Roman" w:hint="eastAsia"/>
                <w:sz w:val="24"/>
                <w:szCs w:val="24"/>
              </w:rPr>
              <w:instrText>-tetramethylbenzidine (TMB) in the presence of H2O2. Additionally, they exhibit excellent SERS activity that allows for in situ monitoring of intracellular H2O2 in living cells through establishing the correlation b</w:instrText>
            </w:r>
            <w:r>
              <w:rPr>
                <w:rFonts w:ascii="Times New Roman" w:eastAsia="宋体" w:hAnsi="Times New Roman"/>
                <w:sz w:val="24"/>
                <w:szCs w:val="24"/>
              </w:rPr>
              <w:instrText xml:space="preserve">etween the H2O2 level and the SERS intensity of the catalytic oxidation product of TMB. The H2O2 concentration is revealed through the SERS intensity of oxidized TMB with a good linear response in a wide range from 1 fM to 1 mM. Moreover, the intracellular H2O2 level in live cancer cells and imaging of the distribution of H2O2 inside single cells can be achieved by using such a label-free nanosensor based strategy. Our work demonstrates that the label-free Fe3O4@Ag NP-based SERS imaging and quantification strategy is a promising and powerful approach to assess intracellular H2O2 in living cells and allows us to monitor single-cell signaling molecules with nanoscale resolution.","container-title":"Analyst","DOI":"10.1039/D2AN00035K","ISSN":"1364-5528","issue":"9","journalAbbreviation":"Analyst","language":"en","note":"publisher: The Royal Society of Chemistry\nTLDR: This work demonstrates that the label-free Fe3O4@Ag NP-based SERS imaging and quantification strategy is a promising and powerful approach to assess intracellular H2O2 in living cells and allows us to monitor single-cell signaling molecules with nanoscale resolution.","page":"1815-1823","source":"pubs.rsc.org","title":"In situ SERS monitoring of intracellular H2O2 in single living cells based on label-free bifunctional Fe3O4@Ag nanoparticles","volume":"147","author":[{"family":"Wang","given":"Yue"},{"family":"Cheng","given":"Cheng"},{"family":"Ma","given":"Ruofei"},{"family":"Xu","given":"Zhangrun"},{"family":"Ozaki","given":"Yukihiro"}],"issued":{"date-parts":[["2022",5,3]]}}}],"schema":"https://github.com/citation-style-language/schema/raw/master/csl-citation.json"} </w:instrText>
            </w:r>
            <w:r>
              <w:rPr>
                <w:rFonts w:ascii="Times New Roman" w:eastAsia="宋体" w:hAnsi="Times New Roman"/>
                <w:sz w:val="24"/>
                <w:szCs w:val="24"/>
              </w:rPr>
              <w:fldChar w:fldCharType="separate"/>
            </w:r>
            <w:r>
              <w:rPr>
                <w:rFonts w:ascii="Times New Roman" w:hAnsi="Times New Roman" w:hint="eastAsia"/>
                <w:sz w:val="24"/>
              </w:rPr>
              <w:t>[10]</w:t>
            </w:r>
            <w:r>
              <w:rPr>
                <w:rFonts w:ascii="Times New Roman" w:eastAsia="宋体" w:hAnsi="Times New Roman"/>
                <w:sz w:val="24"/>
                <w:szCs w:val="24"/>
              </w:rPr>
              <w:fldChar w:fldCharType="end"/>
            </w:r>
          </w:p>
        </w:tc>
      </w:tr>
      <w:tr w:rsidR="0011262F" w14:paraId="34D39BCE" w14:textId="77777777">
        <w:trPr>
          <w:trHeight w:val="334"/>
        </w:trPr>
        <w:tc>
          <w:tcPr>
            <w:tcW w:w="2081" w:type="dxa"/>
            <w:vAlign w:val="center"/>
          </w:tcPr>
          <w:p w14:paraId="543F9355" w14:textId="77777777" w:rsidR="0011262F" w:rsidRDefault="00000000">
            <w:pPr>
              <w:spacing w:line="360" w:lineRule="auto"/>
              <w:jc w:val="center"/>
              <w:rPr>
                <w:rFonts w:ascii="Times New Roman" w:eastAsia="宋体" w:hAnsi="Times New Roman"/>
                <w:sz w:val="24"/>
                <w:szCs w:val="24"/>
              </w:rPr>
            </w:pPr>
            <w:proofErr w:type="spellStart"/>
            <w:r>
              <w:rPr>
                <w:rFonts w:ascii="Times New Roman" w:eastAsia="宋体" w:hAnsi="Times New Roman"/>
                <w:sz w:val="24"/>
                <w:szCs w:val="24"/>
              </w:rPr>
              <w:t>FA@AgNPs</w:t>
            </w:r>
            <w:proofErr w:type="spellEnd"/>
          </w:p>
        </w:tc>
        <w:tc>
          <w:tcPr>
            <w:tcW w:w="1230" w:type="dxa"/>
            <w:vAlign w:val="center"/>
          </w:tcPr>
          <w:p w14:paraId="26041818" w14:textId="77777777" w:rsidR="0011262F" w:rsidRDefault="00000000">
            <w:pPr>
              <w:spacing w:line="360" w:lineRule="auto"/>
              <w:jc w:val="center"/>
              <w:rPr>
                <w:rFonts w:ascii="Times New Roman" w:eastAsia="宋体" w:hAnsi="Times New Roman"/>
                <w:sz w:val="24"/>
                <w:szCs w:val="24"/>
              </w:rPr>
            </w:pPr>
            <w:r>
              <w:rPr>
                <w:rFonts w:ascii="Times New Roman" w:eastAsia="宋体" w:hAnsi="Times New Roman" w:hint="eastAsia"/>
                <w:sz w:val="24"/>
                <w:szCs w:val="24"/>
              </w:rPr>
              <w:t>TMB</w:t>
            </w:r>
          </w:p>
        </w:tc>
        <w:tc>
          <w:tcPr>
            <w:tcW w:w="1333" w:type="dxa"/>
            <w:vAlign w:val="center"/>
          </w:tcPr>
          <w:p w14:paraId="061D1FFF" w14:textId="77777777" w:rsidR="0011262F" w:rsidRDefault="00000000">
            <w:pPr>
              <w:spacing w:line="360" w:lineRule="auto"/>
              <w:jc w:val="center"/>
              <w:rPr>
                <w:rFonts w:ascii="Times New Roman" w:eastAsia="宋体" w:hAnsi="Times New Roman"/>
                <w:sz w:val="24"/>
                <w:szCs w:val="24"/>
              </w:rPr>
            </w:pPr>
            <w:r>
              <w:rPr>
                <w:rFonts w:ascii="Times New Roman" w:eastAsia="宋体" w:hAnsi="Times New Roman" w:hint="eastAsia"/>
                <w:sz w:val="24"/>
                <w:szCs w:val="24"/>
              </w:rPr>
              <w:t>0.12</w:t>
            </w:r>
          </w:p>
        </w:tc>
        <w:tc>
          <w:tcPr>
            <w:tcW w:w="1843" w:type="dxa"/>
            <w:vAlign w:val="center"/>
          </w:tcPr>
          <w:p w14:paraId="266133DC" w14:textId="77777777" w:rsidR="0011262F" w:rsidRDefault="00000000">
            <w:pPr>
              <w:spacing w:line="360" w:lineRule="auto"/>
              <w:jc w:val="center"/>
              <w:rPr>
                <w:rFonts w:ascii="Times New Roman" w:eastAsia="宋体" w:hAnsi="Times New Roman"/>
                <w:sz w:val="24"/>
                <w:szCs w:val="24"/>
              </w:rPr>
            </w:pPr>
            <w:r>
              <w:rPr>
                <w:rFonts w:ascii="Times New Roman" w:eastAsia="宋体" w:hAnsi="Times New Roman"/>
                <w:sz w:val="24"/>
                <w:szCs w:val="24"/>
              </w:rPr>
              <w:t>5.20</w:t>
            </w:r>
          </w:p>
        </w:tc>
        <w:tc>
          <w:tcPr>
            <w:tcW w:w="1809" w:type="dxa"/>
            <w:vAlign w:val="center"/>
          </w:tcPr>
          <w:p w14:paraId="7A0F3790" w14:textId="77777777" w:rsidR="0011262F" w:rsidRDefault="00000000">
            <w:pPr>
              <w:spacing w:line="360" w:lineRule="auto"/>
              <w:jc w:val="center"/>
              <w:rPr>
                <w:rFonts w:ascii="Times New Roman" w:eastAsia="宋体" w:hAnsi="Times New Roman"/>
                <w:sz w:val="24"/>
                <w:szCs w:val="24"/>
              </w:rPr>
            </w:pPr>
            <w:r>
              <w:rPr>
                <w:rFonts w:ascii="Times New Roman" w:eastAsia="宋体" w:hAnsi="Times New Roman"/>
                <w:sz w:val="24"/>
                <w:szCs w:val="24"/>
              </w:rPr>
              <w:fldChar w:fldCharType="begin"/>
            </w:r>
            <w:r>
              <w:rPr>
                <w:rFonts w:ascii="Times New Roman" w:eastAsia="宋体" w:hAnsi="Times New Roman"/>
                <w:sz w:val="24"/>
                <w:szCs w:val="24"/>
              </w:rPr>
              <w:instrText xml:space="preserve"> ADDIN ZOTERO_ITEM CSL_CITATION {"citationID":"6PN8EMr3","properties":{"formattedCitation":"[11]","plainCitation":"[11]","noteIndex":0},"citationItems":[{"id":199,"uris":["http://zotero.org/users/12682253/items/PLXI235T"],"itemData":{"id":199,"type":"article-journal","abstract":"Dopamine (DA) is an important neurotransmitter; however, any excess or deficiency of DA will cause several diseases in humans. To monitor DA efficiently and conveniently, a Ag nanozyme strengthened by bioactive folic acid (FA@AgNPs) was developed by homogeneous redox assembly. After the microstructure and performance were characterized in detail, it was noted that the proposed FA@AgNPs possessed superior peroxidase-like activity due to the ultra-small Ag nanoparticles and multiple</w:instrText>
            </w:r>
            <w:r>
              <w:rPr>
                <w:rFonts w:ascii="Times New Roman" w:eastAsia="宋体" w:hAnsi="Times New Roman" w:hint="eastAsia"/>
                <w:sz w:val="24"/>
                <w:szCs w:val="24"/>
              </w:rPr>
              <w:instrText xml:space="preserve"> amino, hydroxyl, and aromatic rings in FA. FA@AgNPs accelerated the oxidation of 3,3</w:instrText>
            </w:r>
            <w:r>
              <w:rPr>
                <w:rFonts w:ascii="Times New Roman" w:eastAsia="宋体" w:hAnsi="Times New Roman" w:hint="eastAsia"/>
                <w:sz w:val="24"/>
                <w:szCs w:val="24"/>
              </w:rPr>
              <w:instrText>′</w:instrText>
            </w:r>
            <w:r>
              <w:rPr>
                <w:rFonts w:ascii="Times New Roman" w:eastAsia="宋体" w:hAnsi="Times New Roman" w:hint="eastAsia"/>
                <w:sz w:val="24"/>
                <w:szCs w:val="24"/>
              </w:rPr>
              <w:instrText>,5,5</w:instrText>
            </w:r>
            <w:r>
              <w:rPr>
                <w:rFonts w:ascii="Times New Roman" w:eastAsia="宋体" w:hAnsi="Times New Roman" w:hint="eastAsia"/>
                <w:sz w:val="24"/>
                <w:szCs w:val="24"/>
              </w:rPr>
              <w:instrText>′</w:instrText>
            </w:r>
            <w:r>
              <w:rPr>
                <w:rFonts w:ascii="Times New Roman" w:eastAsia="宋体" w:hAnsi="Times New Roman" w:hint="eastAsia"/>
                <w:sz w:val="24"/>
                <w:szCs w:val="24"/>
              </w:rPr>
              <w:instrText>-tetramethylbenzidine (TMB) with a low Michaelis constant (Km) and high maximal reaction rate (Vmax). Importantly, the characteristic absorbance intensity of FA@AgN</w:instrText>
            </w:r>
            <w:r>
              <w:rPr>
                <w:rFonts w:ascii="Times New Roman" w:eastAsia="宋体" w:hAnsi="Times New Roman"/>
                <w:sz w:val="24"/>
                <w:szCs w:val="24"/>
              </w:rPr>
              <w:instrText xml:space="preserve">Ps-TMB-H2O2 at 652 nm (A652) was exclusively deteriorated in the presence of trace DA, accompanied by a visual color change from blue to colorless. Under the optimized conditions (pH 4.0, 300 μL 1.5 mM TMB, 300 μL 1.0 M H2O2 and incubated for 30 min at room temperature), there expressed an excellent linear relationship between lgA0/A652 and cDA from 1.0 ×10−8 to 6.67×10−6 mol/L with a low limit detection of 7.1×10−10 mol/L (S/N=3). When applied for monitoring of DA in real fruit juice and pharmaceutical samples, the recovery was between 96.6% and 104.9%, with RSD less than 2.2%. The enhanced peroxidase-like activity of the FA@AgNP system and its selective recognition mechanism for DA are also proposed.","container-title":"Analytical and Bioanalytical Chemistry","DOI":"10.1007/s00216-022-04222-0","ISSN":"1618-2650","issue":"22","journalAbbreviation":"Anal Bioanal Chem","language":"en","note":"TLDR: It was noted that the proposed FA@AgNPs possessed superior peroxidase-like activity due to the ultra-small Ag nanoparticles and multiple amino, hydroxyl, and aromatic rings in FA.","page":"6611-6620","source":"Springer Link","title":"Ag nanozyme strengthened by folic acid: Superior peroxidase-mimicking activity and application for visual monitoring of dopamine","title-short":"Ag nanozyme strengthened by folic acid","volume":"414","author":[{"family":"Tang","given":"Yulian"},{"family":"Lv","given":"Xue"},{"family":"Gou","given":"Wenxin"},{"family":"Zhou","given":"Xuemei"},{"family":"Hao","given":"Junkai"},{"family":"Feng","given":"Jing"},{"family":"Qi","given":"Yuji"},{"family":"Hu","given":"Lei"},{"family":"Yan","given":"Zhengquan"}],"issued":{"date-parts":[["2022",9,1]]}}}],"schema":"https://github.com/citation-style-language/schema/raw/master/csl-citation.json"} </w:instrText>
            </w:r>
            <w:r>
              <w:rPr>
                <w:rFonts w:ascii="Times New Roman" w:eastAsia="宋体" w:hAnsi="Times New Roman"/>
                <w:sz w:val="24"/>
                <w:szCs w:val="24"/>
              </w:rPr>
              <w:fldChar w:fldCharType="separate"/>
            </w:r>
            <w:r>
              <w:rPr>
                <w:rFonts w:ascii="Times New Roman" w:hAnsi="Times New Roman" w:hint="eastAsia"/>
                <w:sz w:val="24"/>
              </w:rPr>
              <w:t>[11]</w:t>
            </w:r>
            <w:r>
              <w:rPr>
                <w:rFonts w:ascii="Times New Roman" w:eastAsia="宋体" w:hAnsi="Times New Roman"/>
                <w:sz w:val="24"/>
                <w:szCs w:val="24"/>
              </w:rPr>
              <w:fldChar w:fldCharType="end"/>
            </w:r>
          </w:p>
        </w:tc>
      </w:tr>
      <w:tr w:rsidR="0011262F" w14:paraId="1A5CA860" w14:textId="77777777">
        <w:trPr>
          <w:trHeight w:val="334"/>
        </w:trPr>
        <w:tc>
          <w:tcPr>
            <w:tcW w:w="2081" w:type="dxa"/>
            <w:vAlign w:val="center"/>
          </w:tcPr>
          <w:p w14:paraId="350CF77E" w14:textId="77777777" w:rsidR="0011262F" w:rsidRDefault="00000000">
            <w:pPr>
              <w:spacing w:line="360" w:lineRule="auto"/>
              <w:jc w:val="center"/>
              <w:rPr>
                <w:rFonts w:ascii="Times New Roman" w:eastAsia="宋体" w:hAnsi="Times New Roman"/>
                <w:sz w:val="24"/>
                <w:szCs w:val="24"/>
              </w:rPr>
            </w:pPr>
            <w:r>
              <w:rPr>
                <w:rFonts w:ascii="Times New Roman" w:eastAsia="宋体" w:hAnsi="Times New Roman"/>
                <w:sz w:val="24"/>
                <w:szCs w:val="24"/>
              </w:rPr>
              <w:t>COF-Au-Ag</w:t>
            </w:r>
          </w:p>
        </w:tc>
        <w:tc>
          <w:tcPr>
            <w:tcW w:w="1230" w:type="dxa"/>
            <w:vAlign w:val="center"/>
          </w:tcPr>
          <w:p w14:paraId="4D7F6574" w14:textId="77777777" w:rsidR="0011262F" w:rsidRDefault="00000000">
            <w:pPr>
              <w:spacing w:line="360" w:lineRule="auto"/>
              <w:jc w:val="center"/>
              <w:rPr>
                <w:rFonts w:ascii="Times New Roman" w:eastAsia="宋体" w:hAnsi="Times New Roman"/>
                <w:sz w:val="24"/>
                <w:szCs w:val="24"/>
              </w:rPr>
            </w:pPr>
            <w:r>
              <w:rPr>
                <w:rFonts w:ascii="Times New Roman" w:eastAsia="宋体" w:hAnsi="Times New Roman" w:hint="eastAsia"/>
                <w:sz w:val="24"/>
                <w:szCs w:val="24"/>
              </w:rPr>
              <w:t>TMB</w:t>
            </w:r>
          </w:p>
        </w:tc>
        <w:tc>
          <w:tcPr>
            <w:tcW w:w="1333" w:type="dxa"/>
            <w:vAlign w:val="center"/>
          </w:tcPr>
          <w:p w14:paraId="2B63F453" w14:textId="77777777" w:rsidR="0011262F" w:rsidRDefault="00000000">
            <w:pPr>
              <w:spacing w:line="360" w:lineRule="auto"/>
              <w:jc w:val="center"/>
              <w:rPr>
                <w:rFonts w:ascii="Times New Roman" w:eastAsia="宋体" w:hAnsi="Times New Roman"/>
                <w:sz w:val="24"/>
                <w:szCs w:val="24"/>
              </w:rPr>
            </w:pPr>
            <w:r>
              <w:rPr>
                <w:rFonts w:ascii="Times New Roman" w:eastAsia="宋体" w:hAnsi="Times New Roman" w:hint="eastAsia"/>
                <w:sz w:val="24"/>
                <w:szCs w:val="24"/>
              </w:rPr>
              <w:t>0.665</w:t>
            </w:r>
          </w:p>
        </w:tc>
        <w:tc>
          <w:tcPr>
            <w:tcW w:w="1843" w:type="dxa"/>
            <w:vAlign w:val="center"/>
          </w:tcPr>
          <w:p w14:paraId="34A0DE2F" w14:textId="77777777" w:rsidR="0011262F" w:rsidRDefault="00000000">
            <w:pPr>
              <w:spacing w:line="360" w:lineRule="auto"/>
              <w:jc w:val="center"/>
              <w:rPr>
                <w:rFonts w:ascii="Times New Roman" w:eastAsia="宋体" w:hAnsi="Times New Roman"/>
                <w:sz w:val="24"/>
                <w:szCs w:val="24"/>
              </w:rPr>
            </w:pPr>
            <w:r>
              <w:rPr>
                <w:rFonts w:ascii="Times New Roman" w:eastAsia="宋体" w:hAnsi="Times New Roman" w:hint="eastAsia"/>
                <w:sz w:val="24"/>
                <w:szCs w:val="24"/>
              </w:rPr>
              <w:t>0.395</w:t>
            </w:r>
          </w:p>
        </w:tc>
        <w:tc>
          <w:tcPr>
            <w:tcW w:w="1809" w:type="dxa"/>
            <w:vAlign w:val="center"/>
          </w:tcPr>
          <w:p w14:paraId="1A78763C" w14:textId="77777777" w:rsidR="0011262F" w:rsidRDefault="00000000">
            <w:pPr>
              <w:spacing w:line="360" w:lineRule="auto"/>
              <w:jc w:val="center"/>
              <w:rPr>
                <w:rFonts w:ascii="Times New Roman" w:eastAsia="宋体" w:hAnsi="Times New Roman"/>
                <w:sz w:val="24"/>
                <w:szCs w:val="24"/>
              </w:rPr>
            </w:pPr>
            <w:r>
              <w:rPr>
                <w:rFonts w:ascii="Times New Roman" w:eastAsia="宋体" w:hAnsi="Times New Roman"/>
                <w:sz w:val="24"/>
                <w:szCs w:val="24"/>
              </w:rPr>
              <w:fldChar w:fldCharType="begin"/>
            </w:r>
            <w:r>
              <w:rPr>
                <w:rFonts w:ascii="Times New Roman" w:eastAsia="宋体" w:hAnsi="Times New Roman"/>
                <w:sz w:val="24"/>
                <w:szCs w:val="24"/>
              </w:rPr>
              <w:instrText xml:space="preserve"> ADDIN ZOTERO_ITEM CSL_CITATION {"citationID":"Uz0q5VxV","properties":{"formattedCitation":"[12]","plainCitation":"[12]","noteIndex":0},"citationItems":[{"id":201,"uris":["http://zotero.org/users/12682253/items/84R9GRJJ"],"itemData":{"id":201,"type":"article-journal","abstract":"In this article, gold (Au) and silver (Ag) nanoparticles (NPs) were synergistically grown into flower-like covalent organic frameworks (COFs) through a chemical reduction method. It was discovered that COF-Au could present the obvious oxidase-like catalysis, which could decrease after adding silver elements to yield COF-Au-Ag. To our surprise, the catalytic activities of COF-Au-Ag were obviously enhanced with mercury (II) (Hg2+) by forming Au-Ag-Hg alloys, which was 7.0 and 2.5-folds higher than those of COF-Ag and COF-Au separately with Hg2+, respectively. A COF-Au-Ag catalysis-based colorimetric method was then developed for the turn-on detection of Hg2+ ions in fish muscle samples, providing a linear detection range from 0.0010-2.0 mg/kg. Moreover, the as-fabricated COF-Au-Ag could selectively absorb Hg2+ ions through forming stable coordination complexes. Importantly, it could facilitate Hg2+ ions to be eliminated from the aquaculture tailwater with the removing efficiency up to 99.61 % and adsorption capacity of 200.59 mg/g, which is significantly higher than that of COF, highlighting the superior adsorption efficiency of COF-Au-Ag. Such a COF-Au-Ag-based colorimetric detection and removal method for Hg2+ ions may promise extensive applications in the Hg2+-toxic disease diagnosis, environmental monitoring and aquaculture food safety fields.","container-title":"Microchemical Journal","DOI":"10.1016/j.microc.2025.114237","ISSN":"0026-265X","journalAbbreviation":"Microchemical Journal","page":"114237","source":"ScienceDirect","title":"Construction of covalent organic framework-loaded gold–silver composites with the catalysis enhanced by mercury: A turn-on colorimetric detection and removal strategy for mercury","title-short":"Construction of covalent organic framework-loaded gold–silver composites with the catalysis enhanced by mercury","volume":"215","author":[{"family":"Wang","given":"Ziyi"},{"family":"Wang","given":"Di"},{"family":"Wang","given":"Lily Chen"},{"family":"Chen","given":"Huilan"},{"family":"Li","given":"Yunyan"},{"family":"Zheng","given":"Weihong"},{"family":"Shang","given":"Jizhen"},{"family":"Lu","given":"Limin"},{"family":"Mao","given":"Guojiang"},{"family":"Qiao","given":"Yuchun"},{"family":"Wang","given":"Hua"}],"issued":{"date-parts":[["2025",8,1]]}}}],"schema":"https://github.com/citation-style-language/schema/raw/master/csl-citation.json"} </w:instrText>
            </w:r>
            <w:r>
              <w:rPr>
                <w:rFonts w:ascii="Times New Roman" w:eastAsia="宋体" w:hAnsi="Times New Roman"/>
                <w:sz w:val="24"/>
                <w:szCs w:val="24"/>
              </w:rPr>
              <w:fldChar w:fldCharType="separate"/>
            </w:r>
            <w:r>
              <w:rPr>
                <w:rFonts w:ascii="Times New Roman" w:hAnsi="Times New Roman" w:hint="eastAsia"/>
                <w:sz w:val="24"/>
              </w:rPr>
              <w:t>[12]</w:t>
            </w:r>
            <w:r>
              <w:rPr>
                <w:rFonts w:ascii="Times New Roman" w:eastAsia="宋体" w:hAnsi="Times New Roman"/>
                <w:sz w:val="24"/>
                <w:szCs w:val="24"/>
              </w:rPr>
              <w:fldChar w:fldCharType="end"/>
            </w:r>
          </w:p>
        </w:tc>
      </w:tr>
      <w:tr w:rsidR="0011262F" w14:paraId="2911C3B8" w14:textId="77777777">
        <w:trPr>
          <w:trHeight w:val="334"/>
        </w:trPr>
        <w:tc>
          <w:tcPr>
            <w:tcW w:w="2081" w:type="dxa"/>
            <w:vAlign w:val="center"/>
          </w:tcPr>
          <w:p w14:paraId="6FB436C6" w14:textId="77777777" w:rsidR="0011262F" w:rsidRDefault="00000000">
            <w:pPr>
              <w:spacing w:line="360" w:lineRule="auto"/>
              <w:jc w:val="center"/>
              <w:rPr>
                <w:rFonts w:ascii="Times New Roman" w:eastAsia="宋体" w:hAnsi="Times New Roman"/>
                <w:sz w:val="24"/>
                <w:szCs w:val="24"/>
              </w:rPr>
            </w:pPr>
            <w:r>
              <w:rPr>
                <w:rFonts w:ascii="Times New Roman" w:eastAsia="宋体" w:hAnsi="Times New Roman"/>
                <w:sz w:val="24"/>
                <w:szCs w:val="24"/>
              </w:rPr>
              <w:t xml:space="preserve">Fe-N-C </w:t>
            </w:r>
            <w:proofErr w:type="spellStart"/>
            <w:r>
              <w:rPr>
                <w:rFonts w:ascii="Times New Roman" w:eastAsia="宋体" w:hAnsi="Times New Roman"/>
                <w:sz w:val="24"/>
                <w:szCs w:val="24"/>
              </w:rPr>
              <w:t>SAzymes</w:t>
            </w:r>
            <w:proofErr w:type="spellEnd"/>
          </w:p>
        </w:tc>
        <w:tc>
          <w:tcPr>
            <w:tcW w:w="1230" w:type="dxa"/>
            <w:vAlign w:val="center"/>
          </w:tcPr>
          <w:p w14:paraId="6FA64A34" w14:textId="77777777" w:rsidR="0011262F" w:rsidRDefault="00000000">
            <w:pPr>
              <w:spacing w:line="360" w:lineRule="auto"/>
              <w:jc w:val="center"/>
              <w:rPr>
                <w:rFonts w:ascii="Times New Roman" w:eastAsia="宋体" w:hAnsi="Times New Roman"/>
                <w:sz w:val="24"/>
                <w:szCs w:val="24"/>
              </w:rPr>
            </w:pPr>
            <w:r>
              <w:rPr>
                <w:rFonts w:ascii="Times New Roman" w:eastAsia="宋体" w:hAnsi="Times New Roman" w:hint="eastAsia"/>
                <w:sz w:val="24"/>
                <w:szCs w:val="24"/>
              </w:rPr>
              <w:t>TMB</w:t>
            </w:r>
          </w:p>
        </w:tc>
        <w:tc>
          <w:tcPr>
            <w:tcW w:w="1333" w:type="dxa"/>
            <w:vAlign w:val="center"/>
          </w:tcPr>
          <w:p w14:paraId="5979ABE5" w14:textId="77777777" w:rsidR="0011262F" w:rsidRDefault="00000000">
            <w:pPr>
              <w:spacing w:line="360" w:lineRule="auto"/>
              <w:jc w:val="center"/>
              <w:rPr>
                <w:rFonts w:ascii="Times New Roman" w:eastAsia="宋体" w:hAnsi="Times New Roman"/>
                <w:sz w:val="24"/>
                <w:szCs w:val="24"/>
              </w:rPr>
            </w:pPr>
            <w:r>
              <w:rPr>
                <w:rFonts w:ascii="Times New Roman" w:eastAsia="宋体" w:hAnsi="Times New Roman" w:hint="eastAsia"/>
                <w:sz w:val="24"/>
                <w:szCs w:val="24"/>
              </w:rPr>
              <w:t>2.6</w:t>
            </w:r>
          </w:p>
        </w:tc>
        <w:tc>
          <w:tcPr>
            <w:tcW w:w="1843" w:type="dxa"/>
            <w:vAlign w:val="center"/>
          </w:tcPr>
          <w:p w14:paraId="2BC44589" w14:textId="77777777" w:rsidR="0011262F" w:rsidRDefault="00000000">
            <w:pPr>
              <w:spacing w:line="360" w:lineRule="auto"/>
              <w:jc w:val="center"/>
              <w:rPr>
                <w:rFonts w:ascii="Times New Roman" w:eastAsia="宋体" w:hAnsi="Times New Roman"/>
                <w:sz w:val="24"/>
                <w:szCs w:val="24"/>
              </w:rPr>
            </w:pPr>
            <w:r>
              <w:rPr>
                <w:rFonts w:ascii="Times New Roman" w:eastAsia="宋体" w:hAnsi="Times New Roman" w:hint="eastAsia"/>
                <w:sz w:val="24"/>
                <w:szCs w:val="24"/>
              </w:rPr>
              <w:t>5.6</w:t>
            </w:r>
          </w:p>
        </w:tc>
        <w:tc>
          <w:tcPr>
            <w:tcW w:w="1809" w:type="dxa"/>
            <w:vAlign w:val="center"/>
          </w:tcPr>
          <w:p w14:paraId="23AC6E57" w14:textId="77777777" w:rsidR="0011262F" w:rsidRDefault="00000000">
            <w:pPr>
              <w:spacing w:line="360" w:lineRule="auto"/>
              <w:jc w:val="center"/>
              <w:rPr>
                <w:rFonts w:ascii="Times New Roman" w:eastAsia="宋体" w:hAnsi="Times New Roman"/>
                <w:sz w:val="24"/>
                <w:szCs w:val="24"/>
              </w:rPr>
            </w:pPr>
            <w:r>
              <w:rPr>
                <w:rFonts w:ascii="Times New Roman" w:eastAsia="宋体" w:hAnsi="Times New Roman"/>
                <w:sz w:val="24"/>
                <w:szCs w:val="24"/>
              </w:rPr>
              <w:fldChar w:fldCharType="begin"/>
            </w:r>
            <w:r>
              <w:rPr>
                <w:rFonts w:ascii="Times New Roman" w:eastAsia="宋体" w:hAnsi="Times New Roman"/>
                <w:sz w:val="24"/>
                <w:szCs w:val="24"/>
              </w:rPr>
              <w:instrText xml:space="preserve"> ADDIN ZOTERO_ITEM CSL_CITATION {"citationID":"5IwEhJl0","properties":{"formattedCitation":"[13]","plainCitation":"[13]","noteIndex":0},"citationItems":[{"id":204,"uris":["http://zotero.org/users/12682253/items/TLBIT2VC"],"itemData":{"id":204,"type":"article-journal","abstract":"Nanozyme/natural enzyme hybrid plays a vital role in biosensing, therapy, and catalysis owing to the integrated advantages in the selectivity of natural enzymes and controllable catalytic activity of nanozymes. Herein, Fe-MIL-88B-NH2 [(Fe-metal-organic framework (MOF)] with remarkable peroxidase-like activity, ultrahigh stability, and high biocompatibility was utilized for immobilization of glucose oxidase (GOx) via an amidation coupling reaction. On the basis of the excellent selectivity and catalytic activity of Fe-MOF-GOx, a cascade catalysis was performed for the colorimetric detection of glucose. The integrated Fe-MOF-GOx not only exhibited higher stability and reusability than their mixtures including Fe-MOF and free GOx system but also possessed a wide linear range (1-500 μM), with a low detection limit of 0.487 μM for glucose detection.","container-title":"ACS applied materials &amp; interfaces","DOI":"10.1021/acsami.9b03004","ISSN":"1944-8252","issue":"25","journalAbbreviation":"ACS Appl Mater Interfaces","language":"eng","note":"PMID: 31134797\nTLDR: The integrated Fe-MOF-GOx not only exhibited higher stability and reusability than their mixtures including Fe- MOF and free GOx system but also possessed a wide linear range (1-500 μM), with a low detection limit of 0.487 μM for glucose detection.","page":"22096-22101","source":"PubMed","title":"Glucose Oxidase-Integrated Metal-Organic Framework Hybrids as Biomimetic Cascade Nanozymes for Ultrasensitive Glucose Biosensing","volume":"11","author":[{"family":"Xu","given":"Weiqing"},{"family":"Jiao","given":"Lei"},{"family":"Yan","given":"Hongye"},{"family":"Wu","given":"Yu"},{"family":"Chen","given":"Lijuan"},{"family":"Gu","given":"Wenling"},{"family":"Du","given":"Dan"},{"family":"Lin","given":"Yuehe"},{"family":"Zhu","given":"Chengzhou"}],"issued":{"date-parts":[["2019",6,26]]}}}],"schema":"https://github.com/citation-style-language/schema/raw/master/csl-citation.json"} </w:instrText>
            </w:r>
            <w:r>
              <w:rPr>
                <w:rFonts w:ascii="Times New Roman" w:eastAsia="宋体" w:hAnsi="Times New Roman"/>
                <w:sz w:val="24"/>
                <w:szCs w:val="24"/>
              </w:rPr>
              <w:fldChar w:fldCharType="separate"/>
            </w:r>
            <w:r>
              <w:rPr>
                <w:rFonts w:ascii="Times New Roman" w:hAnsi="Times New Roman" w:hint="eastAsia"/>
                <w:sz w:val="24"/>
              </w:rPr>
              <w:t>[13]</w:t>
            </w:r>
            <w:r>
              <w:rPr>
                <w:rFonts w:ascii="Times New Roman" w:eastAsia="宋体" w:hAnsi="Times New Roman"/>
                <w:sz w:val="24"/>
                <w:szCs w:val="24"/>
              </w:rPr>
              <w:fldChar w:fldCharType="end"/>
            </w:r>
          </w:p>
        </w:tc>
      </w:tr>
      <w:tr w:rsidR="0011262F" w14:paraId="11F63797" w14:textId="77777777">
        <w:trPr>
          <w:trHeight w:val="334"/>
        </w:trPr>
        <w:tc>
          <w:tcPr>
            <w:tcW w:w="2081" w:type="dxa"/>
            <w:vAlign w:val="center"/>
          </w:tcPr>
          <w:p w14:paraId="298E2198" w14:textId="77777777" w:rsidR="0011262F" w:rsidRDefault="00000000">
            <w:pPr>
              <w:spacing w:line="360" w:lineRule="auto"/>
              <w:jc w:val="center"/>
              <w:rPr>
                <w:rFonts w:ascii="Times New Roman" w:eastAsia="宋体" w:hAnsi="Times New Roman"/>
                <w:sz w:val="24"/>
                <w:szCs w:val="24"/>
              </w:rPr>
            </w:pPr>
            <w:r>
              <w:rPr>
                <w:rFonts w:ascii="Times New Roman" w:eastAsia="宋体" w:hAnsi="Times New Roman" w:hint="eastAsia"/>
                <w:sz w:val="24"/>
                <w:szCs w:val="24"/>
              </w:rPr>
              <w:t>COF-</w:t>
            </w:r>
            <w:proofErr w:type="spellStart"/>
            <w:r>
              <w:rPr>
                <w:rFonts w:ascii="Times New Roman" w:eastAsia="宋体" w:hAnsi="Times New Roman" w:hint="eastAsia"/>
                <w:sz w:val="24"/>
                <w:szCs w:val="24"/>
              </w:rPr>
              <w:t>AgNPs</w:t>
            </w:r>
            <w:proofErr w:type="spellEnd"/>
          </w:p>
        </w:tc>
        <w:tc>
          <w:tcPr>
            <w:tcW w:w="1230" w:type="dxa"/>
            <w:vAlign w:val="center"/>
          </w:tcPr>
          <w:p w14:paraId="4CAB7D17" w14:textId="77777777" w:rsidR="0011262F" w:rsidRDefault="00000000">
            <w:pPr>
              <w:spacing w:line="360" w:lineRule="auto"/>
              <w:jc w:val="center"/>
              <w:rPr>
                <w:rFonts w:ascii="Times New Roman" w:eastAsia="宋体" w:hAnsi="Times New Roman"/>
                <w:sz w:val="24"/>
                <w:szCs w:val="24"/>
              </w:rPr>
            </w:pPr>
            <w:r>
              <w:rPr>
                <w:rFonts w:ascii="Times New Roman" w:eastAsia="宋体" w:hAnsi="Times New Roman" w:hint="eastAsia"/>
                <w:sz w:val="24"/>
                <w:szCs w:val="24"/>
              </w:rPr>
              <w:t>TMB</w:t>
            </w:r>
          </w:p>
        </w:tc>
        <w:tc>
          <w:tcPr>
            <w:tcW w:w="1333" w:type="dxa"/>
            <w:vAlign w:val="center"/>
          </w:tcPr>
          <w:p w14:paraId="69EAB006" w14:textId="77777777" w:rsidR="0011262F" w:rsidRDefault="00000000">
            <w:pPr>
              <w:spacing w:line="360" w:lineRule="auto"/>
              <w:jc w:val="center"/>
              <w:rPr>
                <w:rFonts w:ascii="Times New Roman" w:eastAsia="宋体" w:hAnsi="Times New Roman"/>
                <w:sz w:val="24"/>
                <w:szCs w:val="24"/>
              </w:rPr>
            </w:pPr>
            <w:r>
              <w:rPr>
                <w:rFonts w:ascii="Times New Roman" w:eastAsia="宋体" w:hAnsi="Times New Roman" w:hint="eastAsia"/>
                <w:sz w:val="24"/>
                <w:szCs w:val="24"/>
              </w:rPr>
              <w:t>0.642</w:t>
            </w:r>
          </w:p>
        </w:tc>
        <w:tc>
          <w:tcPr>
            <w:tcW w:w="1843" w:type="dxa"/>
            <w:vAlign w:val="center"/>
          </w:tcPr>
          <w:p w14:paraId="6B6FB9C2" w14:textId="77777777" w:rsidR="0011262F" w:rsidRDefault="00000000">
            <w:pPr>
              <w:spacing w:line="360" w:lineRule="auto"/>
              <w:jc w:val="center"/>
              <w:rPr>
                <w:rFonts w:ascii="Times New Roman" w:eastAsia="宋体" w:hAnsi="Times New Roman"/>
                <w:sz w:val="24"/>
                <w:szCs w:val="24"/>
              </w:rPr>
            </w:pPr>
            <w:r>
              <w:rPr>
                <w:rFonts w:ascii="Times New Roman" w:eastAsia="宋体" w:hAnsi="Times New Roman"/>
                <w:sz w:val="24"/>
                <w:szCs w:val="24"/>
              </w:rPr>
              <w:t>8.64</w:t>
            </w:r>
          </w:p>
        </w:tc>
        <w:tc>
          <w:tcPr>
            <w:tcW w:w="1809" w:type="dxa"/>
            <w:vAlign w:val="center"/>
          </w:tcPr>
          <w:p w14:paraId="383630AD" w14:textId="77777777" w:rsidR="0011262F" w:rsidRDefault="00000000">
            <w:pPr>
              <w:spacing w:line="360" w:lineRule="auto"/>
              <w:jc w:val="center"/>
              <w:rPr>
                <w:rFonts w:ascii="Times New Roman" w:eastAsia="宋体" w:hAnsi="Times New Roman"/>
                <w:sz w:val="24"/>
                <w:szCs w:val="24"/>
              </w:rPr>
            </w:pPr>
            <w:r>
              <w:rPr>
                <w:rFonts w:ascii="Times New Roman" w:eastAsia="宋体" w:hAnsi="Times New Roman"/>
                <w:sz w:val="24"/>
                <w:szCs w:val="24"/>
              </w:rPr>
              <w:t>T</w:t>
            </w:r>
            <w:r>
              <w:rPr>
                <w:rFonts w:ascii="Times New Roman" w:eastAsia="宋体" w:hAnsi="Times New Roman" w:hint="eastAsia"/>
                <w:sz w:val="24"/>
                <w:szCs w:val="24"/>
              </w:rPr>
              <w:t>his work</w:t>
            </w:r>
          </w:p>
        </w:tc>
      </w:tr>
      <w:tr w:rsidR="0011262F" w14:paraId="67B66149" w14:textId="77777777">
        <w:trPr>
          <w:trHeight w:val="334"/>
        </w:trPr>
        <w:tc>
          <w:tcPr>
            <w:tcW w:w="2081" w:type="dxa"/>
            <w:vAlign w:val="center"/>
          </w:tcPr>
          <w:p w14:paraId="2DBF4E0F" w14:textId="77777777" w:rsidR="0011262F" w:rsidRDefault="00000000">
            <w:pPr>
              <w:spacing w:line="360" w:lineRule="auto"/>
              <w:jc w:val="center"/>
              <w:rPr>
                <w:rFonts w:ascii="Times New Roman" w:eastAsia="宋体" w:hAnsi="Times New Roman"/>
                <w:sz w:val="24"/>
                <w:szCs w:val="24"/>
              </w:rPr>
            </w:pPr>
            <w:r>
              <w:rPr>
                <w:rFonts w:ascii="Times New Roman" w:eastAsia="宋体" w:hAnsi="Times New Roman" w:hint="eastAsia"/>
                <w:sz w:val="24"/>
                <w:szCs w:val="24"/>
              </w:rPr>
              <w:t>COF-AgNPs-Hg</w:t>
            </w:r>
            <w:r>
              <w:rPr>
                <w:rFonts w:ascii="Times New Roman" w:eastAsia="宋体" w:hAnsi="Times New Roman" w:hint="eastAsia"/>
                <w:sz w:val="24"/>
                <w:szCs w:val="24"/>
                <w:vertAlign w:val="superscript"/>
              </w:rPr>
              <w:t>2+</w:t>
            </w:r>
          </w:p>
        </w:tc>
        <w:tc>
          <w:tcPr>
            <w:tcW w:w="1230" w:type="dxa"/>
            <w:vAlign w:val="center"/>
          </w:tcPr>
          <w:p w14:paraId="1F2263C0" w14:textId="77777777" w:rsidR="0011262F" w:rsidRDefault="00000000">
            <w:pPr>
              <w:spacing w:line="360" w:lineRule="auto"/>
              <w:jc w:val="center"/>
              <w:rPr>
                <w:rFonts w:ascii="Times New Roman" w:eastAsia="宋体" w:hAnsi="Times New Roman"/>
                <w:sz w:val="24"/>
                <w:szCs w:val="24"/>
              </w:rPr>
            </w:pPr>
            <w:r>
              <w:rPr>
                <w:rFonts w:ascii="Times New Roman" w:eastAsia="宋体" w:hAnsi="Times New Roman" w:hint="eastAsia"/>
                <w:sz w:val="24"/>
                <w:szCs w:val="24"/>
              </w:rPr>
              <w:t>TMB</w:t>
            </w:r>
          </w:p>
        </w:tc>
        <w:tc>
          <w:tcPr>
            <w:tcW w:w="1333" w:type="dxa"/>
            <w:vAlign w:val="center"/>
          </w:tcPr>
          <w:p w14:paraId="05598F7A" w14:textId="77777777" w:rsidR="0011262F" w:rsidRDefault="00000000">
            <w:pPr>
              <w:spacing w:line="360" w:lineRule="auto"/>
              <w:jc w:val="center"/>
              <w:rPr>
                <w:rFonts w:ascii="Times New Roman" w:eastAsia="宋体" w:hAnsi="Times New Roman"/>
                <w:sz w:val="24"/>
                <w:szCs w:val="24"/>
              </w:rPr>
            </w:pPr>
            <w:r>
              <w:rPr>
                <w:rFonts w:ascii="Times New Roman" w:eastAsia="宋体" w:hAnsi="Times New Roman" w:hint="eastAsia"/>
                <w:sz w:val="24"/>
                <w:szCs w:val="24"/>
              </w:rPr>
              <w:t>0.366</w:t>
            </w:r>
          </w:p>
        </w:tc>
        <w:tc>
          <w:tcPr>
            <w:tcW w:w="1843" w:type="dxa"/>
            <w:vAlign w:val="center"/>
          </w:tcPr>
          <w:p w14:paraId="57E1DCD0" w14:textId="77777777" w:rsidR="0011262F" w:rsidRDefault="00000000">
            <w:pPr>
              <w:spacing w:line="360" w:lineRule="auto"/>
              <w:jc w:val="center"/>
              <w:rPr>
                <w:rFonts w:ascii="Times New Roman" w:eastAsia="宋体" w:hAnsi="Times New Roman"/>
                <w:sz w:val="24"/>
                <w:szCs w:val="24"/>
              </w:rPr>
            </w:pPr>
            <w:r>
              <w:rPr>
                <w:rFonts w:ascii="Times New Roman" w:eastAsia="宋体" w:hAnsi="Times New Roman"/>
                <w:sz w:val="24"/>
                <w:szCs w:val="24"/>
              </w:rPr>
              <w:t>10.722</w:t>
            </w:r>
          </w:p>
        </w:tc>
        <w:tc>
          <w:tcPr>
            <w:tcW w:w="1809" w:type="dxa"/>
            <w:vAlign w:val="center"/>
          </w:tcPr>
          <w:p w14:paraId="0EE0F8D3" w14:textId="77777777" w:rsidR="0011262F" w:rsidRDefault="00000000">
            <w:pPr>
              <w:spacing w:line="360" w:lineRule="auto"/>
              <w:jc w:val="center"/>
              <w:rPr>
                <w:rFonts w:ascii="Times New Roman" w:eastAsia="宋体" w:hAnsi="Times New Roman"/>
                <w:sz w:val="24"/>
                <w:szCs w:val="24"/>
              </w:rPr>
            </w:pPr>
            <w:r>
              <w:rPr>
                <w:rFonts w:ascii="Times New Roman" w:eastAsia="宋体" w:hAnsi="Times New Roman"/>
                <w:sz w:val="24"/>
                <w:szCs w:val="24"/>
              </w:rPr>
              <w:t>T</w:t>
            </w:r>
            <w:r>
              <w:rPr>
                <w:rFonts w:ascii="Times New Roman" w:eastAsia="宋体" w:hAnsi="Times New Roman" w:hint="eastAsia"/>
                <w:sz w:val="24"/>
                <w:szCs w:val="24"/>
              </w:rPr>
              <w:t>his work</w:t>
            </w:r>
          </w:p>
        </w:tc>
      </w:tr>
    </w:tbl>
    <w:p w14:paraId="5ABF14EB" w14:textId="77777777" w:rsidR="0011262F" w:rsidRDefault="0011262F">
      <w:pPr>
        <w:spacing w:line="480" w:lineRule="auto"/>
        <w:ind w:firstLineChars="200" w:firstLine="420"/>
        <w:contextualSpacing/>
        <w:rPr>
          <w:rFonts w:ascii="Times New Roman" w:eastAsia="宋体" w:hAnsi="Times New Roman"/>
          <w:szCs w:val="21"/>
        </w:rPr>
      </w:pPr>
    </w:p>
    <w:p w14:paraId="6F926EAF" w14:textId="77777777" w:rsidR="0011262F" w:rsidRDefault="00000000">
      <w:pPr>
        <w:spacing w:line="480" w:lineRule="auto"/>
        <w:rPr>
          <w:rFonts w:ascii="Times New Roman" w:eastAsia="宋体" w:hAnsi="Times New Roman"/>
          <w:sz w:val="24"/>
          <w:szCs w:val="24"/>
        </w:rPr>
      </w:pPr>
      <w:r>
        <w:rPr>
          <w:rFonts w:ascii="Times New Roman" w:eastAsia="宋体" w:hAnsi="Times New Roman"/>
          <w:szCs w:val="21"/>
        </w:rPr>
        <w:br w:type="page"/>
      </w:r>
      <w:r>
        <w:rPr>
          <w:rFonts w:ascii="Times New Roman" w:eastAsia="宋体" w:hAnsi="Times New Roman"/>
          <w:b/>
          <w:bCs/>
          <w:sz w:val="24"/>
          <w:szCs w:val="24"/>
        </w:rPr>
        <w:lastRenderedPageBreak/>
        <w:t>Table S2</w:t>
      </w:r>
      <w:r>
        <w:rPr>
          <w:rFonts w:ascii="Times New Roman" w:eastAsia="宋体" w:hAnsi="Times New Roman" w:hint="eastAsia"/>
          <w:b/>
          <w:bCs/>
          <w:sz w:val="24"/>
          <w:szCs w:val="24"/>
        </w:rPr>
        <w:t>.</w:t>
      </w:r>
      <w:r>
        <w:rPr>
          <w:rFonts w:ascii="Times New Roman" w:eastAsia="宋体" w:hAnsi="Times New Roman"/>
          <w:b/>
          <w:bCs/>
          <w:sz w:val="24"/>
          <w:szCs w:val="24"/>
        </w:rPr>
        <w:t xml:space="preserve"> </w:t>
      </w:r>
      <w:r>
        <w:rPr>
          <w:rFonts w:ascii="Times New Roman" w:eastAsia="宋体" w:hAnsi="Times New Roman"/>
          <w:sz w:val="24"/>
          <w:szCs w:val="24"/>
        </w:rPr>
        <w:t>Comparison of COF-</w:t>
      </w:r>
      <w:proofErr w:type="spellStart"/>
      <w:r>
        <w:rPr>
          <w:rFonts w:ascii="Times New Roman" w:eastAsia="宋体" w:hAnsi="Times New Roman"/>
          <w:sz w:val="24"/>
          <w:szCs w:val="24"/>
        </w:rPr>
        <w:t>AgNPs</w:t>
      </w:r>
      <w:proofErr w:type="spellEnd"/>
      <w:r>
        <w:rPr>
          <w:rFonts w:ascii="Times New Roman" w:eastAsia="宋体" w:hAnsi="Times New Roman"/>
          <w:sz w:val="24"/>
          <w:szCs w:val="24"/>
        </w:rPr>
        <w:t xml:space="preserve"> with other reported nanomaterials for </w:t>
      </w:r>
      <w:r>
        <w:rPr>
          <w:rFonts w:ascii="Times New Roman" w:eastAsia="宋体" w:hAnsi="Times New Roman"/>
          <w:color w:val="000000"/>
          <w:sz w:val="24"/>
          <w:szCs w:val="24"/>
        </w:rPr>
        <w:t>Hg</w:t>
      </w:r>
      <w:r>
        <w:rPr>
          <w:rFonts w:ascii="Times New Roman" w:eastAsia="宋体" w:hAnsi="Times New Roman" w:hint="eastAsia"/>
          <w:color w:val="000000"/>
          <w:sz w:val="24"/>
          <w:szCs w:val="24"/>
          <w:vertAlign w:val="superscript"/>
        </w:rPr>
        <w:t>2+</w:t>
      </w:r>
      <w:r>
        <w:rPr>
          <w:rFonts w:ascii="Times New Roman" w:eastAsia="宋体" w:hAnsi="Times New Roman"/>
          <w:sz w:val="24"/>
          <w:szCs w:val="24"/>
          <w:vertAlign w:val="superscript"/>
        </w:rPr>
        <w:t xml:space="preserve"> </w:t>
      </w:r>
      <w:r>
        <w:rPr>
          <w:rFonts w:ascii="Times New Roman" w:eastAsia="宋体" w:hAnsi="Times New Roman"/>
          <w:sz w:val="24"/>
          <w:szCs w:val="24"/>
        </w:rPr>
        <w:t>detection.</w:t>
      </w:r>
    </w:p>
    <w:tbl>
      <w:tblPr>
        <w:tblW w:w="5000" w:type="pct"/>
        <w:tblBorders>
          <w:top w:val="single" w:sz="4" w:space="0" w:color="auto"/>
          <w:bottom w:val="single" w:sz="4" w:space="0" w:color="auto"/>
        </w:tblBorders>
        <w:tblLook w:val="04A0" w:firstRow="1" w:lastRow="0" w:firstColumn="1" w:lastColumn="0" w:noHBand="0" w:noVBand="1"/>
      </w:tblPr>
      <w:tblGrid>
        <w:gridCol w:w="1902"/>
        <w:gridCol w:w="362"/>
        <w:gridCol w:w="2125"/>
        <w:gridCol w:w="1796"/>
        <w:gridCol w:w="2121"/>
      </w:tblGrid>
      <w:tr w:rsidR="0011262F" w14:paraId="6D85FCAA" w14:textId="77777777">
        <w:trPr>
          <w:trHeight w:val="519"/>
        </w:trPr>
        <w:tc>
          <w:tcPr>
            <w:tcW w:w="1145" w:type="pct"/>
            <w:tcBorders>
              <w:top w:val="single" w:sz="4" w:space="0" w:color="auto"/>
              <w:bottom w:val="single" w:sz="4" w:space="0" w:color="auto"/>
            </w:tcBorders>
            <w:vAlign w:val="center"/>
          </w:tcPr>
          <w:p w14:paraId="5FAD1E51" w14:textId="77777777" w:rsidR="0011262F" w:rsidRDefault="00000000">
            <w:pPr>
              <w:spacing w:line="360" w:lineRule="auto"/>
              <w:jc w:val="center"/>
              <w:rPr>
                <w:rFonts w:ascii="Times New Roman" w:eastAsia="宋体" w:hAnsi="Times New Roman"/>
                <w:sz w:val="24"/>
                <w:szCs w:val="24"/>
              </w:rPr>
            </w:pPr>
            <w:r>
              <w:rPr>
                <w:rFonts w:ascii="Times New Roman" w:eastAsia="宋体" w:hAnsi="Times New Roman"/>
                <w:sz w:val="24"/>
                <w:szCs w:val="24"/>
              </w:rPr>
              <w:t>Nanomaterials</w:t>
            </w:r>
          </w:p>
        </w:tc>
        <w:tc>
          <w:tcPr>
            <w:tcW w:w="1497" w:type="pct"/>
            <w:gridSpan w:val="2"/>
            <w:tcBorders>
              <w:top w:val="single" w:sz="4" w:space="0" w:color="auto"/>
              <w:bottom w:val="single" w:sz="4" w:space="0" w:color="auto"/>
            </w:tcBorders>
            <w:vAlign w:val="center"/>
          </w:tcPr>
          <w:p w14:paraId="0F70F540" w14:textId="77777777" w:rsidR="0011262F" w:rsidRDefault="00000000">
            <w:pPr>
              <w:spacing w:line="360" w:lineRule="auto"/>
              <w:jc w:val="center"/>
              <w:rPr>
                <w:rFonts w:ascii="Times New Roman" w:eastAsia="宋体" w:hAnsi="Times New Roman"/>
                <w:sz w:val="24"/>
                <w:szCs w:val="24"/>
              </w:rPr>
            </w:pPr>
            <w:r>
              <w:rPr>
                <w:rFonts w:ascii="Times New Roman" w:eastAsia="宋体" w:hAnsi="Times New Roman"/>
                <w:sz w:val="24"/>
                <w:szCs w:val="24"/>
              </w:rPr>
              <w:t>Linear range (µ</w:t>
            </w:r>
            <w:r>
              <w:rPr>
                <w:rFonts w:ascii="Times New Roman" w:eastAsia="宋体" w:hAnsi="Times New Roman" w:hint="eastAsia"/>
                <w:sz w:val="24"/>
                <w:szCs w:val="24"/>
              </w:rPr>
              <w:t>M</w:t>
            </w:r>
            <w:r>
              <w:rPr>
                <w:rFonts w:ascii="Times New Roman" w:eastAsia="宋体" w:hAnsi="Times New Roman"/>
                <w:sz w:val="24"/>
                <w:szCs w:val="24"/>
              </w:rPr>
              <w:t>)</w:t>
            </w:r>
          </w:p>
        </w:tc>
        <w:tc>
          <w:tcPr>
            <w:tcW w:w="1081" w:type="pct"/>
            <w:tcBorders>
              <w:top w:val="single" w:sz="4" w:space="0" w:color="auto"/>
              <w:bottom w:val="single" w:sz="4" w:space="0" w:color="auto"/>
            </w:tcBorders>
            <w:vAlign w:val="center"/>
          </w:tcPr>
          <w:p w14:paraId="7B7D5A55" w14:textId="77777777" w:rsidR="0011262F" w:rsidRDefault="00000000">
            <w:pPr>
              <w:spacing w:line="360" w:lineRule="auto"/>
              <w:jc w:val="center"/>
              <w:rPr>
                <w:rFonts w:ascii="Times New Roman" w:eastAsia="宋体" w:hAnsi="Times New Roman"/>
                <w:sz w:val="24"/>
                <w:szCs w:val="24"/>
              </w:rPr>
            </w:pPr>
            <w:r>
              <w:rPr>
                <w:rFonts w:ascii="Times New Roman" w:eastAsia="宋体" w:hAnsi="Times New Roman"/>
                <w:sz w:val="24"/>
                <w:szCs w:val="24"/>
              </w:rPr>
              <w:t>LOD (µ</w:t>
            </w:r>
            <w:r>
              <w:rPr>
                <w:rFonts w:ascii="Times New Roman" w:eastAsia="宋体" w:hAnsi="Times New Roman" w:hint="eastAsia"/>
                <w:sz w:val="24"/>
                <w:szCs w:val="24"/>
              </w:rPr>
              <w:t>M</w:t>
            </w:r>
            <w:r>
              <w:rPr>
                <w:rFonts w:ascii="Times New Roman" w:eastAsia="宋体" w:hAnsi="Times New Roman"/>
                <w:sz w:val="24"/>
                <w:szCs w:val="24"/>
              </w:rPr>
              <w:t>)</w:t>
            </w:r>
          </w:p>
        </w:tc>
        <w:tc>
          <w:tcPr>
            <w:tcW w:w="1277" w:type="pct"/>
            <w:tcBorders>
              <w:top w:val="single" w:sz="4" w:space="0" w:color="auto"/>
              <w:bottom w:val="single" w:sz="4" w:space="0" w:color="auto"/>
            </w:tcBorders>
            <w:vAlign w:val="center"/>
          </w:tcPr>
          <w:p w14:paraId="12FF7707" w14:textId="77777777" w:rsidR="0011262F" w:rsidRDefault="00000000">
            <w:pPr>
              <w:spacing w:line="360" w:lineRule="auto"/>
              <w:jc w:val="center"/>
              <w:rPr>
                <w:rFonts w:ascii="Times New Roman" w:eastAsia="宋体" w:hAnsi="Times New Roman"/>
                <w:sz w:val="24"/>
                <w:szCs w:val="24"/>
              </w:rPr>
            </w:pPr>
            <w:r>
              <w:rPr>
                <w:rFonts w:ascii="Times New Roman" w:eastAsia="宋体" w:hAnsi="Times New Roman"/>
                <w:sz w:val="24"/>
                <w:szCs w:val="24"/>
              </w:rPr>
              <w:t>Reference</w:t>
            </w:r>
          </w:p>
        </w:tc>
      </w:tr>
      <w:tr w:rsidR="0011262F" w14:paraId="41ECC493" w14:textId="77777777">
        <w:trPr>
          <w:trHeight w:val="334"/>
        </w:trPr>
        <w:tc>
          <w:tcPr>
            <w:tcW w:w="1363" w:type="pct"/>
            <w:gridSpan w:val="2"/>
            <w:tcBorders>
              <w:top w:val="single" w:sz="4" w:space="0" w:color="auto"/>
            </w:tcBorders>
            <w:vAlign w:val="center"/>
          </w:tcPr>
          <w:p w14:paraId="483AFDA5" w14:textId="77777777" w:rsidR="0011262F" w:rsidRDefault="00000000">
            <w:pPr>
              <w:spacing w:line="360" w:lineRule="auto"/>
              <w:jc w:val="center"/>
              <w:rPr>
                <w:rFonts w:ascii="Times New Roman" w:eastAsia="宋体" w:hAnsi="Times New Roman"/>
                <w:sz w:val="24"/>
                <w:szCs w:val="24"/>
              </w:rPr>
            </w:pPr>
            <w:proofErr w:type="spellStart"/>
            <w:r>
              <w:rPr>
                <w:rFonts w:ascii="Times New Roman" w:eastAsia="宋体" w:hAnsi="Times New Roman"/>
                <w:sz w:val="24"/>
                <w:szCs w:val="24"/>
              </w:rPr>
              <w:t>CuNP</w:t>
            </w:r>
            <w:proofErr w:type="spellEnd"/>
          </w:p>
        </w:tc>
        <w:tc>
          <w:tcPr>
            <w:tcW w:w="1279" w:type="pct"/>
            <w:tcBorders>
              <w:top w:val="single" w:sz="4" w:space="0" w:color="auto"/>
            </w:tcBorders>
            <w:vAlign w:val="center"/>
          </w:tcPr>
          <w:p w14:paraId="1A216E66" w14:textId="77777777" w:rsidR="0011262F" w:rsidRDefault="00000000">
            <w:pPr>
              <w:spacing w:line="360" w:lineRule="auto"/>
              <w:jc w:val="center"/>
              <w:rPr>
                <w:rFonts w:ascii="Times New Roman" w:eastAsia="宋体" w:hAnsi="Times New Roman"/>
                <w:sz w:val="24"/>
                <w:szCs w:val="24"/>
              </w:rPr>
            </w:pPr>
            <w:r>
              <w:rPr>
                <w:rFonts w:ascii="Times New Roman" w:eastAsia="宋体" w:hAnsi="Times New Roman"/>
                <w:sz w:val="24"/>
                <w:szCs w:val="24"/>
              </w:rPr>
              <w:t>0.050~10.0</w:t>
            </w:r>
          </w:p>
        </w:tc>
        <w:tc>
          <w:tcPr>
            <w:tcW w:w="1081" w:type="pct"/>
            <w:tcBorders>
              <w:top w:val="single" w:sz="4" w:space="0" w:color="auto"/>
            </w:tcBorders>
            <w:vAlign w:val="center"/>
          </w:tcPr>
          <w:p w14:paraId="0F94EF29" w14:textId="77777777" w:rsidR="0011262F" w:rsidRDefault="00000000">
            <w:pPr>
              <w:spacing w:line="360" w:lineRule="auto"/>
              <w:jc w:val="center"/>
              <w:rPr>
                <w:rFonts w:ascii="Times New Roman" w:eastAsia="宋体" w:hAnsi="Times New Roman"/>
                <w:sz w:val="24"/>
                <w:szCs w:val="24"/>
              </w:rPr>
            </w:pPr>
            <w:r>
              <w:rPr>
                <w:rFonts w:ascii="Times New Roman" w:eastAsia="宋体" w:hAnsi="Times New Roman"/>
                <w:sz w:val="24"/>
                <w:szCs w:val="24"/>
              </w:rPr>
              <w:t>0.185</w:t>
            </w:r>
          </w:p>
        </w:tc>
        <w:tc>
          <w:tcPr>
            <w:tcW w:w="1277" w:type="pct"/>
            <w:tcBorders>
              <w:top w:val="single" w:sz="4" w:space="0" w:color="auto"/>
            </w:tcBorders>
            <w:vAlign w:val="center"/>
          </w:tcPr>
          <w:p w14:paraId="5FA7C2E5" w14:textId="77777777" w:rsidR="0011262F" w:rsidRDefault="00000000">
            <w:pPr>
              <w:spacing w:line="360" w:lineRule="auto"/>
              <w:jc w:val="center"/>
              <w:rPr>
                <w:rFonts w:ascii="Times New Roman" w:eastAsia="宋体" w:hAnsi="Times New Roman"/>
                <w:sz w:val="24"/>
                <w:szCs w:val="24"/>
              </w:rPr>
            </w:pPr>
            <w:r>
              <w:rPr>
                <w:rFonts w:ascii="Times New Roman" w:eastAsia="宋体" w:hAnsi="Times New Roman"/>
                <w:sz w:val="24"/>
                <w:szCs w:val="24"/>
              </w:rPr>
              <w:fldChar w:fldCharType="begin"/>
            </w:r>
            <w:r>
              <w:rPr>
                <w:rFonts w:ascii="Times New Roman" w:eastAsia="宋体" w:hAnsi="Times New Roman"/>
                <w:sz w:val="24"/>
                <w:szCs w:val="24"/>
              </w:rPr>
              <w:instrText xml:space="preserve"> ADDIN ZOTERO_ITEM CSL_CITATION {"citationID":"jGd29PSn","properties":{"formattedCitation":"[14]","plainCitation":"[14]","noteIndex":0},"citationItems":[{"id":206,"uris":["http://zotero.org/users/12682253/items/F3DHCXG6"],"itemData":{"id":206,"type":"article-journal","abstract":"In this study, water-soluble citrate-capped copper nanoparticles (Cu NPs) were synthesized by a simple and rapid method. We found that these citrate-capped Cu NPs possessed an intrinsic peroxidase-like activity, which could cataly</w:instrText>
            </w:r>
            <w:r>
              <w:rPr>
                <w:rFonts w:ascii="Times New Roman" w:eastAsia="宋体" w:hAnsi="Times New Roman" w:hint="eastAsia"/>
                <w:sz w:val="24"/>
                <w:szCs w:val="24"/>
              </w:rPr>
              <w:instrText>se the oxidation of 3,3</w:instrText>
            </w:r>
            <w:r>
              <w:rPr>
                <w:rFonts w:ascii="Times New Roman" w:eastAsia="宋体" w:hAnsi="Times New Roman" w:hint="eastAsia"/>
                <w:sz w:val="24"/>
                <w:szCs w:val="24"/>
              </w:rPr>
              <w:instrText>′</w:instrText>
            </w:r>
            <w:r>
              <w:rPr>
                <w:rFonts w:ascii="Times New Roman" w:eastAsia="宋体" w:hAnsi="Times New Roman" w:hint="eastAsia"/>
                <w:sz w:val="24"/>
                <w:szCs w:val="24"/>
              </w:rPr>
              <w:instrText>,5,5</w:instrText>
            </w:r>
            <w:r>
              <w:rPr>
                <w:rFonts w:ascii="Times New Roman" w:eastAsia="宋体" w:hAnsi="Times New Roman" w:hint="eastAsia"/>
                <w:sz w:val="24"/>
                <w:szCs w:val="24"/>
              </w:rPr>
              <w:instrText>′</w:instrText>
            </w:r>
            <w:r>
              <w:rPr>
                <w:rFonts w:ascii="Times New Roman" w:eastAsia="宋体" w:hAnsi="Times New Roman" w:hint="eastAsia"/>
                <w:sz w:val="24"/>
                <w:szCs w:val="24"/>
              </w:rPr>
              <w:instrText>-tetramethylbenzidine (TMB) to generate a light blue product in the presence of hydrogen peroxide (H2O2). It was also found that mercury ions (Hg2+) could enhance the peroxidase-like activity of the citrate-capped Cu NPs, caus</w:instrText>
            </w:r>
            <w:r>
              <w:rPr>
                <w:rFonts w:ascii="Times New Roman" w:eastAsia="宋体" w:hAnsi="Times New Roman"/>
                <w:sz w:val="24"/>
                <w:szCs w:val="24"/>
              </w:rPr>
              <w:instrText xml:space="preserve">ing the colour to turn bright blue. The colour change was dependent on the concentration of Hg2+. Therefore, a colorimetric method for Hg2+ detection was established with a linear range from 0.050 μM to 10.000 μM and a detection limit of 0.185 Mm. More interestingly, citrate-capped Cu NPs have a characteristic absorption peak at 260 nm, we also found that Hg2+ could cause the absorption peak at 260 nm to change. Therefore, we developed another colorimetric method for Hg2+ detection based on the absorption peak of citrate-capped Cu NPs at 260 nm. This colorimetric method was shown to enable convenient and sensitive quantification of Hg2+ in the concentration range of 0.100 μM to 6.000 μM with a limit of detection of 0.052 μM. In this study, a dual-mode sensor for detection of Hg2+ was constructed, which exhibited good sensitivity and selectivity.","container-title":"Analytical Methods","DOI":"10.1039/C9AY00843H","ISSN":"1759-9679","issue":"31","journalAbbreviation":"Anal. Methods","language":"en","note":"publisher: The Royal Society of Chemistry","page":"4014-4021","source":"pubs.rsc.org","title":"A dual-mode colorimetric sensor based on copper nanoparticles for the detection of mercury-(II) ions","volume":"11","author":[{"family":"Li","given":"Qiang"},{"family":"Wu","given":"Feng"},{"family":"Mao","given":"Mao"},{"family":"Ji","given":"Xiang"},{"family":"Wei","given":"Luyao"},{"family":"Li","given":"Jieying"},{"family":"Ma","given":"Lan"}],"issued":{"date-parts":[["2019",8,8]]}}}],"schema":"https://github.com/citation-style-language/schema/raw/master/csl-citation.json"} </w:instrText>
            </w:r>
            <w:r>
              <w:rPr>
                <w:rFonts w:ascii="Times New Roman" w:eastAsia="宋体" w:hAnsi="Times New Roman"/>
                <w:sz w:val="24"/>
                <w:szCs w:val="24"/>
              </w:rPr>
              <w:fldChar w:fldCharType="separate"/>
            </w:r>
            <w:r>
              <w:rPr>
                <w:rFonts w:ascii="Times New Roman" w:hAnsi="Times New Roman" w:hint="eastAsia"/>
                <w:sz w:val="24"/>
              </w:rPr>
              <w:t>[14]</w:t>
            </w:r>
            <w:r>
              <w:rPr>
                <w:rFonts w:ascii="Times New Roman" w:eastAsia="宋体" w:hAnsi="Times New Roman"/>
                <w:sz w:val="24"/>
                <w:szCs w:val="24"/>
              </w:rPr>
              <w:fldChar w:fldCharType="end"/>
            </w:r>
          </w:p>
        </w:tc>
      </w:tr>
      <w:tr w:rsidR="0011262F" w14:paraId="724184E4" w14:textId="77777777">
        <w:trPr>
          <w:trHeight w:val="334"/>
        </w:trPr>
        <w:tc>
          <w:tcPr>
            <w:tcW w:w="1363" w:type="pct"/>
            <w:gridSpan w:val="2"/>
            <w:vAlign w:val="center"/>
          </w:tcPr>
          <w:p w14:paraId="333E1F22" w14:textId="77777777" w:rsidR="0011262F" w:rsidRDefault="00000000">
            <w:pPr>
              <w:spacing w:line="360" w:lineRule="auto"/>
              <w:jc w:val="center"/>
              <w:rPr>
                <w:rFonts w:ascii="Times New Roman" w:eastAsia="宋体" w:hAnsi="Times New Roman"/>
                <w:sz w:val="24"/>
                <w:szCs w:val="24"/>
              </w:rPr>
            </w:pPr>
            <w:proofErr w:type="spellStart"/>
            <w:r>
              <w:rPr>
                <w:rFonts w:ascii="Times New Roman" w:eastAsia="宋体" w:hAnsi="Times New Roman"/>
                <w:sz w:val="24"/>
                <w:szCs w:val="24"/>
              </w:rPr>
              <w:t>rGO</w:t>
            </w:r>
            <w:proofErr w:type="spellEnd"/>
            <w:r>
              <w:rPr>
                <w:rFonts w:ascii="Times New Roman" w:eastAsia="宋体" w:hAnsi="Times New Roman"/>
                <w:sz w:val="24"/>
                <w:szCs w:val="24"/>
              </w:rPr>
              <w:t>/PEG/Ag</w:t>
            </w:r>
          </w:p>
        </w:tc>
        <w:tc>
          <w:tcPr>
            <w:tcW w:w="1279" w:type="pct"/>
            <w:vAlign w:val="center"/>
          </w:tcPr>
          <w:p w14:paraId="713D2C1F" w14:textId="77777777" w:rsidR="0011262F" w:rsidRDefault="00000000">
            <w:pPr>
              <w:spacing w:line="360" w:lineRule="auto"/>
              <w:jc w:val="center"/>
              <w:rPr>
                <w:rFonts w:ascii="Times New Roman" w:eastAsia="宋体" w:hAnsi="Times New Roman"/>
                <w:sz w:val="24"/>
                <w:szCs w:val="24"/>
              </w:rPr>
            </w:pPr>
            <w:r>
              <w:rPr>
                <w:rFonts w:ascii="Times New Roman" w:eastAsia="宋体" w:hAnsi="Times New Roman"/>
                <w:sz w:val="24"/>
                <w:szCs w:val="24"/>
              </w:rPr>
              <w:t>0.02~1.0</w:t>
            </w:r>
            <w:r>
              <w:rPr>
                <w:rFonts w:ascii="Times New Roman" w:eastAsia="宋体" w:hAnsi="Times New Roman" w:hint="eastAsia"/>
                <w:sz w:val="24"/>
                <w:szCs w:val="24"/>
              </w:rPr>
              <w:t>/</w:t>
            </w:r>
            <w:r>
              <w:rPr>
                <w:rFonts w:ascii="Times New Roman" w:eastAsia="宋体" w:hAnsi="Times New Roman"/>
                <w:sz w:val="24"/>
                <w:szCs w:val="24"/>
              </w:rPr>
              <w:t>1.0~5.0</w:t>
            </w:r>
          </w:p>
        </w:tc>
        <w:tc>
          <w:tcPr>
            <w:tcW w:w="1081" w:type="pct"/>
            <w:vAlign w:val="center"/>
          </w:tcPr>
          <w:p w14:paraId="52D29A1F" w14:textId="77777777" w:rsidR="0011262F" w:rsidRDefault="00000000">
            <w:pPr>
              <w:spacing w:line="360" w:lineRule="auto"/>
              <w:jc w:val="center"/>
              <w:rPr>
                <w:rFonts w:ascii="Times New Roman" w:eastAsia="宋体" w:hAnsi="Times New Roman"/>
                <w:sz w:val="24"/>
                <w:szCs w:val="24"/>
              </w:rPr>
            </w:pPr>
            <w:r>
              <w:rPr>
                <w:rFonts w:ascii="Times New Roman" w:eastAsia="宋体" w:hAnsi="Times New Roman"/>
                <w:sz w:val="24"/>
                <w:szCs w:val="24"/>
              </w:rPr>
              <w:t>0.0197</w:t>
            </w:r>
          </w:p>
        </w:tc>
        <w:tc>
          <w:tcPr>
            <w:tcW w:w="1277" w:type="pct"/>
            <w:vAlign w:val="center"/>
          </w:tcPr>
          <w:p w14:paraId="746F70A6" w14:textId="77777777" w:rsidR="0011262F" w:rsidRDefault="00000000">
            <w:pPr>
              <w:spacing w:line="360" w:lineRule="auto"/>
              <w:jc w:val="center"/>
              <w:rPr>
                <w:rFonts w:ascii="Times New Roman" w:eastAsia="宋体" w:hAnsi="Times New Roman"/>
                <w:sz w:val="24"/>
                <w:szCs w:val="24"/>
              </w:rPr>
            </w:pPr>
            <w:r>
              <w:rPr>
                <w:rFonts w:ascii="Times New Roman" w:eastAsia="宋体" w:hAnsi="Times New Roman"/>
                <w:sz w:val="24"/>
                <w:szCs w:val="24"/>
              </w:rPr>
              <w:fldChar w:fldCharType="begin"/>
            </w:r>
            <w:r>
              <w:rPr>
                <w:rFonts w:ascii="Times New Roman" w:eastAsia="宋体" w:hAnsi="Times New Roman"/>
                <w:sz w:val="24"/>
                <w:szCs w:val="24"/>
              </w:rPr>
              <w:instrText xml:space="preserve"> ADDIN ZOTERO_ITEM CSL_CITATION {"citationID":"XkxzHjY1","properties":{"formattedCitation":"[15]","plainCitation":"[15]","noteIndex":0},"citationItems":[{"id":202,"uris":["http://zotero.org/users/12682253/items/VSRAFLSF"],"itemData":{"id":202,"type":"article-journal","abstract":"Developing a peroxidase-like activity modulator to accurately regulate peroxidase-like activity has always been the primary challenge to be addressed. External stimulation can effectively modulate the electronic structure of metal-centered active sites, which optimizes the chemical reaction path and changes the peroxidase-like activity. Herein, in a weak acidic environment (pH = 6.0), we found that the electron transfer may occur between silver nanoparticles (Ag NPs) anchored on the surface of reduced graphene oxide/poly(ethylene glycol) (rGO/PEG) nanosheets and added mercury(II) (Hg2+), which can induce the formation of mercurous ions (Hg(I), Hg22+). Hg(I) with regulatory catalytic performance can stimulate the expression of the active sites of Ag NPs via optimizing the electronic structure so that the adsorbed H2O2 molecules can efficiently produce reactive oxygen intermediates (•OH and •O2–) and be stabilized on the surface of Ag NPs. Meanwhile, density functional theory (DFT) calculations showed that the generated Hg(I) significantly reduced the Gibbs free energy of the chemical reaction and provided a pathway for electron transfer, which effectively enhanced the peroxidase-like activity. Based on this finding, a visual colorimetric sensor was constructed to detect Hg2+ with a detection limit of 19.7 nM in the range of 0.02–5.0 μM. Finally, we confirmed that the developed rGO/PEG/Ag nanohybrids can quantitatively detect Hg2+ in the environment. This method is reliable and has potential advantages in the environmental application field.","container-title":"ACS Applied Nano Materials","DOI":"10.1021/acsanm.1c03781","issue":"2","journalAbbreviation":"ACS Appl. Nano Mater.","note":"publisher: American Chemical Society","page":"2048-2056","source":"ACS Publications","title":"Generated Mercury(I) as a Peroxidase-like Activity Modulator via Stimulating the Expression of Active Sites of Silver Nanoparticles for Environmental Hg2+ Detection","volume":"5","author":[{"family":"Wang","given":"Yingsha"},{"family":"Cheng","given":"Shanshan"},{"family":"Liu","given":"Meili"},{"family":"Liu","given":"Jia"},{"family":"Zhang","given":"Shouting"},{"family":"Hu","given":"Wenping"}],"issued":{"date-parts":[["2022",2,25]]}}}],"schema":"https://github.com/citation-style-language/schema/raw/master/csl-citation.json"} </w:instrText>
            </w:r>
            <w:r>
              <w:rPr>
                <w:rFonts w:ascii="Times New Roman" w:eastAsia="宋体" w:hAnsi="Times New Roman"/>
                <w:sz w:val="24"/>
                <w:szCs w:val="24"/>
              </w:rPr>
              <w:fldChar w:fldCharType="separate"/>
            </w:r>
            <w:r>
              <w:rPr>
                <w:rFonts w:ascii="Times New Roman" w:hAnsi="Times New Roman" w:hint="eastAsia"/>
                <w:sz w:val="24"/>
              </w:rPr>
              <w:t>[15]</w:t>
            </w:r>
            <w:r>
              <w:rPr>
                <w:rFonts w:ascii="Times New Roman" w:eastAsia="宋体" w:hAnsi="Times New Roman"/>
                <w:sz w:val="24"/>
                <w:szCs w:val="24"/>
              </w:rPr>
              <w:fldChar w:fldCharType="end"/>
            </w:r>
          </w:p>
        </w:tc>
      </w:tr>
      <w:tr w:rsidR="0011262F" w14:paraId="31EC0323" w14:textId="77777777">
        <w:trPr>
          <w:trHeight w:val="334"/>
        </w:trPr>
        <w:tc>
          <w:tcPr>
            <w:tcW w:w="1363" w:type="pct"/>
            <w:gridSpan w:val="2"/>
            <w:vAlign w:val="center"/>
          </w:tcPr>
          <w:p w14:paraId="569410F1" w14:textId="77777777" w:rsidR="0011262F" w:rsidRDefault="00000000">
            <w:pPr>
              <w:spacing w:line="360" w:lineRule="auto"/>
              <w:jc w:val="center"/>
              <w:rPr>
                <w:rFonts w:ascii="Times New Roman" w:eastAsia="宋体" w:hAnsi="Times New Roman"/>
                <w:sz w:val="24"/>
                <w:szCs w:val="24"/>
              </w:rPr>
            </w:pPr>
            <w:r>
              <w:rPr>
                <w:rFonts w:ascii="Times New Roman" w:eastAsia="宋体" w:hAnsi="Times New Roman"/>
                <w:sz w:val="24"/>
                <w:szCs w:val="24"/>
              </w:rPr>
              <w:t>COF-Au-Ag</w:t>
            </w:r>
          </w:p>
        </w:tc>
        <w:tc>
          <w:tcPr>
            <w:tcW w:w="1279" w:type="pct"/>
            <w:vAlign w:val="center"/>
          </w:tcPr>
          <w:p w14:paraId="095ADFF8" w14:textId="77777777" w:rsidR="0011262F" w:rsidRDefault="00000000">
            <w:pPr>
              <w:spacing w:line="360" w:lineRule="auto"/>
              <w:jc w:val="center"/>
              <w:rPr>
                <w:rFonts w:ascii="Times New Roman" w:eastAsia="宋体" w:hAnsi="Times New Roman"/>
                <w:sz w:val="24"/>
                <w:szCs w:val="24"/>
              </w:rPr>
            </w:pPr>
            <w:r>
              <w:rPr>
                <w:rFonts w:ascii="Times New Roman" w:eastAsia="宋体" w:hAnsi="Times New Roman"/>
                <w:sz w:val="24"/>
                <w:szCs w:val="24"/>
              </w:rPr>
              <w:t>0.050~20.0</w:t>
            </w:r>
          </w:p>
        </w:tc>
        <w:tc>
          <w:tcPr>
            <w:tcW w:w="1081" w:type="pct"/>
            <w:vAlign w:val="center"/>
          </w:tcPr>
          <w:p w14:paraId="7E4EEE94" w14:textId="77777777" w:rsidR="0011262F" w:rsidRDefault="00000000">
            <w:pPr>
              <w:spacing w:line="360" w:lineRule="auto"/>
              <w:jc w:val="center"/>
              <w:rPr>
                <w:rFonts w:ascii="Times New Roman" w:eastAsia="宋体" w:hAnsi="Times New Roman"/>
                <w:sz w:val="24"/>
                <w:szCs w:val="24"/>
              </w:rPr>
            </w:pPr>
            <w:r>
              <w:rPr>
                <w:rFonts w:ascii="Times New Roman" w:eastAsia="宋体" w:hAnsi="Times New Roman"/>
                <w:sz w:val="24"/>
                <w:szCs w:val="24"/>
              </w:rPr>
              <w:t>0.026</w:t>
            </w:r>
          </w:p>
        </w:tc>
        <w:tc>
          <w:tcPr>
            <w:tcW w:w="1277" w:type="pct"/>
            <w:vAlign w:val="center"/>
          </w:tcPr>
          <w:p w14:paraId="35239A87" w14:textId="77777777" w:rsidR="0011262F" w:rsidRDefault="00000000">
            <w:pPr>
              <w:spacing w:line="360" w:lineRule="auto"/>
              <w:jc w:val="center"/>
              <w:rPr>
                <w:rFonts w:ascii="Times New Roman" w:eastAsia="宋体" w:hAnsi="Times New Roman"/>
                <w:sz w:val="24"/>
                <w:szCs w:val="24"/>
              </w:rPr>
            </w:pPr>
            <w:r>
              <w:rPr>
                <w:rFonts w:ascii="Times New Roman" w:eastAsia="宋体" w:hAnsi="Times New Roman"/>
                <w:sz w:val="24"/>
                <w:szCs w:val="24"/>
              </w:rPr>
              <w:fldChar w:fldCharType="begin"/>
            </w:r>
            <w:r>
              <w:rPr>
                <w:rFonts w:ascii="Times New Roman" w:eastAsia="宋体" w:hAnsi="Times New Roman"/>
                <w:sz w:val="24"/>
                <w:szCs w:val="24"/>
              </w:rPr>
              <w:instrText xml:space="preserve"> ADDIN ZOTERO_ITEM CSL_CITATION {"citationID":"sRB6neOO","properties":{"formattedCitation":"[12]","plainCitation":"[12]","noteIndex":0},"citationItems":[{"id":201,"uris":["http://zotero.org/users/12682253/items/84R9GRJJ"],"itemData":{"id":201,"type":"article-journal","abstract":"In this article, gold (Au) and silver (Ag) nanoparticles (NPs) were synergistically grown into flower-like covalent organic frameworks (COFs) through a chemical reduction method. It was discovered that COF-Au could present the obvious oxidase-like catalysis, which could decrease after adding silver elements to yield COF-Au-Ag. To our surprise, the catalytic activities of COF-Au-Ag were obviously enhanced with mercury (II) (Hg2+) by forming Au-Ag-Hg alloys, which was 7.0 and 2.5-folds higher than those of COF-Ag and COF-Au separately with Hg2+, respectively. A COF-Au-Ag catalysis-based colorimetric method was then developed for the turn-on detection of Hg2+ ions in fish muscle samples, providing a linear detection range from 0.0010-2.0 mg/kg. Moreover, the as-fabricated COF-Au-Ag could selectively absorb Hg2+ ions through forming stable coordination complexes. Importantly, it could facilitate Hg2+ ions to be eliminated from the aquaculture tailwater with the removing efficiency up to 99.61 % and adsorption capacity of 200.59 mg/g, which is significantly higher than that of COF, highlighting the superior adsorption efficiency of COF-Au-Ag. Such a COF-Au-Ag-based colorimetric detection and removal method for Hg2+ ions may promise extensive applications in the Hg2+-toxic disease diagnosis, environmental monitoring and aquaculture food safety fields.","container-title":"Microchemical Journal","DOI":"10.1016/j.microc.2025.114237","ISSN":"0026-265X","journalAbbreviation":"Microchemical Journal","page":"114237","source":"ScienceDirect","title":"Construction of covalent organic framework-loaded gold–silver composites with the catalysis enhanced by mercury: A turn-on colorimetric detection and removal strategy for mercury","title-short":"Construction of covalent organic framework-loaded gold–silver composites with the catalysis enhanced by mercury","volume":"215","author":[{"family":"Wang","given":"Ziyi"},{"family":"Wang","given":"Di"},{"family":"Wang","given":"Lily Chen"},{"family":"Chen","given":"Huilan"},{"family":"Li","given":"Yunyan"},{"family":"Zheng","given":"Weihong"},{"family":"Shang","given":"Jizhen"},{"family":"Lu","given":"Limin"},{"family":"Mao","given":"Guojiang"},{"family":"Qiao","given":"Yuchun"},{"family":"Wang","given":"Hua"}],"issued":{"date-parts":[["2025",8,1]]}}}],"schema":"https://github.com/citation-style-language/schema/raw/master/csl-citation.json"} </w:instrText>
            </w:r>
            <w:r>
              <w:rPr>
                <w:rFonts w:ascii="Times New Roman" w:eastAsia="宋体" w:hAnsi="Times New Roman"/>
                <w:sz w:val="24"/>
                <w:szCs w:val="24"/>
              </w:rPr>
              <w:fldChar w:fldCharType="separate"/>
            </w:r>
            <w:r>
              <w:rPr>
                <w:rFonts w:ascii="Times New Roman" w:hAnsi="Times New Roman" w:hint="eastAsia"/>
                <w:sz w:val="24"/>
              </w:rPr>
              <w:t>[12]</w:t>
            </w:r>
            <w:r>
              <w:rPr>
                <w:rFonts w:ascii="Times New Roman" w:eastAsia="宋体" w:hAnsi="Times New Roman"/>
                <w:sz w:val="24"/>
                <w:szCs w:val="24"/>
              </w:rPr>
              <w:fldChar w:fldCharType="end"/>
            </w:r>
          </w:p>
        </w:tc>
      </w:tr>
      <w:tr w:rsidR="0011262F" w14:paraId="558F3AE8" w14:textId="77777777">
        <w:trPr>
          <w:trHeight w:val="334"/>
        </w:trPr>
        <w:tc>
          <w:tcPr>
            <w:tcW w:w="1363" w:type="pct"/>
            <w:gridSpan w:val="2"/>
            <w:vAlign w:val="center"/>
          </w:tcPr>
          <w:p w14:paraId="4641243D" w14:textId="77777777" w:rsidR="0011262F" w:rsidRDefault="00000000">
            <w:pPr>
              <w:spacing w:line="360" w:lineRule="auto"/>
              <w:jc w:val="center"/>
              <w:rPr>
                <w:rFonts w:ascii="Times New Roman" w:eastAsia="宋体" w:hAnsi="Times New Roman"/>
                <w:sz w:val="24"/>
                <w:szCs w:val="24"/>
              </w:rPr>
            </w:pPr>
            <w:proofErr w:type="spellStart"/>
            <w:r>
              <w:rPr>
                <w:rFonts w:ascii="Times New Roman" w:eastAsia="宋体" w:hAnsi="Times New Roman"/>
                <w:sz w:val="24"/>
                <w:szCs w:val="24"/>
              </w:rPr>
              <w:t>AgNPs</w:t>
            </w:r>
            <w:proofErr w:type="spellEnd"/>
          </w:p>
        </w:tc>
        <w:tc>
          <w:tcPr>
            <w:tcW w:w="1279" w:type="pct"/>
            <w:vAlign w:val="center"/>
          </w:tcPr>
          <w:p w14:paraId="4C181FC9" w14:textId="77777777" w:rsidR="0011262F" w:rsidRDefault="00000000">
            <w:pPr>
              <w:spacing w:line="360" w:lineRule="auto"/>
              <w:jc w:val="center"/>
              <w:rPr>
                <w:rFonts w:ascii="Times New Roman" w:eastAsia="宋体" w:hAnsi="Times New Roman"/>
                <w:sz w:val="24"/>
                <w:szCs w:val="24"/>
              </w:rPr>
            </w:pPr>
            <w:r>
              <w:rPr>
                <w:rFonts w:ascii="Times New Roman" w:eastAsia="宋体" w:hAnsi="Times New Roman"/>
                <w:sz w:val="24"/>
                <w:szCs w:val="24"/>
              </w:rPr>
              <w:t>0~600</w:t>
            </w:r>
          </w:p>
        </w:tc>
        <w:tc>
          <w:tcPr>
            <w:tcW w:w="1081" w:type="pct"/>
            <w:vAlign w:val="center"/>
          </w:tcPr>
          <w:p w14:paraId="548843E0" w14:textId="77777777" w:rsidR="0011262F" w:rsidRDefault="00000000">
            <w:pPr>
              <w:spacing w:line="360" w:lineRule="auto"/>
              <w:jc w:val="center"/>
              <w:rPr>
                <w:rFonts w:ascii="Times New Roman" w:eastAsia="宋体" w:hAnsi="Times New Roman"/>
                <w:sz w:val="24"/>
                <w:szCs w:val="24"/>
              </w:rPr>
            </w:pPr>
            <w:r>
              <w:rPr>
                <w:rFonts w:ascii="Times New Roman" w:eastAsia="宋体" w:hAnsi="Times New Roman"/>
                <w:sz w:val="24"/>
                <w:szCs w:val="24"/>
              </w:rPr>
              <w:t>0.348</w:t>
            </w:r>
          </w:p>
        </w:tc>
        <w:tc>
          <w:tcPr>
            <w:tcW w:w="1277" w:type="pct"/>
            <w:vAlign w:val="center"/>
          </w:tcPr>
          <w:p w14:paraId="0AA0CAC2" w14:textId="77777777" w:rsidR="0011262F" w:rsidRDefault="00000000">
            <w:pPr>
              <w:spacing w:line="360" w:lineRule="auto"/>
              <w:jc w:val="center"/>
              <w:rPr>
                <w:rFonts w:ascii="Times New Roman" w:eastAsia="宋体" w:hAnsi="Times New Roman"/>
                <w:sz w:val="24"/>
                <w:szCs w:val="24"/>
              </w:rPr>
            </w:pPr>
            <w:r>
              <w:rPr>
                <w:rFonts w:ascii="Times New Roman" w:eastAsia="宋体" w:hAnsi="Times New Roman"/>
                <w:sz w:val="24"/>
                <w:szCs w:val="24"/>
              </w:rPr>
              <w:fldChar w:fldCharType="begin"/>
            </w:r>
            <w:r>
              <w:rPr>
                <w:rFonts w:ascii="Times New Roman" w:eastAsia="宋体" w:hAnsi="Times New Roman"/>
                <w:sz w:val="24"/>
                <w:szCs w:val="24"/>
              </w:rPr>
              <w:instrText xml:space="preserve"> ADDIN ZOTERO_ITEM CSL_CITATION {"citationID":"fRvXZVd1","properties":{"formattedCitation":"[16]","plainCitation":"[16]","noteIndex":0},"citationItems":[{"id":327,"uris":["http://zotero.org/users/12682253/items/JMVB4CZP"],"itemData":{"id":327,"type":"article-journal","container-title":"Environmental Science and Pollution Research","DOI":"10.1007/s11356-022-21619-7","ISSN":"0944-1344, 1614-7499","issue":"54","journalAbbreviation":"Environ Sci Pollut Res","language":"en","page":"81938-81953","source":"DOI.org (Crossref)","title":"Biosynthesis of bifunctional silver nanoparticles for catalytic reduction of organic pollutants and optical monitoring of mercury (II) ions using their oxidase-mimic activity","volume":"29","author":[{"family":"Alula","given":"Melisew Tadele"},{"family":"Madingwane","given":"Mildred Lesang"},{"family":"Yan","given":"Hongdan"},{"family":"Lemmens","given":"Peter"},{"family":"Zhe","given":"Liu"},{"family":"Etzkorn","given":"Markus"}],"issued":{"date-parts":[["2022",11]]}}}],"schema":"https://github.com/citation-style-language/schema/raw/master/csl-citation.json"} </w:instrText>
            </w:r>
            <w:r>
              <w:rPr>
                <w:rFonts w:ascii="Times New Roman" w:eastAsia="宋体" w:hAnsi="Times New Roman"/>
                <w:sz w:val="24"/>
                <w:szCs w:val="24"/>
              </w:rPr>
              <w:fldChar w:fldCharType="separate"/>
            </w:r>
            <w:r>
              <w:rPr>
                <w:rFonts w:ascii="Times New Roman" w:hAnsi="Times New Roman" w:hint="eastAsia"/>
                <w:sz w:val="24"/>
              </w:rPr>
              <w:t>[16]</w:t>
            </w:r>
            <w:r>
              <w:rPr>
                <w:rFonts w:ascii="Times New Roman" w:eastAsia="宋体" w:hAnsi="Times New Roman"/>
                <w:sz w:val="24"/>
                <w:szCs w:val="24"/>
              </w:rPr>
              <w:fldChar w:fldCharType="end"/>
            </w:r>
          </w:p>
        </w:tc>
      </w:tr>
      <w:tr w:rsidR="0011262F" w14:paraId="39B01528" w14:textId="77777777">
        <w:trPr>
          <w:trHeight w:val="334"/>
        </w:trPr>
        <w:tc>
          <w:tcPr>
            <w:tcW w:w="1363" w:type="pct"/>
            <w:gridSpan w:val="2"/>
            <w:vAlign w:val="center"/>
          </w:tcPr>
          <w:p w14:paraId="72D3CC97" w14:textId="77777777" w:rsidR="0011262F" w:rsidRDefault="00000000">
            <w:pPr>
              <w:spacing w:line="360" w:lineRule="auto"/>
              <w:jc w:val="center"/>
              <w:rPr>
                <w:rFonts w:ascii="Times New Roman" w:eastAsia="宋体" w:hAnsi="Times New Roman"/>
                <w:sz w:val="24"/>
                <w:szCs w:val="24"/>
              </w:rPr>
            </w:pPr>
            <w:proofErr w:type="spellStart"/>
            <w:r>
              <w:rPr>
                <w:rFonts w:ascii="Times New Roman" w:eastAsia="宋体" w:hAnsi="Times New Roman"/>
                <w:sz w:val="24"/>
                <w:szCs w:val="24"/>
              </w:rPr>
              <w:t>Ag@GO</w:t>
            </w:r>
            <w:proofErr w:type="spellEnd"/>
          </w:p>
        </w:tc>
        <w:tc>
          <w:tcPr>
            <w:tcW w:w="1279" w:type="pct"/>
            <w:vAlign w:val="center"/>
          </w:tcPr>
          <w:p w14:paraId="425CB5CA" w14:textId="77777777" w:rsidR="0011262F" w:rsidRDefault="00000000">
            <w:pPr>
              <w:spacing w:line="360" w:lineRule="auto"/>
              <w:jc w:val="center"/>
              <w:rPr>
                <w:rFonts w:ascii="Times New Roman" w:eastAsia="宋体" w:hAnsi="Times New Roman"/>
                <w:sz w:val="24"/>
                <w:szCs w:val="24"/>
              </w:rPr>
            </w:pPr>
            <w:r>
              <w:rPr>
                <w:rFonts w:ascii="Times New Roman" w:eastAsia="宋体" w:hAnsi="Times New Roman"/>
                <w:sz w:val="24"/>
                <w:szCs w:val="24"/>
              </w:rPr>
              <w:t>10.0~100.0</w:t>
            </w:r>
          </w:p>
        </w:tc>
        <w:tc>
          <w:tcPr>
            <w:tcW w:w="1081" w:type="pct"/>
            <w:vAlign w:val="center"/>
          </w:tcPr>
          <w:p w14:paraId="79B6E6D0" w14:textId="77777777" w:rsidR="0011262F" w:rsidRDefault="00000000">
            <w:pPr>
              <w:spacing w:line="360" w:lineRule="auto"/>
              <w:jc w:val="center"/>
              <w:rPr>
                <w:rFonts w:ascii="Times New Roman" w:eastAsia="宋体" w:hAnsi="Times New Roman"/>
                <w:sz w:val="24"/>
                <w:szCs w:val="24"/>
              </w:rPr>
            </w:pPr>
            <w:r>
              <w:rPr>
                <w:rFonts w:ascii="Times New Roman" w:eastAsia="宋体" w:hAnsi="Times New Roman"/>
                <w:sz w:val="24"/>
                <w:szCs w:val="24"/>
              </w:rPr>
              <w:t>0.338</w:t>
            </w:r>
          </w:p>
        </w:tc>
        <w:tc>
          <w:tcPr>
            <w:tcW w:w="1277" w:type="pct"/>
            <w:vAlign w:val="center"/>
          </w:tcPr>
          <w:p w14:paraId="78C1B0FF" w14:textId="77777777" w:rsidR="0011262F" w:rsidRDefault="00000000">
            <w:pPr>
              <w:spacing w:line="360" w:lineRule="auto"/>
              <w:jc w:val="center"/>
              <w:rPr>
                <w:rFonts w:ascii="Times New Roman" w:eastAsia="宋体" w:hAnsi="Times New Roman"/>
                <w:sz w:val="24"/>
                <w:szCs w:val="24"/>
              </w:rPr>
            </w:pPr>
            <w:r>
              <w:rPr>
                <w:rFonts w:ascii="Times New Roman" w:eastAsia="宋体" w:hAnsi="Times New Roman"/>
                <w:sz w:val="24"/>
                <w:szCs w:val="24"/>
              </w:rPr>
              <w:fldChar w:fldCharType="begin"/>
            </w:r>
            <w:r>
              <w:rPr>
                <w:rFonts w:ascii="Times New Roman" w:eastAsia="宋体" w:hAnsi="Times New Roman"/>
                <w:sz w:val="24"/>
                <w:szCs w:val="24"/>
              </w:rPr>
              <w:instrText xml:space="preserve"> ADDIN ZOTERO_ITEM CSL_CITATION {"citationID":"iNSaErpb","properties":{"formattedCitation":"[17]","plainCitation":"[17]","noteIndex":0},"citationItems":[{"id":"NiMbfwbA/vYhhxzP7","uris":["http://zotero.org/users/12682253/items/WJNYXQA3"],"itemData":{"id":328,"type":"article-journal","container-title":"Microchimica Acta","DOI":"10.1007/s00604-015-1658-6","ISSN":"0026-3672, 1436-5073","issue":"1","journalAbbreviation":"Microchim Acta","language":"en","page":"369-377","source":"DOI.org (Crossref)","title":"Amalgamation based optical and colorimetric sensing of mercury(II) ions with silver@graphene oxide nanocomposite materials","volume":"183","author":[{"family":"Zangeneh Kamali","given":"Khosro"},{"family":"Pandikumar","given":"Alagarsamy"},{"family":"Jayabal","given":"Subramaniam"},{"family":"Ramaraj","given":"Ramasamy"},{"family":"Lim","given":"Hong Ngee"},{"family":"Ong","given":"Boon Hoong"},{"family":"Bien","given":"Chia Sheng Daniel"},{"family":"Kee","given":"Yeh Yee"},{"family":"Huang","given":"Nay Ming"}],"issued":{"date-parts":[["2016",1]]}}}],"schema":"https://github.com/citation-style-language/schema/raw/master/csl-citation.json"} </w:instrText>
            </w:r>
            <w:r>
              <w:rPr>
                <w:rFonts w:ascii="Times New Roman" w:eastAsia="宋体" w:hAnsi="Times New Roman"/>
                <w:sz w:val="24"/>
                <w:szCs w:val="24"/>
              </w:rPr>
              <w:fldChar w:fldCharType="separate"/>
            </w:r>
            <w:r>
              <w:rPr>
                <w:rFonts w:ascii="Times New Roman" w:hAnsi="Times New Roman" w:hint="eastAsia"/>
                <w:sz w:val="24"/>
              </w:rPr>
              <w:t>[17]</w:t>
            </w:r>
            <w:r>
              <w:rPr>
                <w:rFonts w:ascii="Times New Roman" w:eastAsia="宋体" w:hAnsi="Times New Roman"/>
                <w:sz w:val="24"/>
                <w:szCs w:val="24"/>
              </w:rPr>
              <w:fldChar w:fldCharType="end"/>
            </w:r>
          </w:p>
        </w:tc>
      </w:tr>
      <w:tr w:rsidR="0011262F" w14:paraId="6772F77F" w14:textId="77777777">
        <w:trPr>
          <w:trHeight w:val="334"/>
        </w:trPr>
        <w:tc>
          <w:tcPr>
            <w:tcW w:w="1363" w:type="pct"/>
            <w:gridSpan w:val="2"/>
            <w:vAlign w:val="center"/>
          </w:tcPr>
          <w:p w14:paraId="33287660" w14:textId="77777777" w:rsidR="0011262F" w:rsidRDefault="00000000">
            <w:pPr>
              <w:spacing w:line="360" w:lineRule="auto"/>
              <w:jc w:val="center"/>
              <w:rPr>
                <w:rFonts w:ascii="Times New Roman" w:eastAsia="宋体" w:hAnsi="Times New Roman"/>
                <w:sz w:val="24"/>
                <w:szCs w:val="24"/>
              </w:rPr>
            </w:pPr>
            <w:r>
              <w:rPr>
                <w:rFonts w:ascii="Times New Roman" w:eastAsia="宋体" w:hAnsi="Times New Roman"/>
                <w:sz w:val="24"/>
                <w:szCs w:val="24"/>
              </w:rPr>
              <w:t>Ag</w:t>
            </w:r>
            <w:r>
              <w:rPr>
                <w:rFonts w:ascii="Times New Roman" w:eastAsia="宋体" w:hAnsi="Times New Roman"/>
                <w:sz w:val="24"/>
                <w:szCs w:val="24"/>
                <w:vertAlign w:val="subscript"/>
              </w:rPr>
              <w:t>3</w:t>
            </w:r>
            <w:r>
              <w:rPr>
                <w:rFonts w:ascii="Times New Roman" w:eastAsia="宋体" w:hAnsi="Times New Roman"/>
                <w:sz w:val="24"/>
                <w:szCs w:val="24"/>
              </w:rPr>
              <w:t>PO</w:t>
            </w:r>
            <w:r>
              <w:rPr>
                <w:rFonts w:ascii="Times New Roman" w:eastAsia="宋体" w:hAnsi="Times New Roman"/>
                <w:sz w:val="24"/>
                <w:szCs w:val="24"/>
                <w:vertAlign w:val="subscript"/>
              </w:rPr>
              <w:t>4</w:t>
            </w:r>
            <w:r>
              <w:rPr>
                <w:rFonts w:ascii="Times New Roman" w:eastAsia="宋体" w:hAnsi="Times New Roman"/>
                <w:sz w:val="24"/>
                <w:szCs w:val="24"/>
              </w:rPr>
              <w:t xml:space="preserve"> </w:t>
            </w:r>
            <w:proofErr w:type="spellStart"/>
            <w:r>
              <w:rPr>
                <w:rFonts w:ascii="Times New Roman" w:eastAsia="宋体" w:hAnsi="Times New Roman"/>
                <w:sz w:val="24"/>
                <w:szCs w:val="24"/>
              </w:rPr>
              <w:t>nanocubes</w:t>
            </w:r>
            <w:proofErr w:type="spellEnd"/>
          </w:p>
        </w:tc>
        <w:tc>
          <w:tcPr>
            <w:tcW w:w="1279" w:type="pct"/>
            <w:vAlign w:val="center"/>
          </w:tcPr>
          <w:p w14:paraId="3252085C" w14:textId="77777777" w:rsidR="0011262F" w:rsidRDefault="00000000">
            <w:pPr>
              <w:spacing w:line="360" w:lineRule="auto"/>
              <w:jc w:val="center"/>
              <w:rPr>
                <w:rFonts w:ascii="Times New Roman" w:eastAsia="宋体" w:hAnsi="Times New Roman"/>
                <w:sz w:val="24"/>
                <w:szCs w:val="24"/>
              </w:rPr>
            </w:pPr>
            <w:r>
              <w:rPr>
                <w:rFonts w:ascii="Times New Roman" w:eastAsia="宋体" w:hAnsi="Times New Roman"/>
                <w:sz w:val="24"/>
                <w:szCs w:val="24"/>
              </w:rPr>
              <w:t>0.1~7.0</w:t>
            </w:r>
          </w:p>
        </w:tc>
        <w:tc>
          <w:tcPr>
            <w:tcW w:w="1081" w:type="pct"/>
            <w:vAlign w:val="center"/>
          </w:tcPr>
          <w:p w14:paraId="10176FD7" w14:textId="77777777" w:rsidR="0011262F" w:rsidRDefault="00000000">
            <w:pPr>
              <w:spacing w:line="360" w:lineRule="auto"/>
              <w:jc w:val="center"/>
              <w:rPr>
                <w:rFonts w:ascii="Times New Roman" w:eastAsia="宋体" w:hAnsi="Times New Roman"/>
                <w:sz w:val="24"/>
                <w:szCs w:val="24"/>
              </w:rPr>
            </w:pPr>
            <w:r>
              <w:rPr>
                <w:rFonts w:ascii="Times New Roman" w:eastAsia="宋体" w:hAnsi="Times New Roman"/>
                <w:sz w:val="24"/>
                <w:szCs w:val="24"/>
              </w:rPr>
              <w:t>0.02</w:t>
            </w:r>
          </w:p>
        </w:tc>
        <w:tc>
          <w:tcPr>
            <w:tcW w:w="1277" w:type="pct"/>
            <w:vAlign w:val="center"/>
          </w:tcPr>
          <w:p w14:paraId="6E2A4A58" w14:textId="77777777" w:rsidR="0011262F" w:rsidRDefault="00000000">
            <w:pPr>
              <w:spacing w:line="360" w:lineRule="auto"/>
              <w:jc w:val="center"/>
              <w:rPr>
                <w:rFonts w:ascii="Times New Roman" w:eastAsia="宋体" w:hAnsi="Times New Roman"/>
                <w:sz w:val="24"/>
                <w:szCs w:val="24"/>
              </w:rPr>
            </w:pPr>
            <w:r>
              <w:rPr>
                <w:rFonts w:ascii="Times New Roman" w:eastAsia="宋体" w:hAnsi="Times New Roman"/>
                <w:sz w:val="24"/>
                <w:szCs w:val="24"/>
              </w:rPr>
              <w:fldChar w:fldCharType="begin"/>
            </w:r>
            <w:r>
              <w:rPr>
                <w:rFonts w:ascii="Times New Roman" w:eastAsia="宋体" w:hAnsi="Times New Roman"/>
                <w:sz w:val="24"/>
                <w:szCs w:val="24"/>
              </w:rPr>
              <w:instrText xml:space="preserve"> ADDIN ZOTERO_ITEM CSL_CITATION {"citationID":"JOZDRrr5","properties":{"formattedCitation":"[9]","plainCitation":"[9]","noteIndex":0},"citationItems":[{"id":192,"uris":["http://zotero.org/users/12682253/items/SNFRCCJP"],"itemData":{"id":192,"type":"article-journal","abstract":"Four kinds of Ag3PO4 materials were prepared by controlling the experimental conditions, which were developed as oxidase mimics. Experimental results showed that different synthesis methods led to distinct crystal structures, morpho</w:instrText>
            </w:r>
            <w:r>
              <w:rPr>
                <w:rFonts w:ascii="Times New Roman" w:eastAsia="宋体" w:hAnsi="Times New Roman" w:hint="eastAsia"/>
                <w:sz w:val="24"/>
                <w:szCs w:val="24"/>
              </w:rPr>
              <w:instrText>logies, and surface properties, which contributed to diverse oxidase-like activities of Ag3PO4 materials. Among them, Ag3PO4 microcubes (APMCs) can efficiently catalyze the oxidation of colorless 3,3</w:instrText>
            </w:r>
            <w:r>
              <w:rPr>
                <w:rFonts w:ascii="Times New Roman" w:eastAsia="宋体" w:hAnsi="Times New Roman" w:hint="eastAsia"/>
                <w:sz w:val="24"/>
                <w:szCs w:val="24"/>
              </w:rPr>
              <w:instrText>′</w:instrText>
            </w:r>
            <w:r>
              <w:rPr>
                <w:rFonts w:ascii="Times New Roman" w:eastAsia="宋体" w:hAnsi="Times New Roman" w:hint="eastAsia"/>
                <w:sz w:val="24"/>
                <w:szCs w:val="24"/>
              </w:rPr>
              <w:instrText>,5,5</w:instrText>
            </w:r>
            <w:r>
              <w:rPr>
                <w:rFonts w:ascii="Times New Roman" w:eastAsia="宋体" w:hAnsi="Times New Roman" w:hint="eastAsia"/>
                <w:sz w:val="24"/>
                <w:szCs w:val="24"/>
              </w:rPr>
              <w:instrText>′</w:instrText>
            </w:r>
            <w:r>
              <w:rPr>
                <w:rFonts w:ascii="Times New Roman" w:eastAsia="宋体" w:hAnsi="Times New Roman" w:hint="eastAsia"/>
                <w:sz w:val="24"/>
                <w:szCs w:val="24"/>
              </w:rPr>
              <w:instrText>-tetramethylbenzidine in the presence of dissolved</w:instrText>
            </w:r>
            <w:r>
              <w:rPr>
                <w:rFonts w:ascii="Times New Roman" w:eastAsia="宋体" w:hAnsi="Times New Roman"/>
                <w:sz w:val="24"/>
                <w:szCs w:val="24"/>
              </w:rPr>
              <w:instrText xml:space="preserve"> oxygen to form a blue-colored oxide, presenting the best intrinsic oxidase mimetic ability. The higher-energy [110] facets with more oxygen vacancies exposed and more active sites coupled with more negative charge and larger specific surface area of APMCs contributed to its enhanced oxidase mimetic performance. Besides, mercury ions were proved to remarkably and selectively stimulate the oxidase-like ability of APMCs owing to the formation of Ag–Hg amalgam on its surface. Based on the stimulating effect of Hg2+ towards APMCs, a simple and rapid method for colorimetric determination of Hg2+ was thus established via the significant signal amplification and megascopic color variation. Under the optimal conditions, the sensing system showed a good linear relationship ranging from 0.1 to 7.0 μM and a detection limit of 20 nM for Hg2+, exhibiting high selectivity and good colour stability. Moreover, the colorimetric method was successfully applied to determine Hg2+ in real water samples. Considering these advantages, the developed colorimetric sensing system is expected to hold bright prospects for trace determination of Hg2+ in biological, environmental, and food samples.","container-title":"Microchimica Acta","DOI":"10.1007/s00604-020-04399-0","ISSN":"1436-5073","issue":"7","journalAbbreviation":"Microchim Acta","language":"en","note":"TLDR: A simple and rapid method for colorimetric determination of Hg2+ was established via the significant signal amplification and megascopic color variation and, under the optimal conditions, the sensing system showed a good linear relationship ranging from 0.1 to 7.0 μM and a detection limit of 20 nM, exhibiting high selectivity and good colour stability.","page":"422","source":"Springer Link","title":"Colorimetric determination of Hg2+ based on the mercury-stimulated oxidase mimetic activity of Ag3PO4 microcubes","volume":"187","author":[{"family":"Zhang","given":"Yu"},{"family":"Ju","given":"Peng"},{"family":"Sun","given":"Liping"},{"family":"Wang","given":"Zhe"},{"family":"Zhai","given":"Xiaofan"},{"family":"Jiang","given":"Fenghua"},{"family":"Sun","given":"Chengjun"}],"issued":{"date-parts":[["2020",7,2]]}}}],"schema":"https://github.com/citation-style-language/schema/raw/master/csl-citation.json"} </w:instrText>
            </w:r>
            <w:r>
              <w:rPr>
                <w:rFonts w:ascii="Times New Roman" w:eastAsia="宋体" w:hAnsi="Times New Roman"/>
                <w:sz w:val="24"/>
                <w:szCs w:val="24"/>
              </w:rPr>
              <w:fldChar w:fldCharType="separate"/>
            </w:r>
            <w:r>
              <w:rPr>
                <w:rFonts w:ascii="Times New Roman" w:hAnsi="Times New Roman" w:hint="eastAsia"/>
                <w:sz w:val="24"/>
              </w:rPr>
              <w:t>[9]</w:t>
            </w:r>
            <w:r>
              <w:rPr>
                <w:rFonts w:ascii="Times New Roman" w:eastAsia="宋体" w:hAnsi="Times New Roman"/>
                <w:sz w:val="24"/>
                <w:szCs w:val="24"/>
              </w:rPr>
              <w:fldChar w:fldCharType="end"/>
            </w:r>
          </w:p>
        </w:tc>
      </w:tr>
      <w:tr w:rsidR="0011262F" w14:paraId="028FE46B" w14:textId="77777777">
        <w:trPr>
          <w:trHeight w:val="334"/>
        </w:trPr>
        <w:tc>
          <w:tcPr>
            <w:tcW w:w="1363" w:type="pct"/>
            <w:gridSpan w:val="2"/>
            <w:vAlign w:val="center"/>
          </w:tcPr>
          <w:p w14:paraId="408DA1C5" w14:textId="77777777" w:rsidR="0011262F" w:rsidRDefault="00000000">
            <w:pPr>
              <w:spacing w:line="360" w:lineRule="auto"/>
              <w:jc w:val="center"/>
              <w:rPr>
                <w:rFonts w:ascii="Times New Roman" w:eastAsia="宋体" w:hAnsi="Times New Roman"/>
                <w:sz w:val="24"/>
                <w:szCs w:val="24"/>
              </w:rPr>
            </w:pPr>
            <w:r>
              <w:rPr>
                <w:rFonts w:ascii="Times New Roman" w:eastAsia="宋体" w:hAnsi="Times New Roman"/>
                <w:sz w:val="24"/>
                <w:szCs w:val="24"/>
              </w:rPr>
              <w:t>COF-</w:t>
            </w:r>
            <w:proofErr w:type="spellStart"/>
            <w:r>
              <w:rPr>
                <w:rFonts w:ascii="Times New Roman" w:eastAsia="宋体" w:hAnsi="Times New Roman"/>
                <w:sz w:val="24"/>
                <w:szCs w:val="24"/>
              </w:rPr>
              <w:t>AgNPs</w:t>
            </w:r>
            <w:proofErr w:type="spellEnd"/>
          </w:p>
        </w:tc>
        <w:tc>
          <w:tcPr>
            <w:tcW w:w="1279" w:type="pct"/>
            <w:vAlign w:val="center"/>
          </w:tcPr>
          <w:p w14:paraId="1483EC38" w14:textId="77777777" w:rsidR="0011262F" w:rsidRDefault="00000000">
            <w:pPr>
              <w:spacing w:line="360" w:lineRule="auto"/>
              <w:jc w:val="center"/>
              <w:rPr>
                <w:rFonts w:ascii="Times New Roman" w:eastAsia="宋体" w:hAnsi="Times New Roman"/>
                <w:sz w:val="24"/>
                <w:szCs w:val="24"/>
              </w:rPr>
            </w:pPr>
            <w:r>
              <w:rPr>
                <w:rFonts w:ascii="Times New Roman" w:eastAsia="宋体" w:hAnsi="Times New Roman"/>
                <w:sz w:val="24"/>
                <w:szCs w:val="24"/>
              </w:rPr>
              <w:t>0.05~0.5</w:t>
            </w:r>
            <w:r>
              <w:rPr>
                <w:rFonts w:ascii="Times New Roman" w:eastAsia="宋体" w:hAnsi="Times New Roman" w:hint="eastAsia"/>
                <w:sz w:val="24"/>
                <w:szCs w:val="24"/>
              </w:rPr>
              <w:t>/</w:t>
            </w:r>
            <w:r>
              <w:rPr>
                <w:rFonts w:ascii="Times New Roman" w:eastAsia="宋体" w:hAnsi="Times New Roman"/>
                <w:sz w:val="24"/>
                <w:szCs w:val="24"/>
              </w:rPr>
              <w:t>5~50</w:t>
            </w:r>
          </w:p>
        </w:tc>
        <w:tc>
          <w:tcPr>
            <w:tcW w:w="1081" w:type="pct"/>
            <w:vAlign w:val="center"/>
          </w:tcPr>
          <w:p w14:paraId="2409D82B" w14:textId="77777777" w:rsidR="0011262F" w:rsidRDefault="00000000">
            <w:pPr>
              <w:spacing w:line="360" w:lineRule="auto"/>
              <w:jc w:val="center"/>
              <w:rPr>
                <w:rFonts w:ascii="Times New Roman" w:eastAsia="宋体" w:hAnsi="Times New Roman"/>
                <w:sz w:val="24"/>
                <w:szCs w:val="24"/>
              </w:rPr>
            </w:pPr>
            <w:r>
              <w:rPr>
                <w:rFonts w:ascii="Times New Roman" w:eastAsia="宋体" w:hAnsi="Times New Roman"/>
                <w:sz w:val="24"/>
                <w:szCs w:val="24"/>
              </w:rPr>
              <w:t>0.0103</w:t>
            </w:r>
          </w:p>
        </w:tc>
        <w:tc>
          <w:tcPr>
            <w:tcW w:w="1277" w:type="pct"/>
            <w:vAlign w:val="center"/>
          </w:tcPr>
          <w:p w14:paraId="28B6A976" w14:textId="77777777" w:rsidR="0011262F" w:rsidRDefault="00000000">
            <w:pPr>
              <w:spacing w:line="360" w:lineRule="auto"/>
              <w:jc w:val="center"/>
              <w:rPr>
                <w:rFonts w:ascii="Times New Roman" w:eastAsia="宋体" w:hAnsi="Times New Roman"/>
                <w:sz w:val="24"/>
                <w:szCs w:val="24"/>
              </w:rPr>
            </w:pPr>
            <w:r>
              <w:rPr>
                <w:rFonts w:ascii="Times New Roman" w:eastAsia="宋体" w:hAnsi="Times New Roman"/>
                <w:sz w:val="24"/>
                <w:szCs w:val="24"/>
              </w:rPr>
              <w:t>This work</w:t>
            </w:r>
          </w:p>
        </w:tc>
      </w:tr>
    </w:tbl>
    <w:p w14:paraId="653A9A76" w14:textId="77777777" w:rsidR="0011262F" w:rsidRDefault="0011262F">
      <w:pPr>
        <w:spacing w:line="480" w:lineRule="auto"/>
        <w:ind w:firstLineChars="200" w:firstLine="420"/>
        <w:contextualSpacing/>
        <w:rPr>
          <w:rFonts w:ascii="Times New Roman" w:eastAsia="宋体" w:hAnsi="Times New Roman"/>
          <w:szCs w:val="21"/>
        </w:rPr>
      </w:pPr>
    </w:p>
    <w:p w14:paraId="1444868D" w14:textId="72790AA6" w:rsidR="0011262F" w:rsidRDefault="00000000">
      <w:pPr>
        <w:spacing w:line="480" w:lineRule="auto"/>
        <w:contextualSpacing/>
        <w:jc w:val="center"/>
        <w:rPr>
          <w:rFonts w:ascii="Times New Roman" w:hAnsi="Times New Roman"/>
          <w:sz w:val="24"/>
          <w:szCs w:val="24"/>
        </w:rPr>
      </w:pPr>
      <w:r>
        <w:rPr>
          <w:rFonts w:ascii="Times New Roman" w:eastAsia="宋体" w:hAnsi="Times New Roman"/>
          <w:szCs w:val="21"/>
        </w:rPr>
        <w:br w:type="page"/>
      </w:r>
      <w:r w:rsidR="009F5CED">
        <w:rPr>
          <w:rFonts w:ascii="Times New Roman" w:hAnsi="Times New Roman"/>
          <w:noProof/>
          <w:sz w:val="24"/>
          <w:szCs w:val="24"/>
        </w:rPr>
        <w:lastRenderedPageBreak/>
        <w:drawing>
          <wp:inline distT="0" distB="0" distL="0" distR="0" wp14:anchorId="289A8A00" wp14:editId="76F8FA95">
            <wp:extent cx="4680000" cy="3512708"/>
            <wp:effectExtent l="0" t="0" r="6350" b="0"/>
            <wp:docPr id="2103198206"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198206" name="图片 2103198206"/>
                    <pic:cNvPicPr/>
                  </pic:nvPicPr>
                  <pic:blipFill>
                    <a:blip r:embed="rId9" cstate="print">
                      <a:extLst>
                        <a:ext uri="{28A0092B-C50C-407E-A947-70E740481C1C}">
                          <a14:useLocalDpi xmlns:a14="http://schemas.microsoft.com/office/drawing/2010/main" val="0"/>
                        </a:ext>
                      </a:extLst>
                    </a:blip>
                    <a:stretch>
                      <a:fillRect/>
                    </a:stretch>
                  </pic:blipFill>
                  <pic:spPr>
                    <a:xfrm>
                      <a:off x="0" y="0"/>
                      <a:ext cx="4680000" cy="3512708"/>
                    </a:xfrm>
                    <a:prstGeom prst="rect">
                      <a:avLst/>
                    </a:prstGeom>
                  </pic:spPr>
                </pic:pic>
              </a:graphicData>
            </a:graphic>
          </wp:inline>
        </w:drawing>
      </w:r>
    </w:p>
    <w:p w14:paraId="23EA85FF" w14:textId="77777777" w:rsidR="0011262F" w:rsidRDefault="00000000">
      <w:pPr>
        <w:spacing w:line="480" w:lineRule="auto"/>
        <w:contextualSpacing/>
        <w:jc w:val="center"/>
        <w:rPr>
          <w:rFonts w:ascii="Times New Roman" w:hAnsi="Times New Roman"/>
          <w:sz w:val="24"/>
          <w:szCs w:val="24"/>
        </w:rPr>
      </w:pPr>
      <w:r>
        <w:rPr>
          <w:rFonts w:ascii="Times New Roman" w:hAnsi="Times New Roman"/>
          <w:b/>
          <w:bCs/>
          <w:sz w:val="24"/>
          <w:szCs w:val="24"/>
        </w:rPr>
        <w:t>Fig.</w:t>
      </w:r>
      <w:r>
        <w:rPr>
          <w:rFonts w:ascii="Times New Roman" w:hAnsi="Times New Roman" w:hint="eastAsia"/>
          <w:b/>
          <w:bCs/>
          <w:sz w:val="24"/>
          <w:szCs w:val="24"/>
        </w:rPr>
        <w:t xml:space="preserve"> </w:t>
      </w:r>
      <w:r>
        <w:rPr>
          <w:rFonts w:ascii="Times New Roman" w:hAnsi="Times New Roman"/>
          <w:b/>
          <w:bCs/>
          <w:sz w:val="24"/>
          <w:szCs w:val="24"/>
        </w:rPr>
        <w:t>S</w:t>
      </w:r>
      <w:r>
        <w:rPr>
          <w:rFonts w:ascii="Times New Roman" w:hAnsi="Times New Roman"/>
          <w:b/>
          <w:bCs/>
          <w:sz w:val="24"/>
          <w:szCs w:val="24"/>
        </w:rPr>
        <w:fldChar w:fldCharType="begin"/>
      </w:r>
      <w:r>
        <w:rPr>
          <w:rFonts w:ascii="Times New Roman" w:hAnsi="Times New Roman"/>
          <w:b/>
          <w:bCs/>
          <w:sz w:val="24"/>
          <w:szCs w:val="24"/>
        </w:rPr>
        <w:instrText xml:space="preserve"> SEQ Fig.S \* ARABIC </w:instrText>
      </w:r>
      <w:r>
        <w:rPr>
          <w:rFonts w:ascii="Times New Roman" w:hAnsi="Times New Roman"/>
          <w:b/>
          <w:bCs/>
          <w:sz w:val="24"/>
          <w:szCs w:val="24"/>
        </w:rPr>
        <w:fldChar w:fldCharType="separate"/>
      </w:r>
      <w:r>
        <w:rPr>
          <w:rFonts w:ascii="Times New Roman" w:hAnsi="Times New Roman"/>
          <w:b/>
          <w:bCs/>
          <w:sz w:val="24"/>
          <w:szCs w:val="24"/>
        </w:rPr>
        <w:t>1</w:t>
      </w:r>
      <w:r>
        <w:rPr>
          <w:rFonts w:ascii="Times New Roman" w:hAnsi="Times New Roman"/>
          <w:b/>
          <w:bCs/>
          <w:sz w:val="24"/>
          <w:szCs w:val="24"/>
        </w:rPr>
        <w:fldChar w:fldCharType="end"/>
      </w:r>
    </w:p>
    <w:p w14:paraId="77235901" w14:textId="77777777" w:rsidR="0011262F" w:rsidRDefault="00000000">
      <w:pPr>
        <w:spacing w:line="480" w:lineRule="auto"/>
        <w:contextualSpacing/>
        <w:rPr>
          <w:rFonts w:ascii="Times New Roman" w:eastAsia="宋体" w:hAnsi="Times New Roman"/>
          <w:sz w:val="24"/>
          <w:szCs w:val="24"/>
        </w:rPr>
      </w:pPr>
      <w:r>
        <w:rPr>
          <w:rFonts w:ascii="Times New Roman" w:hAnsi="Times New Roman"/>
          <w:b/>
          <w:bCs/>
          <w:sz w:val="24"/>
          <w:szCs w:val="24"/>
        </w:rPr>
        <w:t>Fig.</w:t>
      </w:r>
      <w:r>
        <w:rPr>
          <w:rFonts w:ascii="Times New Roman" w:hAnsi="Times New Roman" w:hint="eastAsia"/>
          <w:b/>
          <w:bCs/>
          <w:sz w:val="24"/>
          <w:szCs w:val="24"/>
        </w:rPr>
        <w:t xml:space="preserve"> </w:t>
      </w:r>
      <w:r>
        <w:rPr>
          <w:rFonts w:ascii="Times New Roman" w:hAnsi="Times New Roman"/>
          <w:b/>
          <w:bCs/>
          <w:sz w:val="24"/>
          <w:szCs w:val="24"/>
        </w:rPr>
        <w:t>S</w:t>
      </w:r>
      <w:r>
        <w:rPr>
          <w:rFonts w:ascii="Times New Roman" w:hAnsi="Times New Roman"/>
          <w:b/>
          <w:bCs/>
          <w:sz w:val="24"/>
          <w:szCs w:val="24"/>
        </w:rPr>
        <w:fldChar w:fldCharType="begin"/>
      </w:r>
      <w:r>
        <w:rPr>
          <w:rFonts w:ascii="Times New Roman" w:hAnsi="Times New Roman"/>
          <w:b/>
          <w:bCs/>
          <w:sz w:val="24"/>
          <w:szCs w:val="24"/>
        </w:rPr>
        <w:instrText xml:space="preserve"> SEQ Fig.S \* ARABIC </w:instrText>
      </w:r>
      <w:r>
        <w:rPr>
          <w:rFonts w:ascii="Times New Roman" w:hAnsi="Times New Roman"/>
          <w:b/>
          <w:bCs/>
          <w:sz w:val="24"/>
          <w:szCs w:val="24"/>
        </w:rPr>
        <w:fldChar w:fldCharType="separate"/>
      </w:r>
      <w:r>
        <w:rPr>
          <w:rFonts w:ascii="Times New Roman" w:hAnsi="Times New Roman"/>
          <w:b/>
          <w:bCs/>
          <w:sz w:val="24"/>
          <w:szCs w:val="24"/>
        </w:rPr>
        <w:t>1</w:t>
      </w:r>
      <w:r>
        <w:rPr>
          <w:rFonts w:ascii="Times New Roman" w:hAnsi="Times New Roman"/>
          <w:b/>
          <w:bCs/>
          <w:sz w:val="24"/>
          <w:szCs w:val="24"/>
        </w:rPr>
        <w:fldChar w:fldCharType="end"/>
      </w:r>
      <w:r>
        <w:rPr>
          <w:rFonts w:ascii="Times New Roman" w:hAnsi="Times New Roman" w:hint="eastAsia"/>
          <w:b/>
          <w:bCs/>
          <w:sz w:val="24"/>
          <w:szCs w:val="24"/>
        </w:rPr>
        <w:t xml:space="preserve">. </w:t>
      </w:r>
      <w:r>
        <w:rPr>
          <w:rFonts w:ascii="Times New Roman" w:eastAsia="宋体" w:hAnsi="Times New Roman"/>
          <w:sz w:val="24"/>
          <w:szCs w:val="24"/>
        </w:rPr>
        <w:t>A dual-mode rapid detection process for mercury ions (Hg</w:t>
      </w:r>
      <w:r>
        <w:rPr>
          <w:rFonts w:ascii="Times New Roman" w:eastAsia="宋体" w:hAnsi="Times New Roman"/>
          <w:sz w:val="24"/>
          <w:szCs w:val="24"/>
          <w:vertAlign w:val="superscript"/>
        </w:rPr>
        <w:t>2+</w:t>
      </w:r>
      <w:r>
        <w:rPr>
          <w:rFonts w:ascii="Times New Roman" w:eastAsia="宋体" w:hAnsi="Times New Roman"/>
          <w:sz w:val="24"/>
          <w:szCs w:val="24"/>
        </w:rPr>
        <w:t>) in aquatic products using a multimodal ML-assisted nano-enzyme colorimetric sensor.</w:t>
      </w:r>
    </w:p>
    <w:p w14:paraId="221A859C" w14:textId="77777777" w:rsidR="0011262F" w:rsidRDefault="0011262F">
      <w:pPr>
        <w:spacing w:line="480" w:lineRule="auto"/>
        <w:ind w:firstLineChars="200" w:firstLine="480"/>
        <w:contextualSpacing/>
        <w:jc w:val="center"/>
        <w:rPr>
          <w:rFonts w:ascii="Times New Roman" w:eastAsia="宋体" w:hAnsi="Times New Roman"/>
          <w:sz w:val="24"/>
          <w:szCs w:val="24"/>
        </w:rPr>
      </w:pPr>
    </w:p>
    <w:p w14:paraId="6E846A17" w14:textId="77777777" w:rsidR="0011262F" w:rsidRDefault="0011262F">
      <w:pPr>
        <w:pStyle w:val="a3"/>
        <w:jc w:val="center"/>
        <w:rPr>
          <w:rFonts w:ascii="Times New Roman" w:hAnsi="Times New Roman"/>
          <w:sz w:val="24"/>
          <w:szCs w:val="24"/>
        </w:rPr>
      </w:pPr>
    </w:p>
    <w:p w14:paraId="68E6EBF0" w14:textId="77777777" w:rsidR="0011262F" w:rsidRDefault="0011262F">
      <w:pPr>
        <w:spacing w:line="480" w:lineRule="auto"/>
        <w:ind w:firstLineChars="200" w:firstLine="480"/>
        <w:contextualSpacing/>
        <w:jc w:val="center"/>
        <w:rPr>
          <w:rFonts w:ascii="Times New Roman" w:hAnsi="Times New Roman"/>
          <w:sz w:val="24"/>
          <w:szCs w:val="24"/>
        </w:rPr>
      </w:pPr>
    </w:p>
    <w:p w14:paraId="7DF6527D" w14:textId="2D497D56" w:rsidR="0011262F" w:rsidRDefault="00000000">
      <w:pPr>
        <w:keepNext/>
        <w:spacing w:line="480" w:lineRule="auto"/>
        <w:ind w:firstLineChars="200" w:firstLine="480"/>
        <w:contextualSpacing/>
        <w:jc w:val="center"/>
        <w:rPr>
          <w:rFonts w:ascii="Times New Roman" w:hAnsi="Times New Roman"/>
          <w:sz w:val="24"/>
          <w:szCs w:val="24"/>
        </w:rPr>
      </w:pPr>
      <w:r>
        <w:rPr>
          <w:rFonts w:ascii="Times New Roman" w:hAnsi="Times New Roman"/>
          <w:sz w:val="24"/>
          <w:szCs w:val="24"/>
        </w:rPr>
        <w:br w:type="page"/>
      </w:r>
      <w:r w:rsidR="009F5CED">
        <w:rPr>
          <w:rFonts w:ascii="Times New Roman" w:hAnsi="Times New Roman"/>
          <w:noProof/>
          <w:sz w:val="24"/>
          <w:szCs w:val="24"/>
        </w:rPr>
        <w:lastRenderedPageBreak/>
        <w:drawing>
          <wp:inline distT="0" distB="0" distL="0" distR="0" wp14:anchorId="775A29D3" wp14:editId="3E9F0E6B">
            <wp:extent cx="4680000" cy="2636165"/>
            <wp:effectExtent l="0" t="0" r="6350" b="0"/>
            <wp:docPr id="12551464"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1464" name="图片 1255146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680000" cy="2636165"/>
                    </a:xfrm>
                    <a:prstGeom prst="rect">
                      <a:avLst/>
                    </a:prstGeom>
                  </pic:spPr>
                </pic:pic>
              </a:graphicData>
            </a:graphic>
          </wp:inline>
        </w:drawing>
      </w:r>
    </w:p>
    <w:p w14:paraId="6DC792B9" w14:textId="77777777" w:rsidR="0011262F" w:rsidRDefault="00000000">
      <w:pPr>
        <w:keepNext/>
        <w:spacing w:line="480" w:lineRule="auto"/>
        <w:ind w:firstLineChars="200" w:firstLine="480"/>
        <w:contextualSpacing/>
        <w:jc w:val="center"/>
        <w:rPr>
          <w:rFonts w:ascii="Times New Roman" w:hAnsi="Times New Roman"/>
          <w:sz w:val="24"/>
          <w:szCs w:val="24"/>
        </w:rPr>
      </w:pPr>
      <w:r>
        <w:rPr>
          <w:rFonts w:ascii="Times New Roman" w:hAnsi="Times New Roman"/>
          <w:b/>
          <w:bCs/>
          <w:sz w:val="24"/>
          <w:szCs w:val="24"/>
        </w:rPr>
        <w:t>Fig.</w:t>
      </w:r>
      <w:r>
        <w:rPr>
          <w:rFonts w:ascii="Times New Roman" w:hAnsi="Times New Roman" w:hint="eastAsia"/>
          <w:b/>
          <w:bCs/>
          <w:sz w:val="24"/>
          <w:szCs w:val="24"/>
        </w:rPr>
        <w:t xml:space="preserve"> </w:t>
      </w:r>
      <w:r>
        <w:rPr>
          <w:rFonts w:ascii="Times New Roman" w:hAnsi="Times New Roman"/>
          <w:b/>
          <w:bCs/>
          <w:sz w:val="24"/>
          <w:szCs w:val="24"/>
        </w:rPr>
        <w:t>S</w:t>
      </w:r>
      <w:r>
        <w:rPr>
          <w:rFonts w:ascii="Times New Roman" w:hAnsi="Times New Roman"/>
          <w:b/>
          <w:bCs/>
          <w:sz w:val="24"/>
          <w:szCs w:val="24"/>
        </w:rPr>
        <w:fldChar w:fldCharType="begin"/>
      </w:r>
      <w:r>
        <w:rPr>
          <w:rFonts w:ascii="Times New Roman" w:hAnsi="Times New Roman"/>
          <w:b/>
          <w:bCs/>
          <w:sz w:val="24"/>
          <w:szCs w:val="24"/>
        </w:rPr>
        <w:instrText xml:space="preserve"> SEQ Fig.S \* ARABIC </w:instrText>
      </w:r>
      <w:r>
        <w:rPr>
          <w:rFonts w:ascii="Times New Roman" w:hAnsi="Times New Roman"/>
          <w:b/>
          <w:bCs/>
          <w:sz w:val="24"/>
          <w:szCs w:val="24"/>
        </w:rPr>
        <w:fldChar w:fldCharType="separate"/>
      </w:r>
      <w:r>
        <w:rPr>
          <w:rFonts w:ascii="Times New Roman" w:hAnsi="Times New Roman"/>
          <w:b/>
          <w:bCs/>
          <w:sz w:val="24"/>
          <w:szCs w:val="24"/>
        </w:rPr>
        <w:t>2</w:t>
      </w:r>
      <w:r>
        <w:rPr>
          <w:rFonts w:ascii="Times New Roman" w:hAnsi="Times New Roman"/>
          <w:b/>
          <w:bCs/>
          <w:sz w:val="24"/>
          <w:szCs w:val="24"/>
        </w:rPr>
        <w:fldChar w:fldCharType="end"/>
      </w:r>
    </w:p>
    <w:p w14:paraId="1C54B33A" w14:textId="77777777" w:rsidR="0011262F" w:rsidRDefault="00000000">
      <w:pPr>
        <w:pStyle w:val="a3"/>
        <w:spacing w:line="480" w:lineRule="auto"/>
        <w:rPr>
          <w:rFonts w:ascii="Times New Roman" w:eastAsia="宋体" w:hAnsi="Times New Roman"/>
          <w:sz w:val="24"/>
          <w:szCs w:val="24"/>
        </w:rPr>
      </w:pPr>
      <w:r>
        <w:rPr>
          <w:rFonts w:ascii="Times New Roman" w:hAnsi="Times New Roman"/>
          <w:b/>
          <w:bCs/>
          <w:sz w:val="24"/>
          <w:szCs w:val="24"/>
        </w:rPr>
        <w:t>Fig.</w:t>
      </w:r>
      <w:r>
        <w:rPr>
          <w:rFonts w:ascii="Times New Roman" w:hAnsi="Times New Roman" w:hint="eastAsia"/>
          <w:b/>
          <w:bCs/>
          <w:sz w:val="24"/>
          <w:szCs w:val="24"/>
        </w:rPr>
        <w:t xml:space="preserve"> </w:t>
      </w:r>
      <w:r>
        <w:rPr>
          <w:rFonts w:ascii="Times New Roman" w:hAnsi="Times New Roman"/>
          <w:b/>
          <w:bCs/>
          <w:sz w:val="24"/>
          <w:szCs w:val="24"/>
        </w:rPr>
        <w:t>S</w:t>
      </w:r>
      <w:r>
        <w:rPr>
          <w:rFonts w:ascii="Times New Roman" w:hAnsi="Times New Roman"/>
          <w:b/>
          <w:bCs/>
          <w:sz w:val="24"/>
          <w:szCs w:val="24"/>
        </w:rPr>
        <w:fldChar w:fldCharType="begin"/>
      </w:r>
      <w:r>
        <w:rPr>
          <w:rFonts w:ascii="Times New Roman" w:hAnsi="Times New Roman"/>
          <w:b/>
          <w:bCs/>
          <w:sz w:val="24"/>
          <w:szCs w:val="24"/>
        </w:rPr>
        <w:instrText xml:space="preserve"> SEQ Fig.S \* ARABIC </w:instrText>
      </w:r>
      <w:r>
        <w:rPr>
          <w:rFonts w:ascii="Times New Roman" w:hAnsi="Times New Roman"/>
          <w:b/>
          <w:bCs/>
          <w:sz w:val="24"/>
          <w:szCs w:val="24"/>
        </w:rPr>
        <w:fldChar w:fldCharType="separate"/>
      </w:r>
      <w:r>
        <w:rPr>
          <w:rFonts w:ascii="Times New Roman" w:hAnsi="Times New Roman"/>
          <w:b/>
          <w:bCs/>
          <w:sz w:val="24"/>
          <w:szCs w:val="24"/>
        </w:rPr>
        <w:t>2</w:t>
      </w:r>
      <w:r>
        <w:rPr>
          <w:rFonts w:ascii="Times New Roman" w:hAnsi="Times New Roman"/>
          <w:b/>
          <w:bCs/>
          <w:sz w:val="24"/>
          <w:szCs w:val="24"/>
        </w:rPr>
        <w:fldChar w:fldCharType="end"/>
      </w:r>
      <w:r>
        <w:rPr>
          <w:rFonts w:ascii="Times New Roman" w:hAnsi="Times New Roman" w:hint="eastAsia"/>
          <w:b/>
          <w:bCs/>
          <w:sz w:val="24"/>
          <w:szCs w:val="24"/>
        </w:rPr>
        <w:t>.</w:t>
      </w:r>
      <w:r>
        <w:rPr>
          <w:rFonts w:hint="eastAsia"/>
        </w:rPr>
        <w:t xml:space="preserve"> </w:t>
      </w:r>
      <w:r>
        <w:rPr>
          <w:rFonts w:ascii="Times New Roman" w:eastAsia="宋体" w:hAnsi="Times New Roman"/>
          <w:sz w:val="24"/>
          <w:szCs w:val="24"/>
        </w:rPr>
        <w:t>Synthesis diagram of COFs.</w:t>
      </w:r>
    </w:p>
    <w:p w14:paraId="786C80D3" w14:textId="2B5E7F28" w:rsidR="0011262F" w:rsidRDefault="00000000">
      <w:pPr>
        <w:spacing w:line="480" w:lineRule="auto"/>
        <w:ind w:firstLineChars="3400" w:firstLine="8160"/>
        <w:contextualSpacing/>
        <w:jc w:val="left"/>
        <w:rPr>
          <w:rFonts w:ascii="Times New Roman" w:hAnsi="Times New Roman"/>
          <w:sz w:val="24"/>
          <w:szCs w:val="24"/>
        </w:rPr>
      </w:pPr>
      <w:r>
        <w:rPr>
          <w:rFonts w:ascii="Times New Roman" w:hAnsi="Times New Roman" w:hint="eastAsia"/>
          <w:sz w:val="24"/>
          <w:szCs w:val="24"/>
        </w:rPr>
        <w:t xml:space="preserve">                                           </w:t>
      </w:r>
      <w:r>
        <w:rPr>
          <w:rFonts w:ascii="Times New Roman" w:hAnsi="Times New Roman" w:hint="eastAsia"/>
          <w:sz w:val="24"/>
          <w:szCs w:val="24"/>
        </w:rPr>
        <w:br w:type="page"/>
      </w:r>
      <w:r w:rsidR="009F5CED">
        <w:rPr>
          <w:rFonts w:ascii="Times New Roman" w:hAnsi="Times New Roman"/>
          <w:noProof/>
          <w:sz w:val="24"/>
          <w:szCs w:val="24"/>
        </w:rPr>
        <w:lastRenderedPageBreak/>
        <w:drawing>
          <wp:inline distT="0" distB="0" distL="0" distR="0" wp14:anchorId="6340F66C" wp14:editId="5C5832BB">
            <wp:extent cx="4680000" cy="5418680"/>
            <wp:effectExtent l="0" t="0" r="6350" b="0"/>
            <wp:docPr id="532936715"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936715" name="图片 53293671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680000" cy="5418680"/>
                    </a:xfrm>
                    <a:prstGeom prst="rect">
                      <a:avLst/>
                    </a:prstGeom>
                  </pic:spPr>
                </pic:pic>
              </a:graphicData>
            </a:graphic>
          </wp:inline>
        </w:drawing>
      </w:r>
    </w:p>
    <w:p w14:paraId="759706CD" w14:textId="77777777" w:rsidR="0011262F" w:rsidRDefault="00000000">
      <w:pPr>
        <w:spacing w:line="480" w:lineRule="auto"/>
        <w:contextualSpacing/>
        <w:jc w:val="center"/>
        <w:rPr>
          <w:rFonts w:ascii="Times New Roman" w:hAnsi="Times New Roman"/>
          <w:sz w:val="24"/>
          <w:szCs w:val="24"/>
        </w:rPr>
      </w:pPr>
      <w:r>
        <w:rPr>
          <w:rFonts w:ascii="Times New Roman" w:hAnsi="Times New Roman"/>
          <w:b/>
          <w:bCs/>
          <w:sz w:val="24"/>
          <w:szCs w:val="24"/>
        </w:rPr>
        <w:t>Fig. S</w:t>
      </w:r>
      <w:r>
        <w:rPr>
          <w:rFonts w:ascii="Times New Roman" w:hAnsi="Times New Roman"/>
          <w:b/>
          <w:bCs/>
          <w:sz w:val="24"/>
          <w:szCs w:val="24"/>
        </w:rPr>
        <w:fldChar w:fldCharType="begin"/>
      </w:r>
      <w:r>
        <w:rPr>
          <w:rFonts w:ascii="Times New Roman" w:hAnsi="Times New Roman"/>
          <w:b/>
          <w:bCs/>
          <w:sz w:val="24"/>
          <w:szCs w:val="24"/>
        </w:rPr>
        <w:instrText xml:space="preserve"> SEQ Fig.S \* ARABIC </w:instrText>
      </w:r>
      <w:r>
        <w:rPr>
          <w:rFonts w:ascii="Times New Roman" w:hAnsi="Times New Roman"/>
          <w:b/>
          <w:bCs/>
          <w:sz w:val="24"/>
          <w:szCs w:val="24"/>
        </w:rPr>
        <w:fldChar w:fldCharType="separate"/>
      </w:r>
      <w:r>
        <w:rPr>
          <w:rFonts w:ascii="Times New Roman" w:hAnsi="Times New Roman"/>
          <w:b/>
          <w:bCs/>
          <w:sz w:val="24"/>
          <w:szCs w:val="24"/>
        </w:rPr>
        <w:t>3</w:t>
      </w:r>
      <w:r>
        <w:rPr>
          <w:rFonts w:ascii="Times New Roman" w:hAnsi="Times New Roman"/>
          <w:b/>
          <w:bCs/>
          <w:sz w:val="24"/>
          <w:szCs w:val="24"/>
        </w:rPr>
        <w:fldChar w:fldCharType="end"/>
      </w:r>
    </w:p>
    <w:p w14:paraId="3DECD2E5" w14:textId="77777777" w:rsidR="0011262F" w:rsidRDefault="00000000">
      <w:pPr>
        <w:pStyle w:val="a3"/>
        <w:spacing w:line="480" w:lineRule="auto"/>
        <w:rPr>
          <w:rFonts w:ascii="Times New Roman" w:hAnsi="Times New Roman"/>
          <w:sz w:val="24"/>
          <w:szCs w:val="24"/>
        </w:rPr>
      </w:pPr>
      <w:r>
        <w:rPr>
          <w:rFonts w:ascii="Times New Roman" w:hAnsi="Times New Roman"/>
          <w:b/>
          <w:bCs/>
          <w:sz w:val="24"/>
          <w:szCs w:val="24"/>
        </w:rPr>
        <w:t>Fig. S</w:t>
      </w:r>
      <w:r>
        <w:rPr>
          <w:rFonts w:ascii="Times New Roman" w:hAnsi="Times New Roman"/>
          <w:b/>
          <w:bCs/>
          <w:sz w:val="24"/>
          <w:szCs w:val="24"/>
        </w:rPr>
        <w:fldChar w:fldCharType="begin"/>
      </w:r>
      <w:r>
        <w:rPr>
          <w:rFonts w:ascii="Times New Roman" w:hAnsi="Times New Roman"/>
          <w:b/>
          <w:bCs/>
          <w:sz w:val="24"/>
          <w:szCs w:val="24"/>
        </w:rPr>
        <w:instrText xml:space="preserve"> SEQ Fig.S \* ARABIC </w:instrText>
      </w:r>
      <w:r>
        <w:rPr>
          <w:rFonts w:ascii="Times New Roman" w:hAnsi="Times New Roman"/>
          <w:b/>
          <w:bCs/>
          <w:sz w:val="24"/>
          <w:szCs w:val="24"/>
        </w:rPr>
        <w:fldChar w:fldCharType="separate"/>
      </w:r>
      <w:r>
        <w:rPr>
          <w:rFonts w:ascii="Times New Roman" w:hAnsi="Times New Roman"/>
          <w:b/>
          <w:bCs/>
          <w:sz w:val="24"/>
          <w:szCs w:val="24"/>
        </w:rPr>
        <w:t>3</w:t>
      </w:r>
      <w:r>
        <w:rPr>
          <w:rFonts w:ascii="Times New Roman" w:hAnsi="Times New Roman"/>
          <w:b/>
          <w:bCs/>
          <w:sz w:val="24"/>
          <w:szCs w:val="24"/>
        </w:rPr>
        <w:fldChar w:fldCharType="end"/>
      </w:r>
      <w:r>
        <w:rPr>
          <w:rFonts w:ascii="Times New Roman" w:hAnsi="Times New Roman" w:hint="eastAsia"/>
          <w:b/>
          <w:bCs/>
          <w:sz w:val="24"/>
          <w:szCs w:val="24"/>
        </w:rPr>
        <w:t>.</w:t>
      </w:r>
      <w:r>
        <w:rPr>
          <w:rFonts w:ascii="Times New Roman" w:hAnsi="Times New Roman"/>
          <w:b/>
          <w:bCs/>
          <w:sz w:val="24"/>
          <w:szCs w:val="24"/>
        </w:rPr>
        <w:t xml:space="preserve"> </w:t>
      </w:r>
      <w:r>
        <w:rPr>
          <w:rFonts w:ascii="Times New Roman" w:hAnsi="Times New Roman"/>
          <w:sz w:val="24"/>
          <w:szCs w:val="24"/>
        </w:rPr>
        <w:t>(A) SEM image of COFs; (B) TEM image of COFs; (C) XPS pattern of COFs; (D) C</w:t>
      </w:r>
      <w:r>
        <w:rPr>
          <w:rFonts w:ascii="Times New Roman" w:hAnsi="Times New Roman" w:hint="eastAsia"/>
          <w:sz w:val="24"/>
          <w:szCs w:val="24"/>
        </w:rPr>
        <w:t xml:space="preserve"> </w:t>
      </w:r>
      <w:r>
        <w:rPr>
          <w:rFonts w:ascii="Times New Roman" w:hAnsi="Times New Roman"/>
          <w:sz w:val="24"/>
          <w:szCs w:val="24"/>
        </w:rPr>
        <w:t>1s XPS spectrum of COFs; (E)</w:t>
      </w:r>
      <w:r>
        <w:rPr>
          <w:rFonts w:ascii="Times New Roman" w:hAnsi="Times New Roman" w:hint="eastAsia"/>
          <w:sz w:val="24"/>
          <w:szCs w:val="24"/>
        </w:rPr>
        <w:t xml:space="preserve"> </w:t>
      </w:r>
      <w:r>
        <w:rPr>
          <w:rFonts w:ascii="Times New Roman" w:hAnsi="Times New Roman"/>
          <w:sz w:val="24"/>
          <w:szCs w:val="24"/>
        </w:rPr>
        <w:t>FT-IR spectra of TAP, DVA, COFs and COF-</w:t>
      </w:r>
      <w:proofErr w:type="spellStart"/>
      <w:r>
        <w:rPr>
          <w:rFonts w:ascii="Times New Roman" w:hAnsi="Times New Roman"/>
          <w:sz w:val="24"/>
          <w:szCs w:val="24"/>
        </w:rPr>
        <w:t>AgNPs</w:t>
      </w:r>
      <w:proofErr w:type="spellEnd"/>
      <w:r>
        <w:rPr>
          <w:rFonts w:ascii="Times New Roman" w:hAnsi="Times New Roman"/>
          <w:sz w:val="24"/>
          <w:szCs w:val="24"/>
        </w:rPr>
        <w:t>; (F) XRD patterns of COFs and COF-</w:t>
      </w:r>
      <w:proofErr w:type="spellStart"/>
      <w:r>
        <w:rPr>
          <w:rFonts w:ascii="Times New Roman" w:hAnsi="Times New Roman"/>
          <w:sz w:val="24"/>
          <w:szCs w:val="24"/>
        </w:rPr>
        <w:t>AgNPs</w:t>
      </w:r>
      <w:proofErr w:type="spellEnd"/>
      <w:r>
        <w:rPr>
          <w:rFonts w:ascii="Times New Roman" w:hAnsi="Times New Roman" w:hint="eastAsia"/>
          <w:sz w:val="24"/>
          <w:szCs w:val="24"/>
        </w:rPr>
        <w:t>.</w:t>
      </w:r>
    </w:p>
    <w:p w14:paraId="41636EBD" w14:textId="77777777" w:rsidR="0011262F" w:rsidRDefault="0011262F">
      <w:pPr>
        <w:pStyle w:val="a3"/>
        <w:jc w:val="center"/>
        <w:rPr>
          <w:rFonts w:ascii="Times New Roman" w:hAnsi="Times New Roman"/>
          <w:b/>
          <w:bCs/>
          <w:sz w:val="28"/>
          <w:szCs w:val="28"/>
        </w:rPr>
      </w:pPr>
    </w:p>
    <w:p w14:paraId="1E9C1072" w14:textId="0F4FAC63" w:rsidR="0011262F" w:rsidRDefault="00000000">
      <w:pPr>
        <w:keepNext/>
        <w:rPr>
          <w:rFonts w:hint="eastAsia"/>
        </w:rPr>
      </w:pPr>
      <w:r>
        <w:rPr>
          <w:rFonts w:hint="eastAsia"/>
        </w:rPr>
        <w:br w:type="page"/>
      </w:r>
      <w:r w:rsidR="009F5CED">
        <w:rPr>
          <w:rFonts w:hint="eastAsia"/>
          <w:noProof/>
        </w:rPr>
        <w:lastRenderedPageBreak/>
        <w:drawing>
          <wp:inline distT="0" distB="0" distL="0" distR="0" wp14:anchorId="7E950117" wp14:editId="1240D5D6">
            <wp:extent cx="4680000" cy="3716391"/>
            <wp:effectExtent l="0" t="0" r="6350" b="0"/>
            <wp:docPr id="30084717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847179" name="图片 300847179"/>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680000" cy="3716391"/>
                    </a:xfrm>
                    <a:prstGeom prst="rect">
                      <a:avLst/>
                    </a:prstGeom>
                  </pic:spPr>
                </pic:pic>
              </a:graphicData>
            </a:graphic>
          </wp:inline>
        </w:drawing>
      </w:r>
    </w:p>
    <w:p w14:paraId="642F9956" w14:textId="77777777" w:rsidR="0011262F" w:rsidRDefault="00000000">
      <w:pPr>
        <w:keepNext/>
        <w:jc w:val="center"/>
        <w:rPr>
          <w:rFonts w:hint="eastAsia"/>
        </w:rPr>
      </w:pPr>
      <w:r>
        <w:rPr>
          <w:rFonts w:ascii="Times New Roman" w:hAnsi="Times New Roman"/>
          <w:b/>
          <w:bCs/>
          <w:sz w:val="24"/>
          <w:szCs w:val="24"/>
        </w:rPr>
        <w:t>Fig.</w:t>
      </w:r>
      <w:r>
        <w:rPr>
          <w:rFonts w:ascii="Times New Roman" w:hAnsi="Times New Roman" w:hint="eastAsia"/>
          <w:b/>
          <w:bCs/>
          <w:sz w:val="24"/>
          <w:szCs w:val="24"/>
        </w:rPr>
        <w:t xml:space="preserve"> </w:t>
      </w:r>
      <w:r>
        <w:rPr>
          <w:rFonts w:ascii="Times New Roman" w:hAnsi="Times New Roman"/>
          <w:b/>
          <w:bCs/>
          <w:sz w:val="24"/>
          <w:szCs w:val="24"/>
        </w:rPr>
        <w:t>S</w:t>
      </w:r>
      <w:r>
        <w:rPr>
          <w:rFonts w:ascii="Times New Roman" w:hAnsi="Times New Roman"/>
          <w:b/>
          <w:bCs/>
          <w:sz w:val="24"/>
          <w:szCs w:val="24"/>
        </w:rPr>
        <w:fldChar w:fldCharType="begin"/>
      </w:r>
      <w:r>
        <w:rPr>
          <w:rFonts w:ascii="Times New Roman" w:hAnsi="Times New Roman"/>
          <w:b/>
          <w:bCs/>
          <w:sz w:val="24"/>
          <w:szCs w:val="24"/>
        </w:rPr>
        <w:instrText xml:space="preserve"> SEQ Fig.S \* ARABIC </w:instrText>
      </w:r>
      <w:r>
        <w:rPr>
          <w:rFonts w:ascii="Times New Roman" w:hAnsi="Times New Roman"/>
          <w:b/>
          <w:bCs/>
          <w:sz w:val="24"/>
          <w:szCs w:val="24"/>
        </w:rPr>
        <w:fldChar w:fldCharType="separate"/>
      </w:r>
      <w:r>
        <w:rPr>
          <w:rFonts w:ascii="Times New Roman" w:hAnsi="Times New Roman"/>
          <w:b/>
          <w:bCs/>
          <w:sz w:val="24"/>
          <w:szCs w:val="24"/>
        </w:rPr>
        <w:t>4</w:t>
      </w:r>
      <w:r>
        <w:rPr>
          <w:rFonts w:ascii="Times New Roman" w:hAnsi="Times New Roman"/>
          <w:b/>
          <w:bCs/>
          <w:sz w:val="24"/>
          <w:szCs w:val="24"/>
        </w:rPr>
        <w:fldChar w:fldCharType="end"/>
      </w:r>
    </w:p>
    <w:p w14:paraId="111A73BA" w14:textId="77777777" w:rsidR="0011262F" w:rsidRDefault="00000000">
      <w:pPr>
        <w:pStyle w:val="a3"/>
        <w:spacing w:line="480" w:lineRule="auto"/>
        <w:rPr>
          <w:rFonts w:ascii="Times New Roman" w:eastAsia="宋体" w:hAnsi="Times New Roman"/>
          <w:sz w:val="24"/>
          <w:szCs w:val="24"/>
        </w:rPr>
      </w:pPr>
      <w:r>
        <w:rPr>
          <w:rFonts w:ascii="Times New Roman" w:hAnsi="Times New Roman"/>
          <w:b/>
          <w:bCs/>
          <w:sz w:val="24"/>
          <w:szCs w:val="24"/>
        </w:rPr>
        <w:t>Fig.</w:t>
      </w:r>
      <w:r>
        <w:rPr>
          <w:rFonts w:ascii="Times New Roman" w:hAnsi="Times New Roman" w:hint="eastAsia"/>
          <w:b/>
          <w:bCs/>
          <w:sz w:val="24"/>
          <w:szCs w:val="24"/>
        </w:rPr>
        <w:t xml:space="preserve"> </w:t>
      </w:r>
      <w:r>
        <w:rPr>
          <w:rFonts w:ascii="Times New Roman" w:hAnsi="Times New Roman"/>
          <w:b/>
          <w:bCs/>
          <w:sz w:val="24"/>
          <w:szCs w:val="24"/>
        </w:rPr>
        <w:t>S</w:t>
      </w:r>
      <w:r>
        <w:rPr>
          <w:rFonts w:ascii="Times New Roman" w:hAnsi="Times New Roman"/>
          <w:b/>
          <w:bCs/>
          <w:sz w:val="24"/>
          <w:szCs w:val="24"/>
        </w:rPr>
        <w:fldChar w:fldCharType="begin"/>
      </w:r>
      <w:r>
        <w:rPr>
          <w:rFonts w:ascii="Times New Roman" w:hAnsi="Times New Roman"/>
          <w:b/>
          <w:bCs/>
          <w:sz w:val="24"/>
          <w:szCs w:val="24"/>
        </w:rPr>
        <w:instrText xml:space="preserve"> SEQ Fig.S \* ARABIC </w:instrText>
      </w:r>
      <w:r>
        <w:rPr>
          <w:rFonts w:ascii="Times New Roman" w:hAnsi="Times New Roman"/>
          <w:b/>
          <w:bCs/>
          <w:sz w:val="24"/>
          <w:szCs w:val="24"/>
        </w:rPr>
        <w:fldChar w:fldCharType="separate"/>
      </w:r>
      <w:r>
        <w:rPr>
          <w:rFonts w:ascii="Times New Roman" w:hAnsi="Times New Roman"/>
          <w:b/>
          <w:bCs/>
          <w:sz w:val="24"/>
          <w:szCs w:val="24"/>
        </w:rPr>
        <w:t>4</w:t>
      </w:r>
      <w:r>
        <w:rPr>
          <w:rFonts w:ascii="Times New Roman" w:hAnsi="Times New Roman"/>
          <w:b/>
          <w:bCs/>
          <w:sz w:val="24"/>
          <w:szCs w:val="24"/>
        </w:rPr>
        <w:fldChar w:fldCharType="end"/>
      </w:r>
      <w:r>
        <w:rPr>
          <w:rFonts w:ascii="Times New Roman" w:hAnsi="Times New Roman" w:hint="eastAsia"/>
          <w:b/>
          <w:bCs/>
          <w:sz w:val="24"/>
          <w:szCs w:val="24"/>
        </w:rPr>
        <w:t>.</w:t>
      </w:r>
      <w:r>
        <w:rPr>
          <w:rFonts w:ascii="Times New Roman" w:eastAsia="宋体" w:hAnsi="Times New Roman"/>
          <w:sz w:val="24"/>
          <w:szCs w:val="24"/>
        </w:rPr>
        <w:t xml:space="preserve"> High-resolution XPS spectra of (A) C 1s, (B) O 1s and (C) N 1s in COFs and COF-</w:t>
      </w:r>
      <w:proofErr w:type="spellStart"/>
      <w:r>
        <w:rPr>
          <w:rFonts w:ascii="Times New Roman" w:eastAsia="宋体" w:hAnsi="Times New Roman"/>
          <w:sz w:val="24"/>
          <w:szCs w:val="24"/>
        </w:rPr>
        <w:t>AgNPs</w:t>
      </w:r>
      <w:proofErr w:type="spellEnd"/>
      <w:r>
        <w:rPr>
          <w:rFonts w:ascii="Times New Roman" w:eastAsia="宋体" w:hAnsi="Times New Roman" w:hint="eastAsia"/>
          <w:sz w:val="24"/>
          <w:szCs w:val="24"/>
        </w:rPr>
        <w:t>.</w:t>
      </w:r>
    </w:p>
    <w:p w14:paraId="3ED6673C" w14:textId="77777777" w:rsidR="0011262F" w:rsidRDefault="0011262F">
      <w:pPr>
        <w:pStyle w:val="a3"/>
        <w:rPr>
          <w:rFonts w:hint="eastAsia"/>
        </w:rPr>
      </w:pPr>
    </w:p>
    <w:p w14:paraId="42433945" w14:textId="77777777" w:rsidR="0011262F" w:rsidRDefault="0011262F">
      <w:pPr>
        <w:pStyle w:val="a3"/>
        <w:rPr>
          <w:rFonts w:ascii="Times New Roman" w:hAnsi="Times New Roman"/>
          <w:b/>
          <w:bCs/>
          <w:sz w:val="28"/>
          <w:szCs w:val="28"/>
        </w:rPr>
      </w:pPr>
    </w:p>
    <w:p w14:paraId="27F8E90E" w14:textId="7D272FA2" w:rsidR="0011262F" w:rsidRDefault="00000000">
      <w:pPr>
        <w:keepNext/>
        <w:jc w:val="center"/>
        <w:rPr>
          <w:rFonts w:ascii="Times New Roman" w:hAnsi="Times New Roman"/>
          <w:sz w:val="24"/>
          <w:szCs w:val="24"/>
        </w:rPr>
      </w:pPr>
      <w:r>
        <w:rPr>
          <w:rFonts w:ascii="Times New Roman" w:hAnsi="Times New Roman"/>
          <w:b/>
          <w:bCs/>
          <w:sz w:val="28"/>
          <w:szCs w:val="28"/>
        </w:rPr>
        <w:br w:type="page"/>
      </w:r>
      <w:r w:rsidR="009F5CED">
        <w:rPr>
          <w:rFonts w:ascii="Times New Roman" w:hAnsi="Times New Roman"/>
          <w:noProof/>
          <w:sz w:val="24"/>
          <w:szCs w:val="24"/>
        </w:rPr>
        <w:lastRenderedPageBreak/>
        <w:drawing>
          <wp:inline distT="0" distB="0" distL="0" distR="0" wp14:anchorId="635B5089" wp14:editId="32C031BC">
            <wp:extent cx="4680000" cy="6682426"/>
            <wp:effectExtent l="0" t="0" r="6350" b="4445"/>
            <wp:docPr id="195251715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2517155" name="图片 1952517155"/>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680000" cy="6682426"/>
                    </a:xfrm>
                    <a:prstGeom prst="rect">
                      <a:avLst/>
                    </a:prstGeom>
                  </pic:spPr>
                </pic:pic>
              </a:graphicData>
            </a:graphic>
          </wp:inline>
        </w:drawing>
      </w:r>
    </w:p>
    <w:p w14:paraId="13118186" w14:textId="77777777" w:rsidR="0011262F" w:rsidRDefault="00000000">
      <w:pPr>
        <w:keepNext/>
        <w:jc w:val="center"/>
        <w:rPr>
          <w:rFonts w:ascii="Times New Roman" w:hAnsi="Times New Roman"/>
          <w:sz w:val="24"/>
          <w:szCs w:val="24"/>
        </w:rPr>
      </w:pPr>
      <w:r>
        <w:rPr>
          <w:rFonts w:ascii="Times New Roman" w:hAnsi="Times New Roman" w:hint="eastAsia"/>
          <w:b/>
          <w:bCs/>
          <w:sz w:val="24"/>
          <w:szCs w:val="24"/>
        </w:rPr>
        <w:t>Fig. S</w:t>
      </w:r>
      <w:r>
        <w:rPr>
          <w:rFonts w:ascii="Times New Roman" w:hAnsi="Times New Roman" w:hint="eastAsia"/>
          <w:b/>
          <w:bCs/>
          <w:sz w:val="24"/>
          <w:szCs w:val="24"/>
        </w:rPr>
        <w:fldChar w:fldCharType="begin"/>
      </w:r>
      <w:r>
        <w:rPr>
          <w:rFonts w:ascii="Times New Roman" w:hAnsi="Times New Roman" w:hint="eastAsia"/>
          <w:b/>
          <w:bCs/>
          <w:sz w:val="24"/>
          <w:szCs w:val="24"/>
        </w:rPr>
        <w:instrText xml:space="preserve"> SEQ Fig.S \* ARABIC </w:instrText>
      </w:r>
      <w:r>
        <w:rPr>
          <w:rFonts w:ascii="Times New Roman" w:hAnsi="Times New Roman" w:hint="eastAsia"/>
          <w:b/>
          <w:bCs/>
          <w:sz w:val="24"/>
          <w:szCs w:val="24"/>
        </w:rPr>
        <w:fldChar w:fldCharType="separate"/>
      </w:r>
      <w:r>
        <w:rPr>
          <w:rFonts w:ascii="Times New Roman" w:hAnsi="Times New Roman"/>
          <w:b/>
          <w:bCs/>
          <w:sz w:val="24"/>
          <w:szCs w:val="24"/>
        </w:rPr>
        <w:t>5</w:t>
      </w:r>
      <w:r>
        <w:rPr>
          <w:rFonts w:ascii="Times New Roman" w:hAnsi="Times New Roman" w:hint="eastAsia"/>
          <w:b/>
          <w:bCs/>
          <w:sz w:val="24"/>
          <w:szCs w:val="24"/>
        </w:rPr>
        <w:fldChar w:fldCharType="end"/>
      </w:r>
    </w:p>
    <w:p w14:paraId="21A2B771" w14:textId="77777777" w:rsidR="0011262F" w:rsidRDefault="00000000">
      <w:pPr>
        <w:pStyle w:val="a3"/>
        <w:spacing w:line="480" w:lineRule="auto"/>
        <w:rPr>
          <w:rFonts w:ascii="Times New Roman" w:hAnsi="Times New Roman"/>
          <w:sz w:val="24"/>
          <w:szCs w:val="24"/>
        </w:rPr>
      </w:pPr>
      <w:r>
        <w:rPr>
          <w:rFonts w:ascii="Times New Roman" w:hAnsi="Times New Roman" w:hint="eastAsia"/>
          <w:b/>
          <w:bCs/>
          <w:sz w:val="24"/>
          <w:szCs w:val="24"/>
        </w:rPr>
        <w:t>Fig. S</w:t>
      </w:r>
      <w:r>
        <w:rPr>
          <w:rFonts w:ascii="Times New Roman" w:hAnsi="Times New Roman" w:hint="eastAsia"/>
          <w:b/>
          <w:bCs/>
          <w:sz w:val="24"/>
          <w:szCs w:val="24"/>
        </w:rPr>
        <w:fldChar w:fldCharType="begin"/>
      </w:r>
      <w:r>
        <w:rPr>
          <w:rFonts w:ascii="Times New Roman" w:hAnsi="Times New Roman" w:hint="eastAsia"/>
          <w:b/>
          <w:bCs/>
          <w:sz w:val="24"/>
          <w:szCs w:val="24"/>
        </w:rPr>
        <w:instrText xml:space="preserve"> SEQ Fig.S \* ARABIC </w:instrText>
      </w:r>
      <w:r>
        <w:rPr>
          <w:rFonts w:ascii="Times New Roman" w:hAnsi="Times New Roman" w:hint="eastAsia"/>
          <w:b/>
          <w:bCs/>
          <w:sz w:val="24"/>
          <w:szCs w:val="24"/>
        </w:rPr>
        <w:fldChar w:fldCharType="separate"/>
      </w:r>
      <w:r>
        <w:rPr>
          <w:rFonts w:ascii="Times New Roman" w:hAnsi="Times New Roman"/>
          <w:b/>
          <w:bCs/>
          <w:sz w:val="24"/>
          <w:szCs w:val="24"/>
        </w:rPr>
        <w:t>5</w:t>
      </w:r>
      <w:r>
        <w:rPr>
          <w:rFonts w:ascii="Times New Roman" w:hAnsi="Times New Roman" w:hint="eastAsia"/>
          <w:b/>
          <w:bCs/>
          <w:sz w:val="24"/>
          <w:szCs w:val="24"/>
        </w:rPr>
        <w:fldChar w:fldCharType="end"/>
      </w:r>
      <w:r>
        <w:rPr>
          <w:rFonts w:ascii="Times New Roman" w:hAnsi="Times New Roman" w:hint="eastAsia"/>
          <w:b/>
          <w:bCs/>
          <w:sz w:val="24"/>
          <w:szCs w:val="24"/>
        </w:rPr>
        <w:t>.</w:t>
      </w:r>
      <w:r>
        <w:rPr>
          <w:rFonts w:ascii="Times New Roman" w:hAnsi="Times New Roman" w:hint="eastAsia"/>
          <w:sz w:val="24"/>
          <w:szCs w:val="24"/>
        </w:rPr>
        <w:t xml:space="preserve"> </w:t>
      </w:r>
      <w:r>
        <w:rPr>
          <w:rFonts w:ascii="Times New Roman" w:hAnsi="Times New Roman"/>
          <w:sz w:val="24"/>
          <w:szCs w:val="24"/>
        </w:rPr>
        <w:t xml:space="preserve">EDS spectra of elemental analysis of </w:t>
      </w:r>
      <w:r>
        <w:rPr>
          <w:rFonts w:ascii="Times New Roman" w:eastAsia="宋体" w:hAnsi="Times New Roman" w:hint="eastAsia"/>
          <w:sz w:val="24"/>
          <w:szCs w:val="24"/>
        </w:rPr>
        <w:t>nano-enzyme COF-</w:t>
      </w:r>
      <w:proofErr w:type="spellStart"/>
      <w:r>
        <w:rPr>
          <w:rFonts w:ascii="Times New Roman" w:eastAsia="宋体" w:hAnsi="Times New Roman" w:hint="eastAsia"/>
          <w:sz w:val="24"/>
          <w:szCs w:val="24"/>
        </w:rPr>
        <w:t>AgNPs</w:t>
      </w:r>
      <w:proofErr w:type="spellEnd"/>
      <w:r>
        <w:rPr>
          <w:rFonts w:ascii="Times New Roman" w:hAnsi="Times New Roman"/>
          <w:sz w:val="24"/>
          <w:szCs w:val="24"/>
        </w:rPr>
        <w:t>. (A) Distribution mapping of C element; (B) Distribution mapping of O element; (C) Distribution mapping of N element; (D) Distribution mapping of Ag element; (E) Overlay mapping of C, O, N and Ag elements.</w:t>
      </w:r>
    </w:p>
    <w:p w14:paraId="7A6421A5" w14:textId="66B31CD5" w:rsidR="0011262F" w:rsidRDefault="00000000">
      <w:pPr>
        <w:pStyle w:val="a3"/>
        <w:spacing w:line="480" w:lineRule="auto"/>
        <w:jc w:val="center"/>
        <w:rPr>
          <w:rFonts w:ascii="Times New Roman" w:eastAsia="宋体" w:hAnsi="Times New Roman"/>
          <w:sz w:val="24"/>
          <w:szCs w:val="24"/>
        </w:rPr>
      </w:pPr>
      <w:r>
        <w:rPr>
          <w:rFonts w:ascii="Times New Roman" w:hAnsi="Times New Roman"/>
          <w:sz w:val="24"/>
          <w:szCs w:val="24"/>
        </w:rPr>
        <w:br w:type="page"/>
      </w:r>
      <w:r w:rsidR="009F5CED">
        <w:rPr>
          <w:rFonts w:ascii="Times New Roman" w:eastAsia="宋体" w:hAnsi="Times New Roman"/>
          <w:noProof/>
          <w:sz w:val="24"/>
          <w:szCs w:val="24"/>
        </w:rPr>
        <w:lastRenderedPageBreak/>
        <w:drawing>
          <wp:inline distT="0" distB="0" distL="0" distR="0" wp14:anchorId="006605FA" wp14:editId="4BEDDD8F">
            <wp:extent cx="2610322" cy="1891237"/>
            <wp:effectExtent l="0" t="0" r="0" b="0"/>
            <wp:docPr id="46987976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879762" name="图片 469879762"/>
                    <pic:cNvPicPr/>
                  </pic:nvPicPr>
                  <pic:blipFill>
                    <a:blip r:embed="rId14">
                      <a:extLst>
                        <a:ext uri="{28A0092B-C50C-407E-A947-70E740481C1C}">
                          <a14:useLocalDpi xmlns:a14="http://schemas.microsoft.com/office/drawing/2010/main" val="0"/>
                        </a:ext>
                      </a:extLst>
                    </a:blip>
                    <a:stretch>
                      <a:fillRect/>
                    </a:stretch>
                  </pic:blipFill>
                  <pic:spPr>
                    <a:xfrm>
                      <a:off x="0" y="0"/>
                      <a:ext cx="2610322" cy="1891237"/>
                    </a:xfrm>
                    <a:prstGeom prst="rect">
                      <a:avLst/>
                    </a:prstGeom>
                  </pic:spPr>
                </pic:pic>
              </a:graphicData>
            </a:graphic>
          </wp:inline>
        </w:drawing>
      </w:r>
    </w:p>
    <w:p w14:paraId="6E6BAE99" w14:textId="77777777" w:rsidR="0011262F" w:rsidRDefault="00000000">
      <w:pPr>
        <w:jc w:val="center"/>
        <w:rPr>
          <w:rFonts w:hint="eastAsia"/>
        </w:rPr>
      </w:pPr>
      <w:r>
        <w:rPr>
          <w:rFonts w:ascii="Times New Roman" w:hAnsi="Times New Roman"/>
          <w:b/>
          <w:bCs/>
          <w:sz w:val="24"/>
          <w:szCs w:val="24"/>
        </w:rPr>
        <w:t>Fig. S</w:t>
      </w:r>
      <w:r>
        <w:rPr>
          <w:rFonts w:ascii="Times New Roman" w:hAnsi="Times New Roman"/>
          <w:b/>
          <w:bCs/>
          <w:sz w:val="24"/>
          <w:szCs w:val="24"/>
        </w:rPr>
        <w:fldChar w:fldCharType="begin"/>
      </w:r>
      <w:r>
        <w:rPr>
          <w:rFonts w:ascii="Times New Roman" w:hAnsi="Times New Roman"/>
          <w:b/>
          <w:bCs/>
          <w:sz w:val="24"/>
          <w:szCs w:val="24"/>
        </w:rPr>
        <w:instrText xml:space="preserve"> SEQ Fig.S \* ARABIC </w:instrText>
      </w:r>
      <w:r>
        <w:rPr>
          <w:rFonts w:ascii="Times New Roman" w:hAnsi="Times New Roman"/>
          <w:b/>
          <w:bCs/>
          <w:sz w:val="24"/>
          <w:szCs w:val="24"/>
        </w:rPr>
        <w:fldChar w:fldCharType="separate"/>
      </w:r>
      <w:r>
        <w:rPr>
          <w:rFonts w:ascii="Times New Roman" w:hAnsi="Times New Roman"/>
          <w:b/>
          <w:bCs/>
          <w:sz w:val="24"/>
          <w:szCs w:val="24"/>
        </w:rPr>
        <w:t>6</w:t>
      </w:r>
      <w:r>
        <w:rPr>
          <w:rFonts w:ascii="Times New Roman" w:hAnsi="Times New Roman"/>
          <w:b/>
          <w:bCs/>
          <w:sz w:val="24"/>
          <w:szCs w:val="24"/>
        </w:rPr>
        <w:fldChar w:fldCharType="end"/>
      </w:r>
    </w:p>
    <w:p w14:paraId="341626EF" w14:textId="77777777" w:rsidR="0011262F" w:rsidRDefault="00000000">
      <w:pPr>
        <w:spacing w:line="480" w:lineRule="auto"/>
        <w:rPr>
          <w:rFonts w:ascii="Times New Roman" w:hAnsi="Times New Roman"/>
          <w:sz w:val="24"/>
          <w:szCs w:val="24"/>
        </w:rPr>
      </w:pPr>
      <w:r>
        <w:rPr>
          <w:rFonts w:ascii="Times New Roman" w:hAnsi="Times New Roman"/>
          <w:b/>
          <w:bCs/>
          <w:sz w:val="24"/>
          <w:szCs w:val="24"/>
        </w:rPr>
        <w:t>Fig. S</w:t>
      </w:r>
      <w:r>
        <w:rPr>
          <w:rFonts w:ascii="Times New Roman" w:hAnsi="Times New Roman"/>
          <w:b/>
          <w:bCs/>
          <w:sz w:val="24"/>
          <w:szCs w:val="24"/>
        </w:rPr>
        <w:fldChar w:fldCharType="begin"/>
      </w:r>
      <w:r>
        <w:rPr>
          <w:rFonts w:ascii="Times New Roman" w:hAnsi="Times New Roman"/>
          <w:b/>
          <w:bCs/>
          <w:sz w:val="24"/>
          <w:szCs w:val="24"/>
        </w:rPr>
        <w:instrText xml:space="preserve"> SEQ Fig.S \* ARABIC </w:instrText>
      </w:r>
      <w:r>
        <w:rPr>
          <w:rFonts w:ascii="Times New Roman" w:hAnsi="Times New Roman"/>
          <w:b/>
          <w:bCs/>
          <w:sz w:val="24"/>
          <w:szCs w:val="24"/>
        </w:rPr>
        <w:fldChar w:fldCharType="separate"/>
      </w:r>
      <w:r>
        <w:rPr>
          <w:rFonts w:ascii="Times New Roman" w:hAnsi="Times New Roman"/>
          <w:b/>
          <w:bCs/>
          <w:sz w:val="24"/>
          <w:szCs w:val="24"/>
        </w:rPr>
        <w:t>6</w:t>
      </w:r>
      <w:r>
        <w:rPr>
          <w:rFonts w:ascii="Times New Roman" w:hAnsi="Times New Roman"/>
          <w:b/>
          <w:bCs/>
          <w:sz w:val="24"/>
          <w:szCs w:val="24"/>
        </w:rPr>
        <w:fldChar w:fldCharType="end"/>
      </w:r>
      <w:r>
        <w:rPr>
          <w:rFonts w:ascii="Times New Roman" w:hAnsi="Times New Roman" w:hint="eastAsia"/>
          <w:b/>
          <w:bCs/>
          <w:sz w:val="24"/>
          <w:szCs w:val="24"/>
        </w:rPr>
        <w:t>.</w:t>
      </w:r>
      <w:r>
        <w:rPr>
          <w:rFonts w:ascii="Times New Roman" w:eastAsia="宋体" w:hAnsi="Times New Roman"/>
          <w:sz w:val="24"/>
          <w:szCs w:val="24"/>
        </w:rPr>
        <w:t xml:space="preserve"> TEM images of </w:t>
      </w:r>
      <w:r>
        <w:rPr>
          <w:rFonts w:ascii="Times New Roman" w:eastAsia="宋体" w:hAnsi="Times New Roman" w:hint="eastAsia"/>
          <w:sz w:val="24"/>
          <w:szCs w:val="24"/>
        </w:rPr>
        <w:t>nano-enzyme COF-</w:t>
      </w:r>
      <w:proofErr w:type="spellStart"/>
      <w:r>
        <w:rPr>
          <w:rFonts w:ascii="Times New Roman" w:eastAsia="宋体" w:hAnsi="Times New Roman" w:hint="eastAsia"/>
          <w:sz w:val="24"/>
          <w:szCs w:val="24"/>
        </w:rPr>
        <w:t>AgNPs</w:t>
      </w:r>
      <w:proofErr w:type="spellEnd"/>
      <w:r>
        <w:rPr>
          <w:rFonts w:ascii="Times New Roman" w:eastAsia="宋体" w:hAnsi="Times New Roman"/>
          <w:sz w:val="24"/>
          <w:szCs w:val="24"/>
        </w:rPr>
        <w:t xml:space="preserve"> in the presence of Hg</w:t>
      </w:r>
      <w:r>
        <w:rPr>
          <w:rFonts w:ascii="Times New Roman" w:eastAsia="宋体" w:hAnsi="Times New Roman"/>
          <w:sz w:val="24"/>
          <w:szCs w:val="24"/>
          <w:vertAlign w:val="superscript"/>
        </w:rPr>
        <w:t>2+</w:t>
      </w:r>
      <w:r>
        <w:rPr>
          <w:rFonts w:ascii="Times New Roman" w:hAnsi="Times New Roman"/>
          <w:sz w:val="24"/>
          <w:szCs w:val="24"/>
        </w:rPr>
        <w:t>.</w:t>
      </w:r>
    </w:p>
    <w:p w14:paraId="50E06255" w14:textId="77777777" w:rsidR="0011262F" w:rsidRDefault="0011262F">
      <w:pPr>
        <w:pStyle w:val="a3"/>
        <w:jc w:val="left"/>
        <w:rPr>
          <w:rFonts w:ascii="Times New Roman" w:eastAsia="宋体" w:hAnsi="Times New Roman"/>
          <w:sz w:val="24"/>
          <w:szCs w:val="24"/>
        </w:rPr>
      </w:pPr>
    </w:p>
    <w:p w14:paraId="4B2949F8" w14:textId="1B30FBCC" w:rsidR="0011262F" w:rsidRDefault="00000000">
      <w:pPr>
        <w:pStyle w:val="a3"/>
        <w:keepNext/>
        <w:jc w:val="left"/>
        <w:rPr>
          <w:rFonts w:ascii="Times New Roman" w:eastAsia="宋体" w:hAnsi="Times New Roman"/>
          <w:sz w:val="24"/>
          <w:szCs w:val="24"/>
        </w:rPr>
      </w:pPr>
      <w:r>
        <w:rPr>
          <w:rFonts w:ascii="Times New Roman" w:eastAsia="宋体" w:hAnsi="Times New Roman"/>
          <w:sz w:val="24"/>
          <w:szCs w:val="24"/>
        </w:rPr>
        <w:br w:type="page"/>
      </w:r>
      <w:r w:rsidR="009F5CED">
        <w:rPr>
          <w:rFonts w:ascii="Times New Roman" w:eastAsia="宋体" w:hAnsi="Times New Roman"/>
          <w:noProof/>
          <w:sz w:val="24"/>
          <w:szCs w:val="24"/>
        </w:rPr>
        <w:lastRenderedPageBreak/>
        <w:drawing>
          <wp:inline distT="0" distB="0" distL="0" distR="0" wp14:anchorId="41388512" wp14:editId="6B8A4684">
            <wp:extent cx="4680000" cy="3449429"/>
            <wp:effectExtent l="0" t="0" r="6350" b="0"/>
            <wp:docPr id="1108241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82419" name="图片 11082419"/>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680000" cy="3449429"/>
                    </a:xfrm>
                    <a:prstGeom prst="rect">
                      <a:avLst/>
                    </a:prstGeom>
                  </pic:spPr>
                </pic:pic>
              </a:graphicData>
            </a:graphic>
          </wp:inline>
        </w:drawing>
      </w:r>
    </w:p>
    <w:p w14:paraId="0A0788F0" w14:textId="77777777" w:rsidR="0011262F" w:rsidRDefault="00000000">
      <w:pPr>
        <w:jc w:val="center"/>
        <w:rPr>
          <w:rFonts w:hint="eastAsia"/>
        </w:rPr>
      </w:pPr>
      <w:r>
        <w:rPr>
          <w:rFonts w:ascii="Times New Roman" w:eastAsia="宋体" w:hAnsi="Times New Roman"/>
          <w:b/>
          <w:bCs/>
          <w:sz w:val="24"/>
          <w:szCs w:val="24"/>
        </w:rPr>
        <w:t>Fig. S</w:t>
      </w:r>
      <w:r>
        <w:rPr>
          <w:rFonts w:ascii="Times New Roman" w:eastAsia="宋体" w:hAnsi="Times New Roman"/>
          <w:b/>
          <w:bCs/>
          <w:sz w:val="24"/>
          <w:szCs w:val="24"/>
        </w:rPr>
        <w:fldChar w:fldCharType="begin"/>
      </w:r>
      <w:r>
        <w:rPr>
          <w:rFonts w:ascii="Times New Roman" w:eastAsia="宋体" w:hAnsi="Times New Roman"/>
          <w:b/>
          <w:bCs/>
          <w:sz w:val="24"/>
          <w:szCs w:val="24"/>
        </w:rPr>
        <w:instrText xml:space="preserve"> SEQ Fig.S \* ARABIC </w:instrText>
      </w:r>
      <w:r>
        <w:rPr>
          <w:rFonts w:ascii="Times New Roman" w:eastAsia="宋体" w:hAnsi="Times New Roman"/>
          <w:b/>
          <w:bCs/>
          <w:sz w:val="24"/>
          <w:szCs w:val="24"/>
        </w:rPr>
        <w:fldChar w:fldCharType="separate"/>
      </w:r>
      <w:r>
        <w:rPr>
          <w:rFonts w:ascii="Times New Roman" w:eastAsia="宋体" w:hAnsi="Times New Roman"/>
          <w:b/>
          <w:bCs/>
          <w:sz w:val="24"/>
          <w:szCs w:val="24"/>
        </w:rPr>
        <w:t>7</w:t>
      </w:r>
      <w:r>
        <w:rPr>
          <w:rFonts w:ascii="Times New Roman" w:eastAsia="宋体" w:hAnsi="Times New Roman"/>
          <w:b/>
          <w:bCs/>
          <w:sz w:val="24"/>
          <w:szCs w:val="24"/>
        </w:rPr>
        <w:fldChar w:fldCharType="end"/>
      </w:r>
    </w:p>
    <w:p w14:paraId="5E1D0A7F" w14:textId="77777777" w:rsidR="0011262F" w:rsidRDefault="00000000">
      <w:pPr>
        <w:spacing w:line="480" w:lineRule="auto"/>
        <w:rPr>
          <w:rFonts w:ascii="Times New Roman" w:hAnsi="Times New Roman"/>
          <w:sz w:val="24"/>
          <w:szCs w:val="24"/>
        </w:rPr>
      </w:pPr>
      <w:r>
        <w:rPr>
          <w:rFonts w:ascii="Times New Roman" w:eastAsia="宋体" w:hAnsi="Times New Roman"/>
          <w:b/>
          <w:bCs/>
          <w:sz w:val="24"/>
          <w:szCs w:val="24"/>
        </w:rPr>
        <w:t>Fig. S</w:t>
      </w:r>
      <w:r>
        <w:rPr>
          <w:rFonts w:ascii="Times New Roman" w:eastAsia="宋体" w:hAnsi="Times New Roman"/>
          <w:b/>
          <w:bCs/>
          <w:sz w:val="24"/>
          <w:szCs w:val="24"/>
        </w:rPr>
        <w:fldChar w:fldCharType="begin"/>
      </w:r>
      <w:r>
        <w:rPr>
          <w:rFonts w:ascii="Times New Roman" w:eastAsia="宋体" w:hAnsi="Times New Roman"/>
          <w:b/>
          <w:bCs/>
          <w:sz w:val="24"/>
          <w:szCs w:val="24"/>
        </w:rPr>
        <w:instrText xml:space="preserve"> SEQ Fig.S \* ARABIC </w:instrText>
      </w:r>
      <w:r>
        <w:rPr>
          <w:rFonts w:ascii="Times New Roman" w:eastAsia="宋体" w:hAnsi="Times New Roman"/>
          <w:b/>
          <w:bCs/>
          <w:sz w:val="24"/>
          <w:szCs w:val="24"/>
        </w:rPr>
        <w:fldChar w:fldCharType="separate"/>
      </w:r>
      <w:r>
        <w:rPr>
          <w:rFonts w:ascii="Times New Roman" w:eastAsia="宋体" w:hAnsi="Times New Roman"/>
          <w:b/>
          <w:bCs/>
          <w:sz w:val="24"/>
          <w:szCs w:val="24"/>
        </w:rPr>
        <w:t>7</w:t>
      </w:r>
      <w:r>
        <w:rPr>
          <w:rFonts w:ascii="Times New Roman" w:eastAsia="宋体" w:hAnsi="Times New Roman"/>
          <w:b/>
          <w:bCs/>
          <w:sz w:val="24"/>
          <w:szCs w:val="24"/>
        </w:rPr>
        <w:fldChar w:fldCharType="end"/>
      </w:r>
      <w:r>
        <w:rPr>
          <w:rFonts w:ascii="Times New Roman" w:eastAsia="宋体" w:hAnsi="Times New Roman" w:hint="eastAsia"/>
          <w:b/>
          <w:bCs/>
          <w:sz w:val="24"/>
          <w:szCs w:val="24"/>
        </w:rPr>
        <w:t>.</w:t>
      </w:r>
      <w:r>
        <w:rPr>
          <w:rFonts w:ascii="Times New Roman" w:eastAsia="宋体" w:hAnsi="Times New Roman"/>
          <w:sz w:val="24"/>
          <w:szCs w:val="24"/>
        </w:rPr>
        <w:t xml:space="preserve"> (A) Steady-state kinetic analysis and (B) corresponding Lineweaver-Burk plots of nano-enzyme COF-</w:t>
      </w:r>
      <w:proofErr w:type="spellStart"/>
      <w:r>
        <w:rPr>
          <w:rFonts w:ascii="Times New Roman" w:eastAsia="宋体" w:hAnsi="Times New Roman"/>
          <w:sz w:val="24"/>
          <w:szCs w:val="24"/>
        </w:rPr>
        <w:t>AgNPs</w:t>
      </w:r>
      <w:proofErr w:type="spellEnd"/>
      <w:r>
        <w:rPr>
          <w:rFonts w:ascii="Times New Roman" w:eastAsia="宋体" w:hAnsi="Times New Roman"/>
          <w:sz w:val="24"/>
          <w:szCs w:val="24"/>
        </w:rPr>
        <w:t xml:space="preserve"> at different TMB concentrations; (C)</w:t>
      </w:r>
      <w:r>
        <w:rPr>
          <w:rFonts w:ascii="Times New Roman" w:hAnsi="Times New Roman"/>
          <w:sz w:val="24"/>
          <w:szCs w:val="24"/>
        </w:rPr>
        <w:t xml:space="preserve"> UV-</w:t>
      </w:r>
      <w:proofErr w:type="gramStart"/>
      <w:r>
        <w:rPr>
          <w:rFonts w:ascii="Times New Roman" w:hAnsi="Times New Roman"/>
          <w:sz w:val="24"/>
          <w:szCs w:val="24"/>
        </w:rPr>
        <w:t>Vis</w:t>
      </w:r>
      <w:proofErr w:type="gramEnd"/>
      <w:r>
        <w:rPr>
          <w:rFonts w:ascii="Times New Roman" w:hAnsi="Times New Roman"/>
          <w:sz w:val="24"/>
          <w:szCs w:val="24"/>
        </w:rPr>
        <w:t xml:space="preserve"> absorption spectra and actual photographs of the system treated with different quenchers (20 </w:t>
      </w:r>
      <w:proofErr w:type="spellStart"/>
      <w:r>
        <w:rPr>
          <w:rFonts w:ascii="Times New Roman" w:hAnsi="Times New Roman"/>
          <w:sz w:val="24"/>
          <w:szCs w:val="24"/>
        </w:rPr>
        <w:t>μM</w:t>
      </w:r>
      <w:proofErr w:type="spellEnd"/>
      <w:r>
        <w:rPr>
          <w:rFonts w:ascii="Times New Roman" w:hAnsi="Times New Roman" w:hint="eastAsia"/>
          <w:sz w:val="24"/>
          <w:szCs w:val="24"/>
        </w:rPr>
        <w:t xml:space="preserve"> </w:t>
      </w:r>
      <w:r>
        <w:rPr>
          <w:rFonts w:ascii="Times New Roman" w:hAnsi="Times New Roman"/>
          <w:sz w:val="24"/>
          <w:szCs w:val="24"/>
        </w:rPr>
        <w:t>Hg</w:t>
      </w:r>
      <w:r>
        <w:rPr>
          <w:rFonts w:ascii="Times New Roman" w:hAnsi="Times New Roman" w:hint="eastAsia"/>
          <w:sz w:val="24"/>
          <w:szCs w:val="24"/>
          <w:vertAlign w:val="superscript"/>
        </w:rPr>
        <w:t>2+</w:t>
      </w:r>
      <w:r>
        <w:rPr>
          <w:rFonts w:ascii="Times New Roman" w:hAnsi="Times New Roman"/>
          <w:sz w:val="24"/>
          <w:szCs w:val="24"/>
        </w:rPr>
        <w:t>).</w:t>
      </w:r>
    </w:p>
    <w:p w14:paraId="1B288387" w14:textId="77777777" w:rsidR="0011262F" w:rsidRDefault="0011262F">
      <w:pPr>
        <w:rPr>
          <w:rFonts w:hint="eastAsia"/>
        </w:rPr>
      </w:pPr>
    </w:p>
    <w:p w14:paraId="7C4AA044" w14:textId="0D9583D5" w:rsidR="0011262F" w:rsidRDefault="009F5CED">
      <w:pPr>
        <w:spacing w:line="480" w:lineRule="auto"/>
        <w:rPr>
          <w:rFonts w:ascii="Times New Roman" w:hAnsi="Times New Roman"/>
          <w:b/>
          <w:bCs/>
          <w:sz w:val="24"/>
          <w:szCs w:val="24"/>
        </w:rPr>
      </w:pPr>
      <w:r>
        <w:rPr>
          <w:rFonts w:ascii="Times New Roman" w:hAnsi="Times New Roman"/>
          <w:b/>
          <w:bCs/>
          <w:noProof/>
          <w:sz w:val="24"/>
          <w:szCs w:val="24"/>
        </w:rPr>
        <w:lastRenderedPageBreak/>
        <w:drawing>
          <wp:inline distT="0" distB="0" distL="0" distR="0" wp14:anchorId="3BEF4CEF" wp14:editId="1BFA4734">
            <wp:extent cx="4680000" cy="5499817"/>
            <wp:effectExtent l="0" t="0" r="6350" b="5715"/>
            <wp:docPr id="101278724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787244" name="图片 1012787244"/>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680000" cy="5499817"/>
                    </a:xfrm>
                    <a:prstGeom prst="rect">
                      <a:avLst/>
                    </a:prstGeom>
                  </pic:spPr>
                </pic:pic>
              </a:graphicData>
            </a:graphic>
          </wp:inline>
        </w:drawing>
      </w:r>
    </w:p>
    <w:p w14:paraId="55F342D1" w14:textId="77777777" w:rsidR="0011262F" w:rsidRDefault="00000000">
      <w:pPr>
        <w:spacing w:line="480" w:lineRule="auto"/>
        <w:jc w:val="center"/>
        <w:rPr>
          <w:rFonts w:ascii="Times New Roman" w:hAnsi="Times New Roman"/>
          <w:b/>
          <w:bCs/>
          <w:sz w:val="24"/>
          <w:szCs w:val="24"/>
        </w:rPr>
      </w:pPr>
      <w:r>
        <w:rPr>
          <w:rFonts w:ascii="Times New Roman" w:hAnsi="Times New Roman"/>
          <w:b/>
          <w:bCs/>
          <w:sz w:val="24"/>
          <w:szCs w:val="24"/>
        </w:rPr>
        <w:t>Fig.</w:t>
      </w:r>
      <w:r>
        <w:rPr>
          <w:rFonts w:ascii="Times New Roman" w:hAnsi="Times New Roman" w:hint="eastAsia"/>
          <w:b/>
          <w:bCs/>
          <w:sz w:val="24"/>
          <w:szCs w:val="24"/>
        </w:rPr>
        <w:t xml:space="preserve"> </w:t>
      </w:r>
      <w:r>
        <w:rPr>
          <w:rFonts w:ascii="Times New Roman" w:hAnsi="Times New Roman"/>
          <w:b/>
          <w:bCs/>
          <w:sz w:val="24"/>
          <w:szCs w:val="24"/>
        </w:rPr>
        <w:t>S</w:t>
      </w:r>
      <w:r>
        <w:rPr>
          <w:rFonts w:ascii="Times New Roman" w:hAnsi="Times New Roman"/>
          <w:b/>
          <w:bCs/>
          <w:sz w:val="24"/>
          <w:szCs w:val="24"/>
        </w:rPr>
        <w:fldChar w:fldCharType="begin"/>
      </w:r>
      <w:r>
        <w:rPr>
          <w:rFonts w:ascii="Times New Roman" w:hAnsi="Times New Roman"/>
          <w:b/>
          <w:bCs/>
          <w:sz w:val="24"/>
          <w:szCs w:val="24"/>
        </w:rPr>
        <w:instrText xml:space="preserve"> SEQ Fig.S \* ARABIC </w:instrText>
      </w:r>
      <w:r>
        <w:rPr>
          <w:rFonts w:ascii="Times New Roman" w:hAnsi="Times New Roman"/>
          <w:b/>
          <w:bCs/>
          <w:sz w:val="24"/>
          <w:szCs w:val="24"/>
        </w:rPr>
        <w:fldChar w:fldCharType="separate"/>
      </w:r>
      <w:r>
        <w:rPr>
          <w:rFonts w:ascii="Times New Roman" w:hAnsi="Times New Roman"/>
          <w:b/>
          <w:bCs/>
          <w:sz w:val="24"/>
          <w:szCs w:val="24"/>
        </w:rPr>
        <w:t>8</w:t>
      </w:r>
      <w:r>
        <w:rPr>
          <w:rFonts w:ascii="Times New Roman" w:hAnsi="Times New Roman"/>
          <w:b/>
          <w:bCs/>
          <w:sz w:val="24"/>
          <w:szCs w:val="24"/>
        </w:rPr>
        <w:fldChar w:fldCharType="end"/>
      </w:r>
    </w:p>
    <w:p w14:paraId="70573E57" w14:textId="77777777" w:rsidR="0011262F" w:rsidRDefault="00000000">
      <w:pPr>
        <w:spacing w:line="480" w:lineRule="auto"/>
        <w:rPr>
          <w:rFonts w:ascii="Times New Roman" w:hAnsi="Times New Roman"/>
          <w:sz w:val="24"/>
          <w:szCs w:val="24"/>
        </w:rPr>
      </w:pPr>
      <w:r>
        <w:rPr>
          <w:rFonts w:ascii="Times New Roman" w:hAnsi="Times New Roman"/>
          <w:b/>
          <w:bCs/>
          <w:sz w:val="24"/>
          <w:szCs w:val="24"/>
        </w:rPr>
        <w:t>Fig.</w:t>
      </w:r>
      <w:r>
        <w:rPr>
          <w:rFonts w:ascii="Times New Roman" w:hAnsi="Times New Roman" w:hint="eastAsia"/>
          <w:b/>
          <w:bCs/>
          <w:sz w:val="24"/>
          <w:szCs w:val="24"/>
        </w:rPr>
        <w:t xml:space="preserve"> </w:t>
      </w:r>
      <w:r>
        <w:rPr>
          <w:rFonts w:ascii="Times New Roman" w:hAnsi="Times New Roman"/>
          <w:b/>
          <w:bCs/>
          <w:sz w:val="24"/>
          <w:szCs w:val="24"/>
        </w:rPr>
        <w:t>S</w:t>
      </w:r>
      <w:r>
        <w:rPr>
          <w:rFonts w:ascii="Times New Roman" w:hAnsi="Times New Roman"/>
          <w:b/>
          <w:bCs/>
          <w:sz w:val="24"/>
          <w:szCs w:val="24"/>
        </w:rPr>
        <w:fldChar w:fldCharType="begin"/>
      </w:r>
      <w:r>
        <w:rPr>
          <w:rFonts w:ascii="Times New Roman" w:hAnsi="Times New Roman"/>
          <w:b/>
          <w:bCs/>
          <w:sz w:val="24"/>
          <w:szCs w:val="24"/>
        </w:rPr>
        <w:instrText xml:space="preserve"> SEQ Fig.S \* ARABIC </w:instrText>
      </w:r>
      <w:r>
        <w:rPr>
          <w:rFonts w:ascii="Times New Roman" w:hAnsi="Times New Roman"/>
          <w:b/>
          <w:bCs/>
          <w:sz w:val="24"/>
          <w:szCs w:val="24"/>
        </w:rPr>
        <w:fldChar w:fldCharType="separate"/>
      </w:r>
      <w:r>
        <w:rPr>
          <w:rFonts w:ascii="Times New Roman" w:hAnsi="Times New Roman"/>
          <w:b/>
          <w:bCs/>
          <w:sz w:val="24"/>
          <w:szCs w:val="24"/>
        </w:rPr>
        <w:t>8</w:t>
      </w:r>
      <w:r>
        <w:rPr>
          <w:rFonts w:ascii="Times New Roman" w:hAnsi="Times New Roman"/>
          <w:b/>
          <w:bCs/>
          <w:sz w:val="24"/>
          <w:szCs w:val="24"/>
        </w:rPr>
        <w:fldChar w:fldCharType="end"/>
      </w:r>
      <w:r>
        <w:rPr>
          <w:rFonts w:ascii="Times New Roman" w:hAnsi="Times New Roman" w:hint="eastAsia"/>
          <w:b/>
          <w:bCs/>
          <w:sz w:val="24"/>
          <w:szCs w:val="24"/>
        </w:rPr>
        <w:t>.</w:t>
      </w:r>
      <w:r>
        <w:rPr>
          <w:rFonts w:ascii="Times New Roman" w:eastAsia="宋体" w:hAnsi="Times New Roman"/>
          <w:sz w:val="24"/>
          <w:szCs w:val="24"/>
        </w:rPr>
        <w:t xml:space="preserve"> Optimization parameters </w:t>
      </w:r>
      <w:r>
        <w:rPr>
          <w:rFonts w:ascii="Times New Roman" w:eastAsia="宋体" w:hAnsi="Times New Roman" w:hint="eastAsia"/>
          <w:sz w:val="24"/>
          <w:szCs w:val="24"/>
        </w:rPr>
        <w:t>of</w:t>
      </w:r>
      <w:r>
        <w:rPr>
          <w:rFonts w:ascii="Times New Roman" w:eastAsia="宋体" w:hAnsi="Times New Roman"/>
          <w:sz w:val="24"/>
          <w:szCs w:val="24"/>
        </w:rPr>
        <w:t xml:space="preserve"> </w:t>
      </w:r>
      <w:r>
        <w:rPr>
          <w:rFonts w:ascii="Times New Roman" w:eastAsia="宋体" w:hAnsi="Times New Roman" w:hint="eastAsia"/>
          <w:sz w:val="24"/>
          <w:szCs w:val="24"/>
        </w:rPr>
        <w:t>nano-enzyme COF-</w:t>
      </w:r>
      <w:proofErr w:type="spellStart"/>
      <w:r>
        <w:rPr>
          <w:rFonts w:ascii="Times New Roman" w:eastAsia="宋体" w:hAnsi="Times New Roman" w:hint="eastAsia"/>
          <w:sz w:val="24"/>
          <w:szCs w:val="24"/>
        </w:rPr>
        <w:t>AgNPs</w:t>
      </w:r>
      <w:proofErr w:type="spellEnd"/>
      <w:r>
        <w:rPr>
          <w:rFonts w:ascii="Times New Roman" w:eastAsia="宋体" w:hAnsi="Times New Roman" w:hint="eastAsia"/>
          <w:sz w:val="24"/>
          <w:szCs w:val="24"/>
        </w:rPr>
        <w:t>.</w:t>
      </w:r>
      <w:r>
        <w:rPr>
          <w:rFonts w:ascii="Times New Roman" w:eastAsia="宋体" w:hAnsi="Times New Roman"/>
          <w:sz w:val="24"/>
          <w:szCs w:val="24"/>
        </w:rPr>
        <w:t xml:space="preserve"> (A)</w:t>
      </w:r>
      <w:r>
        <w:rPr>
          <w:rFonts w:ascii="Times New Roman" w:eastAsia="宋体" w:hAnsi="Times New Roman" w:hint="eastAsia"/>
          <w:sz w:val="24"/>
          <w:szCs w:val="24"/>
        </w:rPr>
        <w:t xml:space="preserve"> Optimizations of reaction temperature</w:t>
      </w:r>
      <w:r>
        <w:rPr>
          <w:rFonts w:ascii="Times New Roman" w:eastAsia="宋体" w:hAnsi="Times New Roman"/>
          <w:sz w:val="24"/>
          <w:szCs w:val="24"/>
        </w:rPr>
        <w:t>;</w:t>
      </w:r>
      <w:r>
        <w:rPr>
          <w:rFonts w:ascii="Times New Roman" w:eastAsia="宋体" w:hAnsi="Times New Roman" w:hint="eastAsia"/>
          <w:sz w:val="24"/>
          <w:szCs w:val="24"/>
        </w:rPr>
        <w:t xml:space="preserve"> </w:t>
      </w:r>
      <w:r>
        <w:rPr>
          <w:rFonts w:ascii="Times New Roman" w:eastAsia="宋体" w:hAnsi="Times New Roman"/>
          <w:sz w:val="24"/>
          <w:szCs w:val="24"/>
        </w:rPr>
        <w:t xml:space="preserve">(B) </w:t>
      </w:r>
      <w:r>
        <w:rPr>
          <w:rFonts w:ascii="Times New Roman" w:eastAsia="宋体" w:hAnsi="Times New Roman" w:hint="eastAsia"/>
          <w:sz w:val="24"/>
          <w:szCs w:val="24"/>
        </w:rPr>
        <w:t xml:space="preserve">Optimizations of reaction time; </w:t>
      </w:r>
      <w:r>
        <w:rPr>
          <w:rFonts w:ascii="Times New Roman" w:eastAsia="宋体" w:hAnsi="Times New Roman"/>
          <w:sz w:val="24"/>
          <w:szCs w:val="24"/>
        </w:rPr>
        <w:t>(C)</w:t>
      </w:r>
      <w:r>
        <w:rPr>
          <w:rFonts w:ascii="Times New Roman" w:eastAsia="宋体" w:hAnsi="Times New Roman" w:hint="eastAsia"/>
          <w:sz w:val="24"/>
          <w:szCs w:val="24"/>
        </w:rPr>
        <w:t xml:space="preserve"> Optimizations of concentration of the COF-</w:t>
      </w:r>
      <w:proofErr w:type="spellStart"/>
      <w:r>
        <w:rPr>
          <w:rFonts w:ascii="Times New Roman" w:eastAsia="宋体" w:hAnsi="Times New Roman" w:hint="eastAsia"/>
          <w:sz w:val="24"/>
          <w:szCs w:val="24"/>
        </w:rPr>
        <w:t>AgNPs</w:t>
      </w:r>
      <w:proofErr w:type="spellEnd"/>
      <w:r>
        <w:rPr>
          <w:rFonts w:ascii="Times New Roman" w:eastAsia="宋体" w:hAnsi="Times New Roman"/>
          <w:sz w:val="24"/>
          <w:szCs w:val="24"/>
        </w:rPr>
        <w:t>; (D)</w:t>
      </w:r>
      <w:r>
        <w:rPr>
          <w:rFonts w:ascii="Times New Roman" w:eastAsia="宋体" w:hAnsi="Times New Roman" w:hint="eastAsia"/>
          <w:sz w:val="24"/>
          <w:szCs w:val="24"/>
        </w:rPr>
        <w:t xml:space="preserve"> Optimizations of pH value;</w:t>
      </w:r>
      <w:r>
        <w:rPr>
          <w:rFonts w:ascii="Times New Roman" w:eastAsia="宋体" w:hAnsi="Times New Roman"/>
          <w:sz w:val="24"/>
          <w:szCs w:val="24"/>
        </w:rPr>
        <w:t xml:space="preserve"> (E)</w:t>
      </w:r>
      <w:r>
        <w:rPr>
          <w:rFonts w:ascii="Times New Roman" w:eastAsia="宋体" w:hAnsi="Times New Roman" w:hint="eastAsia"/>
          <w:sz w:val="24"/>
          <w:szCs w:val="24"/>
        </w:rPr>
        <w:t xml:space="preserve"> Optimizations of </w:t>
      </w:r>
      <w:r>
        <w:rPr>
          <w:rFonts w:ascii="Times New Roman" w:eastAsia="宋体" w:hAnsi="Times New Roman"/>
          <w:sz w:val="24"/>
          <w:szCs w:val="24"/>
        </w:rPr>
        <w:t>TMB</w:t>
      </w:r>
      <w:r>
        <w:rPr>
          <w:rFonts w:ascii="Times New Roman" w:eastAsia="宋体" w:hAnsi="Times New Roman" w:hint="eastAsia"/>
          <w:sz w:val="24"/>
          <w:szCs w:val="24"/>
        </w:rPr>
        <w:t xml:space="preserve"> concentration.</w:t>
      </w:r>
    </w:p>
    <w:p w14:paraId="5DFF7774" w14:textId="351E02EA" w:rsidR="0011262F" w:rsidRDefault="00000000">
      <w:pPr>
        <w:spacing w:line="480" w:lineRule="auto"/>
        <w:jc w:val="center"/>
        <w:rPr>
          <w:rFonts w:hint="eastAsia"/>
        </w:rPr>
      </w:pPr>
      <w:r>
        <w:rPr>
          <w:rFonts w:hint="eastAsia"/>
        </w:rPr>
        <w:br w:type="page"/>
      </w:r>
      <w:r w:rsidR="009F5CED">
        <w:rPr>
          <w:rFonts w:hint="eastAsia"/>
          <w:noProof/>
        </w:rPr>
        <w:lastRenderedPageBreak/>
        <w:drawing>
          <wp:inline distT="0" distB="0" distL="0" distR="0" wp14:anchorId="5B629842" wp14:editId="0D1FE754">
            <wp:extent cx="4680000" cy="3583530"/>
            <wp:effectExtent l="0" t="0" r="6350" b="0"/>
            <wp:docPr id="105303693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036935" name="图片 1053036935"/>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680000" cy="3583530"/>
                    </a:xfrm>
                    <a:prstGeom prst="rect">
                      <a:avLst/>
                    </a:prstGeom>
                  </pic:spPr>
                </pic:pic>
              </a:graphicData>
            </a:graphic>
          </wp:inline>
        </w:drawing>
      </w:r>
    </w:p>
    <w:p w14:paraId="2C96940E" w14:textId="77777777" w:rsidR="0011262F" w:rsidRDefault="00000000">
      <w:pPr>
        <w:spacing w:line="480" w:lineRule="auto"/>
        <w:jc w:val="center"/>
        <w:rPr>
          <w:rFonts w:hint="eastAsia"/>
        </w:rPr>
      </w:pPr>
      <w:r>
        <w:rPr>
          <w:rFonts w:ascii="Times New Roman" w:hAnsi="Times New Roman"/>
          <w:b/>
          <w:bCs/>
          <w:sz w:val="24"/>
          <w:szCs w:val="24"/>
        </w:rPr>
        <w:t>Fig.</w:t>
      </w:r>
      <w:r>
        <w:rPr>
          <w:rFonts w:ascii="Times New Roman" w:hAnsi="Times New Roman" w:hint="eastAsia"/>
          <w:b/>
          <w:bCs/>
          <w:sz w:val="24"/>
          <w:szCs w:val="24"/>
        </w:rPr>
        <w:t xml:space="preserve"> </w:t>
      </w:r>
      <w:r>
        <w:rPr>
          <w:rFonts w:ascii="Times New Roman" w:hAnsi="Times New Roman"/>
          <w:b/>
          <w:bCs/>
          <w:sz w:val="24"/>
          <w:szCs w:val="24"/>
        </w:rPr>
        <w:t>S</w:t>
      </w:r>
      <w:r>
        <w:rPr>
          <w:rFonts w:ascii="Times New Roman" w:hAnsi="Times New Roman"/>
          <w:b/>
          <w:bCs/>
          <w:sz w:val="24"/>
          <w:szCs w:val="24"/>
        </w:rPr>
        <w:fldChar w:fldCharType="begin"/>
      </w:r>
      <w:r>
        <w:rPr>
          <w:rFonts w:ascii="Times New Roman" w:hAnsi="Times New Roman"/>
          <w:b/>
          <w:bCs/>
          <w:sz w:val="24"/>
          <w:szCs w:val="24"/>
        </w:rPr>
        <w:instrText xml:space="preserve"> SEQ Fig.S \* ARABIC </w:instrText>
      </w:r>
      <w:r>
        <w:rPr>
          <w:rFonts w:ascii="Times New Roman" w:hAnsi="Times New Roman"/>
          <w:b/>
          <w:bCs/>
          <w:sz w:val="24"/>
          <w:szCs w:val="24"/>
        </w:rPr>
        <w:fldChar w:fldCharType="separate"/>
      </w:r>
      <w:r>
        <w:rPr>
          <w:rFonts w:ascii="Times New Roman" w:hAnsi="Times New Roman"/>
          <w:b/>
          <w:bCs/>
          <w:sz w:val="24"/>
          <w:szCs w:val="24"/>
        </w:rPr>
        <w:t>9</w:t>
      </w:r>
      <w:r>
        <w:rPr>
          <w:rFonts w:ascii="Times New Roman" w:hAnsi="Times New Roman"/>
          <w:b/>
          <w:bCs/>
          <w:sz w:val="24"/>
          <w:szCs w:val="24"/>
        </w:rPr>
        <w:fldChar w:fldCharType="end"/>
      </w:r>
    </w:p>
    <w:p w14:paraId="27BA9AAE" w14:textId="77777777" w:rsidR="0011262F" w:rsidRDefault="00000000">
      <w:pPr>
        <w:pStyle w:val="a3"/>
        <w:keepNext/>
        <w:spacing w:line="480" w:lineRule="auto"/>
        <w:rPr>
          <w:rFonts w:ascii="Times New Roman" w:eastAsia="宋体" w:hAnsi="Times New Roman"/>
          <w:sz w:val="24"/>
          <w:szCs w:val="24"/>
        </w:rPr>
      </w:pPr>
      <w:r>
        <w:rPr>
          <w:rFonts w:ascii="Times New Roman" w:hAnsi="Times New Roman"/>
          <w:b/>
          <w:bCs/>
          <w:sz w:val="24"/>
          <w:szCs w:val="24"/>
        </w:rPr>
        <w:t>Fig.</w:t>
      </w:r>
      <w:r>
        <w:rPr>
          <w:rFonts w:ascii="Times New Roman" w:hAnsi="Times New Roman" w:hint="eastAsia"/>
          <w:b/>
          <w:bCs/>
          <w:sz w:val="24"/>
          <w:szCs w:val="24"/>
        </w:rPr>
        <w:t xml:space="preserve"> </w:t>
      </w:r>
      <w:r>
        <w:rPr>
          <w:rFonts w:ascii="Times New Roman" w:hAnsi="Times New Roman"/>
          <w:b/>
          <w:bCs/>
          <w:sz w:val="24"/>
          <w:szCs w:val="24"/>
        </w:rPr>
        <w:t>S</w:t>
      </w:r>
      <w:r>
        <w:rPr>
          <w:rFonts w:ascii="Times New Roman" w:hAnsi="Times New Roman"/>
          <w:b/>
          <w:bCs/>
          <w:sz w:val="24"/>
          <w:szCs w:val="24"/>
        </w:rPr>
        <w:fldChar w:fldCharType="begin"/>
      </w:r>
      <w:r>
        <w:rPr>
          <w:rFonts w:ascii="Times New Roman" w:hAnsi="Times New Roman"/>
          <w:b/>
          <w:bCs/>
          <w:sz w:val="24"/>
          <w:szCs w:val="24"/>
        </w:rPr>
        <w:instrText xml:space="preserve"> SEQ Fig.S \* ARABIC </w:instrText>
      </w:r>
      <w:r>
        <w:rPr>
          <w:rFonts w:ascii="Times New Roman" w:hAnsi="Times New Roman"/>
          <w:b/>
          <w:bCs/>
          <w:sz w:val="24"/>
          <w:szCs w:val="24"/>
        </w:rPr>
        <w:fldChar w:fldCharType="separate"/>
      </w:r>
      <w:r>
        <w:rPr>
          <w:rFonts w:ascii="Times New Roman" w:hAnsi="Times New Roman"/>
          <w:b/>
          <w:bCs/>
          <w:sz w:val="24"/>
          <w:szCs w:val="24"/>
        </w:rPr>
        <w:t>9</w:t>
      </w:r>
      <w:r>
        <w:rPr>
          <w:rFonts w:ascii="Times New Roman" w:hAnsi="Times New Roman"/>
          <w:b/>
          <w:bCs/>
          <w:sz w:val="24"/>
          <w:szCs w:val="24"/>
        </w:rPr>
        <w:fldChar w:fldCharType="end"/>
      </w:r>
      <w:r>
        <w:rPr>
          <w:rFonts w:ascii="Times New Roman" w:hAnsi="Times New Roman" w:hint="eastAsia"/>
          <w:b/>
          <w:bCs/>
          <w:sz w:val="24"/>
          <w:szCs w:val="24"/>
        </w:rPr>
        <w:t xml:space="preserve">. </w:t>
      </w:r>
      <w:r>
        <w:rPr>
          <w:rFonts w:ascii="Times New Roman" w:eastAsia="宋体" w:hAnsi="Times New Roman"/>
          <w:sz w:val="24"/>
          <w:szCs w:val="24"/>
        </w:rPr>
        <w:t xml:space="preserve">(A) Performance metrics of </w:t>
      </w:r>
      <w:r>
        <w:rPr>
          <w:rFonts w:ascii="Times New Roman" w:eastAsia="宋体" w:hAnsi="Times New Roman" w:hint="eastAsia"/>
          <w:sz w:val="24"/>
          <w:szCs w:val="24"/>
        </w:rPr>
        <w:t>ML</w:t>
      </w:r>
      <w:r>
        <w:rPr>
          <w:rFonts w:ascii="Times New Roman" w:eastAsia="宋体" w:hAnsi="Times New Roman"/>
          <w:sz w:val="24"/>
          <w:szCs w:val="24"/>
        </w:rPr>
        <w:t xml:space="preserve"> models under different preprocessing methods; (B) Comparative performance of models with different feature extraction approaches; (C) Performance comparison among different machine learning models; (D) Evaluation of different data fusion strategies.</w:t>
      </w:r>
    </w:p>
    <w:p w14:paraId="3CCCC487" w14:textId="0D32F709" w:rsidR="0011262F" w:rsidRDefault="00000000">
      <w:pPr>
        <w:pStyle w:val="a3"/>
        <w:keepNext/>
        <w:spacing w:line="480" w:lineRule="auto"/>
        <w:jc w:val="center"/>
        <w:rPr>
          <w:rFonts w:hint="eastAsia"/>
        </w:rPr>
      </w:pPr>
      <w:r>
        <w:rPr>
          <w:rFonts w:hint="eastAsia"/>
        </w:rPr>
        <w:br w:type="page"/>
      </w:r>
      <w:r w:rsidR="009F5CED">
        <w:rPr>
          <w:rFonts w:hint="eastAsia"/>
          <w:noProof/>
        </w:rPr>
        <w:lastRenderedPageBreak/>
        <w:drawing>
          <wp:inline distT="0" distB="0" distL="0" distR="0" wp14:anchorId="773BDC33" wp14:editId="06873C45">
            <wp:extent cx="2880000" cy="2527742"/>
            <wp:effectExtent l="0" t="0" r="0" b="6350"/>
            <wp:docPr id="1080178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17811" name="图片 10801781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880000" cy="2527742"/>
                    </a:xfrm>
                    <a:prstGeom prst="rect">
                      <a:avLst/>
                    </a:prstGeom>
                  </pic:spPr>
                </pic:pic>
              </a:graphicData>
            </a:graphic>
          </wp:inline>
        </w:drawing>
      </w:r>
    </w:p>
    <w:p w14:paraId="169C352E" w14:textId="77777777" w:rsidR="0011262F" w:rsidRDefault="00000000">
      <w:pPr>
        <w:jc w:val="center"/>
        <w:rPr>
          <w:rFonts w:hint="eastAsia"/>
        </w:rPr>
      </w:pPr>
      <w:r>
        <w:rPr>
          <w:rFonts w:ascii="Times New Roman" w:hAnsi="Times New Roman"/>
          <w:b/>
          <w:bCs/>
          <w:sz w:val="24"/>
          <w:szCs w:val="24"/>
        </w:rPr>
        <w:t>Fig.</w:t>
      </w:r>
      <w:r>
        <w:rPr>
          <w:rFonts w:ascii="Times New Roman" w:hAnsi="Times New Roman" w:hint="eastAsia"/>
          <w:b/>
          <w:bCs/>
          <w:sz w:val="24"/>
          <w:szCs w:val="24"/>
        </w:rPr>
        <w:t xml:space="preserve"> </w:t>
      </w:r>
      <w:r>
        <w:rPr>
          <w:rFonts w:ascii="Times New Roman" w:hAnsi="Times New Roman"/>
          <w:b/>
          <w:bCs/>
          <w:sz w:val="24"/>
          <w:szCs w:val="24"/>
        </w:rPr>
        <w:t>S</w:t>
      </w:r>
      <w:r>
        <w:rPr>
          <w:rFonts w:ascii="Times New Roman" w:hAnsi="Times New Roman"/>
          <w:b/>
          <w:bCs/>
          <w:sz w:val="24"/>
          <w:szCs w:val="24"/>
        </w:rPr>
        <w:fldChar w:fldCharType="begin"/>
      </w:r>
      <w:r>
        <w:rPr>
          <w:rFonts w:ascii="Times New Roman" w:hAnsi="Times New Roman"/>
          <w:b/>
          <w:bCs/>
          <w:sz w:val="24"/>
          <w:szCs w:val="24"/>
        </w:rPr>
        <w:instrText xml:space="preserve"> SEQ Fig.S \* ARABIC </w:instrText>
      </w:r>
      <w:r>
        <w:rPr>
          <w:rFonts w:ascii="Times New Roman" w:hAnsi="Times New Roman"/>
          <w:b/>
          <w:bCs/>
          <w:sz w:val="24"/>
          <w:szCs w:val="24"/>
        </w:rPr>
        <w:fldChar w:fldCharType="separate"/>
      </w:r>
      <w:r>
        <w:rPr>
          <w:rFonts w:ascii="Times New Roman" w:hAnsi="Times New Roman"/>
          <w:b/>
          <w:bCs/>
          <w:sz w:val="24"/>
          <w:szCs w:val="24"/>
        </w:rPr>
        <w:t>10</w:t>
      </w:r>
      <w:r>
        <w:rPr>
          <w:rFonts w:ascii="Times New Roman" w:hAnsi="Times New Roman"/>
          <w:b/>
          <w:bCs/>
          <w:sz w:val="24"/>
          <w:szCs w:val="24"/>
        </w:rPr>
        <w:fldChar w:fldCharType="end"/>
      </w:r>
    </w:p>
    <w:p w14:paraId="01B0D9CA" w14:textId="77777777" w:rsidR="0011262F" w:rsidRDefault="00000000">
      <w:pPr>
        <w:pStyle w:val="a3"/>
        <w:spacing w:line="480" w:lineRule="auto"/>
        <w:rPr>
          <w:rFonts w:ascii="Times New Roman" w:hAnsi="Times New Roman"/>
          <w:sz w:val="24"/>
          <w:szCs w:val="24"/>
        </w:rPr>
      </w:pPr>
      <w:r>
        <w:rPr>
          <w:rFonts w:ascii="Times New Roman" w:hAnsi="Times New Roman"/>
          <w:b/>
          <w:bCs/>
          <w:sz w:val="24"/>
          <w:szCs w:val="24"/>
        </w:rPr>
        <w:t>Fig.</w:t>
      </w:r>
      <w:r>
        <w:rPr>
          <w:rFonts w:ascii="Times New Roman" w:hAnsi="Times New Roman" w:hint="eastAsia"/>
          <w:b/>
          <w:bCs/>
          <w:sz w:val="24"/>
          <w:szCs w:val="24"/>
        </w:rPr>
        <w:t xml:space="preserve"> </w:t>
      </w:r>
      <w:r>
        <w:rPr>
          <w:rFonts w:ascii="Times New Roman" w:hAnsi="Times New Roman"/>
          <w:b/>
          <w:bCs/>
          <w:sz w:val="24"/>
          <w:szCs w:val="24"/>
        </w:rPr>
        <w:t>S</w:t>
      </w:r>
      <w:r>
        <w:rPr>
          <w:rFonts w:ascii="Times New Roman" w:hAnsi="Times New Roman"/>
          <w:b/>
          <w:bCs/>
          <w:sz w:val="24"/>
          <w:szCs w:val="24"/>
        </w:rPr>
        <w:fldChar w:fldCharType="begin"/>
      </w:r>
      <w:r>
        <w:rPr>
          <w:rFonts w:ascii="Times New Roman" w:hAnsi="Times New Roman"/>
          <w:b/>
          <w:bCs/>
          <w:sz w:val="24"/>
          <w:szCs w:val="24"/>
        </w:rPr>
        <w:instrText xml:space="preserve"> SEQ Fig.S \* ARABIC </w:instrText>
      </w:r>
      <w:r>
        <w:rPr>
          <w:rFonts w:ascii="Times New Roman" w:hAnsi="Times New Roman"/>
          <w:b/>
          <w:bCs/>
          <w:sz w:val="24"/>
          <w:szCs w:val="24"/>
        </w:rPr>
        <w:fldChar w:fldCharType="separate"/>
      </w:r>
      <w:r>
        <w:rPr>
          <w:rFonts w:ascii="Times New Roman" w:hAnsi="Times New Roman"/>
          <w:b/>
          <w:bCs/>
          <w:sz w:val="24"/>
          <w:szCs w:val="24"/>
        </w:rPr>
        <w:t>10</w:t>
      </w:r>
      <w:r>
        <w:rPr>
          <w:rFonts w:ascii="Times New Roman" w:hAnsi="Times New Roman"/>
          <w:b/>
          <w:bCs/>
          <w:sz w:val="24"/>
          <w:szCs w:val="24"/>
        </w:rPr>
        <w:fldChar w:fldCharType="end"/>
      </w:r>
      <w:r>
        <w:rPr>
          <w:rFonts w:ascii="Times New Roman" w:hAnsi="Times New Roman" w:hint="eastAsia"/>
          <w:b/>
          <w:bCs/>
          <w:sz w:val="24"/>
          <w:szCs w:val="24"/>
        </w:rPr>
        <w:t xml:space="preserve">. </w:t>
      </w:r>
      <w:r>
        <w:rPr>
          <w:rFonts w:ascii="Times New Roman" w:eastAsia="宋体" w:hAnsi="Times New Roman"/>
          <w:sz w:val="24"/>
          <w:szCs w:val="24"/>
        </w:rPr>
        <w:t>SHAP value feature importance plot.</w:t>
      </w:r>
    </w:p>
    <w:p w14:paraId="789FD712" w14:textId="77777777" w:rsidR="0011262F" w:rsidRDefault="0011262F">
      <w:pPr>
        <w:pStyle w:val="a3"/>
        <w:spacing w:line="480" w:lineRule="auto"/>
        <w:rPr>
          <w:rFonts w:hint="eastAsia"/>
        </w:rPr>
      </w:pPr>
    </w:p>
    <w:p w14:paraId="270AD2B1" w14:textId="77777777" w:rsidR="0011262F" w:rsidRDefault="00000000">
      <w:pPr>
        <w:spacing w:line="480" w:lineRule="auto"/>
        <w:ind w:left="420" w:hangingChars="200" w:hanging="420"/>
        <w:rPr>
          <w:rFonts w:ascii="Times New Roman" w:hAnsi="Times New Roman"/>
          <w:b/>
          <w:bCs/>
          <w:sz w:val="24"/>
          <w:szCs w:val="24"/>
        </w:rPr>
      </w:pPr>
      <w:r>
        <w:rPr>
          <w:rFonts w:hint="eastAsia"/>
        </w:rPr>
        <w:br w:type="page"/>
      </w:r>
      <w:r>
        <w:rPr>
          <w:rFonts w:ascii="Times New Roman" w:hAnsi="Times New Roman"/>
          <w:b/>
          <w:bCs/>
          <w:sz w:val="24"/>
          <w:szCs w:val="24"/>
        </w:rPr>
        <w:lastRenderedPageBreak/>
        <w:t>References</w:t>
      </w:r>
    </w:p>
    <w:p w14:paraId="65419229" w14:textId="77777777" w:rsidR="0011262F" w:rsidRDefault="00000000">
      <w:pPr>
        <w:pStyle w:val="51"/>
        <w:spacing w:line="480" w:lineRule="auto"/>
        <w:ind w:left="480" w:hangingChars="200" w:hanging="480"/>
        <w:rPr>
          <w:rFonts w:ascii="Times New Roman" w:hAnsi="Times New Roman"/>
          <w:sz w:val="24"/>
          <w:szCs w:val="24"/>
        </w:rPr>
      </w:pPr>
      <w:r>
        <w:rPr>
          <w:rFonts w:ascii="Times New Roman" w:eastAsia="宋体" w:hAnsi="Times New Roman"/>
          <w:sz w:val="24"/>
          <w:szCs w:val="24"/>
        </w:rPr>
        <w:fldChar w:fldCharType="begin"/>
      </w:r>
      <w:r>
        <w:rPr>
          <w:rFonts w:ascii="Times New Roman" w:eastAsia="宋体" w:hAnsi="Times New Roman"/>
          <w:sz w:val="24"/>
          <w:szCs w:val="24"/>
        </w:rPr>
        <w:instrText xml:space="preserve"> ADDIN ZOTERO_BIBL {"uncited":[],"omitted":[],"custom":[]} CSL_BIBLIOGRAPHY </w:instrText>
      </w:r>
      <w:r>
        <w:rPr>
          <w:rFonts w:ascii="Times New Roman" w:eastAsia="宋体" w:hAnsi="Times New Roman"/>
          <w:sz w:val="24"/>
          <w:szCs w:val="24"/>
        </w:rPr>
        <w:fldChar w:fldCharType="separate"/>
      </w:r>
      <w:r>
        <w:rPr>
          <w:rFonts w:ascii="Times New Roman" w:hAnsi="Times New Roman"/>
          <w:sz w:val="24"/>
          <w:szCs w:val="24"/>
        </w:rPr>
        <w:t>1. Liao L</w:t>
      </w:r>
      <w:r>
        <w:rPr>
          <w:rFonts w:ascii="Times New Roman" w:hAnsi="Times New Roman" w:hint="eastAsia"/>
          <w:sz w:val="24"/>
          <w:szCs w:val="24"/>
        </w:rPr>
        <w:t>H</w:t>
      </w:r>
      <w:r>
        <w:rPr>
          <w:rFonts w:ascii="Times New Roman" w:hAnsi="Times New Roman"/>
          <w:sz w:val="24"/>
          <w:szCs w:val="24"/>
        </w:rPr>
        <w:t>, Tong S</w:t>
      </w:r>
      <w:r>
        <w:rPr>
          <w:rFonts w:ascii="Times New Roman" w:hAnsi="Times New Roman" w:hint="eastAsia"/>
          <w:sz w:val="24"/>
          <w:szCs w:val="24"/>
        </w:rPr>
        <w:t>M</w:t>
      </w:r>
      <w:r>
        <w:rPr>
          <w:rFonts w:ascii="Times New Roman" w:hAnsi="Times New Roman"/>
          <w:sz w:val="24"/>
          <w:szCs w:val="24"/>
        </w:rPr>
        <w:t>, Luo X</w:t>
      </w:r>
      <w:r>
        <w:rPr>
          <w:rFonts w:ascii="Times New Roman" w:hAnsi="Times New Roman" w:hint="eastAsia"/>
          <w:sz w:val="24"/>
          <w:szCs w:val="24"/>
        </w:rPr>
        <w:t>G</w:t>
      </w:r>
      <w:r>
        <w:rPr>
          <w:rFonts w:ascii="Times New Roman" w:hAnsi="Times New Roman"/>
          <w:sz w:val="24"/>
          <w:szCs w:val="24"/>
        </w:rPr>
        <w:t xml:space="preserve">, </w:t>
      </w:r>
      <w:r>
        <w:rPr>
          <w:rFonts w:ascii="Times New Roman" w:hAnsi="Times New Roman" w:hint="eastAsia"/>
          <w:sz w:val="24"/>
          <w:szCs w:val="24"/>
        </w:rPr>
        <w:t>Liu GY, Wu FS</w:t>
      </w:r>
      <w:r>
        <w:rPr>
          <w:rFonts w:ascii="Times New Roman" w:hAnsi="Times New Roman"/>
          <w:sz w:val="24"/>
          <w:szCs w:val="24"/>
        </w:rPr>
        <w:t xml:space="preserve"> (2022) Iron porphyrin-based porous organic polymer with high peroxidase-like activity as colorimetric sensor for glutathione and ascorbic acid assay. Microchim Acta 189:384. https://doi.org/10.1007/s00604-022-05471-7</w:t>
      </w:r>
    </w:p>
    <w:p w14:paraId="1F912223" w14:textId="77777777" w:rsidR="0011262F" w:rsidRDefault="00000000">
      <w:pPr>
        <w:pStyle w:val="51"/>
        <w:spacing w:line="480" w:lineRule="auto"/>
        <w:ind w:left="480" w:hangingChars="200" w:hanging="480"/>
        <w:rPr>
          <w:rFonts w:ascii="Times New Roman" w:hAnsi="Times New Roman"/>
          <w:sz w:val="24"/>
          <w:szCs w:val="24"/>
        </w:rPr>
      </w:pPr>
      <w:r>
        <w:rPr>
          <w:rFonts w:ascii="Times New Roman" w:hAnsi="Times New Roman"/>
          <w:sz w:val="24"/>
          <w:szCs w:val="24"/>
        </w:rPr>
        <w:t>2. Ortega-Liebana MC, Hueso JL, Fernandez-Pacheco R,</w:t>
      </w:r>
      <w:r>
        <w:rPr>
          <w:rFonts w:ascii="Times New Roman" w:hAnsi="Times New Roman" w:hint="eastAsia"/>
          <w:sz w:val="24"/>
          <w:szCs w:val="24"/>
        </w:rPr>
        <w:t xml:space="preserve"> Irusta S, Santamaria J</w:t>
      </w:r>
      <w:r>
        <w:rPr>
          <w:rFonts w:ascii="Times New Roman" w:hAnsi="Times New Roman"/>
          <w:sz w:val="24"/>
          <w:szCs w:val="24"/>
        </w:rPr>
        <w:t xml:space="preserve"> (2018) Luminescent mesoporous nanorods as photocatalytic enzyme-like peroxidase surrogates. Chem Sci 9:7766–7778. https://doi.org/10.1039/C8SC03112F</w:t>
      </w:r>
    </w:p>
    <w:p w14:paraId="1DD75A21" w14:textId="77777777" w:rsidR="0011262F" w:rsidRDefault="00000000">
      <w:pPr>
        <w:pStyle w:val="51"/>
        <w:spacing w:line="480" w:lineRule="auto"/>
        <w:ind w:left="480" w:hangingChars="200" w:hanging="480"/>
        <w:rPr>
          <w:rFonts w:ascii="Times New Roman" w:hAnsi="Times New Roman"/>
          <w:sz w:val="24"/>
          <w:szCs w:val="24"/>
        </w:rPr>
      </w:pPr>
      <w:r>
        <w:rPr>
          <w:rFonts w:ascii="Times New Roman" w:hAnsi="Times New Roman"/>
          <w:sz w:val="24"/>
          <w:szCs w:val="24"/>
        </w:rPr>
        <w:t>3. Zhang Z</w:t>
      </w:r>
      <w:r>
        <w:rPr>
          <w:rFonts w:ascii="Times New Roman" w:hAnsi="Times New Roman" w:hint="eastAsia"/>
          <w:sz w:val="24"/>
          <w:szCs w:val="24"/>
        </w:rPr>
        <w:t>Y</w:t>
      </w:r>
      <w:r>
        <w:rPr>
          <w:rFonts w:ascii="Times New Roman" w:hAnsi="Times New Roman"/>
          <w:sz w:val="24"/>
          <w:szCs w:val="24"/>
        </w:rPr>
        <w:t>, Liu D, Zhang X</w:t>
      </w:r>
      <w:r>
        <w:rPr>
          <w:rFonts w:ascii="Times New Roman" w:hAnsi="Times New Roman" w:hint="eastAsia"/>
          <w:sz w:val="24"/>
          <w:szCs w:val="24"/>
        </w:rPr>
        <w:t>S</w:t>
      </w:r>
      <w:r>
        <w:rPr>
          <w:rFonts w:ascii="Times New Roman" w:hAnsi="Times New Roman"/>
          <w:sz w:val="24"/>
          <w:szCs w:val="24"/>
        </w:rPr>
        <w:t xml:space="preserve">, </w:t>
      </w:r>
      <w:r>
        <w:rPr>
          <w:rFonts w:ascii="Times New Roman" w:hAnsi="Times New Roman" w:hint="eastAsia"/>
          <w:sz w:val="24"/>
          <w:szCs w:val="24"/>
        </w:rPr>
        <w:t>Luo XL, Lin WM, Li ZH, Huang JH</w:t>
      </w:r>
      <w:r>
        <w:rPr>
          <w:rFonts w:ascii="Times New Roman" w:hAnsi="Times New Roman"/>
          <w:sz w:val="24"/>
          <w:szCs w:val="24"/>
        </w:rPr>
        <w:t xml:space="preserve"> (2023) Silver nanoparticles deposited carbon microspheres nanozyme with enhanced peroxidase-like catalysis for colorimetric detection of Hg</w:t>
      </w:r>
      <w:r>
        <w:rPr>
          <w:rFonts w:ascii="Times New Roman" w:hAnsi="Times New Roman"/>
          <w:sz w:val="24"/>
          <w:szCs w:val="24"/>
          <w:vertAlign w:val="superscript"/>
        </w:rPr>
        <w:t>2+</w:t>
      </w:r>
      <w:r>
        <w:rPr>
          <w:rFonts w:ascii="Times New Roman" w:hAnsi="Times New Roman"/>
          <w:sz w:val="24"/>
          <w:szCs w:val="24"/>
        </w:rPr>
        <w:t xml:space="preserve"> in seafood. Microchim Acta 190:340. https://doi.org/10.1007/s00604-023-05921-w</w:t>
      </w:r>
    </w:p>
    <w:p w14:paraId="69A96D6A" w14:textId="77777777" w:rsidR="0011262F" w:rsidRDefault="00000000">
      <w:pPr>
        <w:pStyle w:val="51"/>
        <w:spacing w:line="480" w:lineRule="auto"/>
        <w:ind w:left="480" w:hangingChars="200" w:hanging="480"/>
        <w:rPr>
          <w:rFonts w:ascii="Times New Roman" w:hAnsi="Times New Roman"/>
          <w:sz w:val="24"/>
          <w:szCs w:val="24"/>
        </w:rPr>
      </w:pPr>
      <w:r>
        <w:rPr>
          <w:rFonts w:ascii="Times New Roman" w:hAnsi="Times New Roman"/>
          <w:sz w:val="24"/>
          <w:szCs w:val="24"/>
        </w:rPr>
        <w:t xml:space="preserve">4. Aqeel M, Sohaib A, Iqbal M, </w:t>
      </w:r>
      <w:r>
        <w:rPr>
          <w:rFonts w:ascii="Times New Roman" w:hAnsi="Times New Roman" w:hint="eastAsia"/>
          <w:sz w:val="24"/>
          <w:szCs w:val="24"/>
        </w:rPr>
        <w:t>Rehman HU, Rustam F</w:t>
      </w:r>
      <w:r>
        <w:rPr>
          <w:rFonts w:ascii="Times New Roman" w:hAnsi="Times New Roman"/>
          <w:sz w:val="24"/>
          <w:szCs w:val="24"/>
        </w:rPr>
        <w:t xml:space="preserve"> (2024) Hyperspectral identification of oil adulteration using machine learning techniques. Curr. Res Food Sci 8:100773. https://doi.org/10.1016/j.crfs.2024.100773</w:t>
      </w:r>
    </w:p>
    <w:p w14:paraId="23D77C03" w14:textId="77777777" w:rsidR="0011262F" w:rsidRDefault="00000000">
      <w:pPr>
        <w:pStyle w:val="51"/>
        <w:spacing w:line="480" w:lineRule="auto"/>
        <w:ind w:left="480" w:hangingChars="200" w:hanging="480"/>
        <w:rPr>
          <w:rFonts w:ascii="Times New Roman" w:hAnsi="Times New Roman"/>
          <w:sz w:val="24"/>
          <w:szCs w:val="24"/>
        </w:rPr>
      </w:pPr>
      <w:r>
        <w:rPr>
          <w:rFonts w:ascii="Times New Roman" w:hAnsi="Times New Roman"/>
          <w:sz w:val="24"/>
          <w:szCs w:val="24"/>
        </w:rPr>
        <w:t>5. Pu H</w:t>
      </w:r>
      <w:r>
        <w:rPr>
          <w:rFonts w:ascii="Times New Roman" w:hAnsi="Times New Roman" w:hint="eastAsia"/>
          <w:sz w:val="24"/>
          <w:szCs w:val="24"/>
        </w:rPr>
        <w:t>B</w:t>
      </w:r>
      <w:r>
        <w:rPr>
          <w:rFonts w:ascii="Times New Roman" w:hAnsi="Times New Roman"/>
          <w:sz w:val="24"/>
          <w:szCs w:val="24"/>
        </w:rPr>
        <w:t>, Yu J</w:t>
      </w:r>
      <w:r>
        <w:rPr>
          <w:rFonts w:ascii="Times New Roman" w:hAnsi="Times New Roman" w:hint="eastAsia"/>
          <w:sz w:val="24"/>
          <w:szCs w:val="24"/>
        </w:rPr>
        <w:t>X</w:t>
      </w:r>
      <w:r>
        <w:rPr>
          <w:rFonts w:ascii="Times New Roman" w:hAnsi="Times New Roman"/>
          <w:sz w:val="24"/>
          <w:szCs w:val="24"/>
        </w:rPr>
        <w:t xml:space="preserve">, Sun DW, </w:t>
      </w:r>
      <w:r>
        <w:rPr>
          <w:rFonts w:ascii="Times New Roman" w:hAnsi="Times New Roman" w:hint="eastAsia"/>
          <w:sz w:val="24"/>
          <w:szCs w:val="24"/>
        </w:rPr>
        <w:t>Wei QY, Wang Z</w:t>
      </w:r>
      <w:r>
        <w:rPr>
          <w:rFonts w:ascii="Times New Roman" w:hAnsi="Times New Roman"/>
          <w:sz w:val="24"/>
          <w:szCs w:val="24"/>
        </w:rPr>
        <w:t xml:space="preserve"> (2023) Feature construction methods for processing and analysing spectral images and their applications in food quality inspection. Trends Food Sci Technol 138:726–737. https://doi.org/10.1016/j.tifs.2023.06.036</w:t>
      </w:r>
    </w:p>
    <w:p w14:paraId="1CBD4646" w14:textId="77777777" w:rsidR="0011262F" w:rsidRDefault="00000000">
      <w:pPr>
        <w:pStyle w:val="51"/>
        <w:spacing w:line="480" w:lineRule="auto"/>
        <w:ind w:left="480" w:hangingChars="200" w:hanging="480"/>
        <w:rPr>
          <w:rFonts w:ascii="Times New Roman" w:hAnsi="Times New Roman"/>
          <w:sz w:val="24"/>
          <w:szCs w:val="24"/>
        </w:rPr>
      </w:pPr>
      <w:r>
        <w:rPr>
          <w:rFonts w:ascii="Times New Roman" w:hAnsi="Times New Roman"/>
          <w:sz w:val="24"/>
          <w:szCs w:val="24"/>
        </w:rPr>
        <w:t>6. Wang X</w:t>
      </w:r>
      <w:r>
        <w:rPr>
          <w:rFonts w:ascii="Times New Roman" w:hAnsi="Times New Roman" w:hint="eastAsia"/>
          <w:sz w:val="24"/>
          <w:szCs w:val="24"/>
        </w:rPr>
        <w:t>X</w:t>
      </w:r>
      <w:r>
        <w:rPr>
          <w:rFonts w:ascii="Times New Roman" w:hAnsi="Times New Roman"/>
          <w:sz w:val="24"/>
          <w:szCs w:val="24"/>
        </w:rPr>
        <w:t>, Bouzembrak Y, Lansink AO, Van Der Fels‐Klerx HJ (2022) Application of machine learning to the monitoring and prediction of food safety: A review. Comp Rev Food Sci Food Safe 21:416–434. https://doi.org/10.1111/1541-</w:t>
      </w:r>
      <w:r>
        <w:rPr>
          <w:rFonts w:ascii="Times New Roman" w:hAnsi="Times New Roman"/>
          <w:sz w:val="24"/>
          <w:szCs w:val="24"/>
        </w:rPr>
        <w:lastRenderedPageBreak/>
        <w:t>4337.12868</w:t>
      </w:r>
    </w:p>
    <w:p w14:paraId="243DB456" w14:textId="77777777" w:rsidR="0011262F" w:rsidRDefault="00000000">
      <w:pPr>
        <w:pStyle w:val="51"/>
        <w:spacing w:line="480" w:lineRule="auto"/>
        <w:ind w:left="480" w:hangingChars="200" w:hanging="480"/>
        <w:rPr>
          <w:rFonts w:ascii="Times New Roman" w:hAnsi="Times New Roman"/>
          <w:sz w:val="24"/>
          <w:szCs w:val="24"/>
        </w:rPr>
      </w:pPr>
      <w:r>
        <w:rPr>
          <w:rFonts w:ascii="Times New Roman" w:hAnsi="Times New Roman"/>
          <w:sz w:val="24"/>
          <w:szCs w:val="24"/>
        </w:rPr>
        <w:t>7. Tian C</w:t>
      </w:r>
      <w:r>
        <w:rPr>
          <w:rFonts w:ascii="Times New Roman" w:hAnsi="Times New Roman" w:hint="eastAsia"/>
          <w:sz w:val="24"/>
          <w:szCs w:val="24"/>
        </w:rPr>
        <w:t>Y</w:t>
      </w:r>
      <w:r>
        <w:rPr>
          <w:rFonts w:ascii="Times New Roman" w:hAnsi="Times New Roman"/>
          <w:sz w:val="24"/>
          <w:szCs w:val="24"/>
        </w:rPr>
        <w:t xml:space="preserve">, Lee Y, Song Y, </w:t>
      </w:r>
      <w:r>
        <w:rPr>
          <w:rFonts w:ascii="Times New Roman" w:hAnsi="Times New Roman" w:hint="eastAsia"/>
          <w:sz w:val="24"/>
          <w:szCs w:val="24"/>
        </w:rPr>
        <w:t>Elmasry M, Yoon M, Kim DH, Cho SY</w:t>
      </w:r>
      <w:r>
        <w:rPr>
          <w:rFonts w:ascii="Times New Roman" w:hAnsi="Times New Roman"/>
          <w:sz w:val="24"/>
          <w:szCs w:val="24"/>
        </w:rPr>
        <w:t xml:space="preserve"> (2024) Machine-Learning-Enhanced Fluorescent Nanosensor Based on Carbon Quantum Dots for Heavy Metal Detection. ACS Appl Nano Mater 7:5576–5586. https://doi.org/10.1021/acsanm.4c00359</w:t>
      </w:r>
    </w:p>
    <w:p w14:paraId="6E3C16F7" w14:textId="77777777" w:rsidR="0011262F" w:rsidRDefault="00000000">
      <w:pPr>
        <w:pStyle w:val="51"/>
        <w:spacing w:line="480" w:lineRule="auto"/>
        <w:ind w:left="480" w:hangingChars="200" w:hanging="480"/>
        <w:rPr>
          <w:rFonts w:ascii="Times New Roman" w:hAnsi="Times New Roman"/>
          <w:sz w:val="24"/>
          <w:szCs w:val="24"/>
        </w:rPr>
      </w:pPr>
      <w:r>
        <w:rPr>
          <w:rFonts w:ascii="Times New Roman" w:hAnsi="Times New Roman"/>
          <w:sz w:val="24"/>
          <w:szCs w:val="24"/>
        </w:rPr>
        <w:t>8. Sujon KM, Hassan R, Choi K, Samad MA (2025) Accuracy, precision, recall, f1-score, or MCC? empirical evidence from advanced statistics, ML, and XAI for evaluating business predictive models. J Big Data 12:268. https://doi.org/10.1186/s40537-025-01313-4</w:t>
      </w:r>
    </w:p>
    <w:p w14:paraId="1249E5C3" w14:textId="77777777" w:rsidR="0011262F" w:rsidRDefault="00000000">
      <w:pPr>
        <w:pStyle w:val="51"/>
        <w:spacing w:line="480" w:lineRule="auto"/>
        <w:ind w:left="480" w:hangingChars="200" w:hanging="480"/>
        <w:rPr>
          <w:rFonts w:ascii="Times New Roman" w:hAnsi="Times New Roman"/>
          <w:sz w:val="24"/>
          <w:szCs w:val="24"/>
        </w:rPr>
      </w:pPr>
      <w:r>
        <w:rPr>
          <w:rFonts w:ascii="Times New Roman" w:hAnsi="Times New Roman"/>
          <w:sz w:val="24"/>
          <w:szCs w:val="24"/>
        </w:rPr>
        <w:t>9. Zhang Y, Ju P, Sun L</w:t>
      </w:r>
      <w:r>
        <w:rPr>
          <w:rFonts w:ascii="Times New Roman" w:hAnsi="Times New Roman" w:hint="eastAsia"/>
          <w:sz w:val="24"/>
          <w:szCs w:val="24"/>
        </w:rPr>
        <w:t>P</w:t>
      </w:r>
      <w:r>
        <w:rPr>
          <w:rFonts w:ascii="Times New Roman" w:hAnsi="Times New Roman"/>
          <w:sz w:val="24"/>
          <w:szCs w:val="24"/>
        </w:rPr>
        <w:t xml:space="preserve">, </w:t>
      </w:r>
      <w:r>
        <w:rPr>
          <w:rFonts w:ascii="Times New Roman" w:hAnsi="Times New Roman" w:hint="eastAsia"/>
          <w:sz w:val="24"/>
          <w:szCs w:val="24"/>
        </w:rPr>
        <w:t>Wang Z, Zhai XF, Jiang FH, Sun CJ</w:t>
      </w:r>
      <w:r>
        <w:rPr>
          <w:rFonts w:ascii="Times New Roman" w:hAnsi="Times New Roman"/>
          <w:sz w:val="24"/>
          <w:szCs w:val="24"/>
        </w:rPr>
        <w:t xml:space="preserve"> (2020) Colorimetric determination of Hg</w:t>
      </w:r>
      <w:r>
        <w:rPr>
          <w:rFonts w:ascii="Times New Roman" w:hAnsi="Times New Roman"/>
          <w:sz w:val="24"/>
          <w:szCs w:val="24"/>
          <w:vertAlign w:val="superscript"/>
        </w:rPr>
        <w:t>2+</w:t>
      </w:r>
      <w:r>
        <w:rPr>
          <w:rFonts w:ascii="Times New Roman" w:hAnsi="Times New Roman"/>
          <w:sz w:val="24"/>
          <w:szCs w:val="24"/>
        </w:rPr>
        <w:t xml:space="preserve"> based on the mercury-stimulated oxidase mimetic activity of Ag</w:t>
      </w:r>
      <w:r>
        <w:rPr>
          <w:rFonts w:ascii="Times New Roman" w:hAnsi="Times New Roman"/>
          <w:sz w:val="24"/>
          <w:szCs w:val="24"/>
          <w:vertAlign w:val="subscript"/>
        </w:rPr>
        <w:t>3</w:t>
      </w:r>
      <w:r>
        <w:rPr>
          <w:rFonts w:ascii="Times New Roman" w:hAnsi="Times New Roman"/>
          <w:sz w:val="24"/>
          <w:szCs w:val="24"/>
        </w:rPr>
        <w:t>PO</w:t>
      </w:r>
      <w:r>
        <w:rPr>
          <w:rFonts w:ascii="Times New Roman" w:hAnsi="Times New Roman"/>
          <w:sz w:val="24"/>
          <w:szCs w:val="24"/>
          <w:vertAlign w:val="subscript"/>
        </w:rPr>
        <w:t xml:space="preserve">4 </w:t>
      </w:r>
      <w:r>
        <w:rPr>
          <w:rFonts w:ascii="Times New Roman" w:hAnsi="Times New Roman"/>
          <w:sz w:val="24"/>
          <w:szCs w:val="24"/>
        </w:rPr>
        <w:t>microcubes. Microchim Acta 187:422. https://doi.org/10.1007/s00604-020-04399-0</w:t>
      </w:r>
    </w:p>
    <w:p w14:paraId="38003033" w14:textId="77777777" w:rsidR="0011262F" w:rsidRDefault="00000000">
      <w:pPr>
        <w:pStyle w:val="51"/>
        <w:spacing w:line="480" w:lineRule="auto"/>
        <w:ind w:left="480" w:hangingChars="200" w:hanging="480"/>
        <w:rPr>
          <w:rFonts w:ascii="Times New Roman" w:hAnsi="Times New Roman"/>
          <w:sz w:val="24"/>
          <w:szCs w:val="24"/>
        </w:rPr>
      </w:pPr>
      <w:r>
        <w:rPr>
          <w:rFonts w:ascii="Times New Roman" w:hAnsi="Times New Roman"/>
          <w:sz w:val="24"/>
          <w:szCs w:val="24"/>
        </w:rPr>
        <w:t>10. Wang Y, Cheng C, Ma R</w:t>
      </w:r>
      <w:r>
        <w:rPr>
          <w:rFonts w:ascii="Times New Roman" w:hAnsi="Times New Roman" w:hint="eastAsia"/>
          <w:sz w:val="24"/>
          <w:szCs w:val="24"/>
        </w:rPr>
        <w:t>F</w:t>
      </w:r>
      <w:r>
        <w:rPr>
          <w:rFonts w:ascii="Times New Roman" w:hAnsi="Times New Roman"/>
          <w:sz w:val="24"/>
          <w:szCs w:val="24"/>
        </w:rPr>
        <w:t xml:space="preserve">, </w:t>
      </w:r>
      <w:r>
        <w:rPr>
          <w:rFonts w:ascii="Times New Roman" w:hAnsi="Times New Roman" w:hint="eastAsia"/>
          <w:sz w:val="24"/>
          <w:szCs w:val="24"/>
        </w:rPr>
        <w:t>Xu ZR, Ozaki Y</w:t>
      </w:r>
      <w:r>
        <w:rPr>
          <w:rFonts w:ascii="Times New Roman" w:hAnsi="Times New Roman"/>
          <w:sz w:val="24"/>
          <w:szCs w:val="24"/>
        </w:rPr>
        <w:t xml:space="preserve"> (2022) In situ SERS monitoring of intracellular H</w:t>
      </w:r>
      <w:r>
        <w:rPr>
          <w:rFonts w:ascii="Times New Roman" w:hAnsi="Times New Roman"/>
          <w:sz w:val="24"/>
          <w:szCs w:val="24"/>
          <w:vertAlign w:val="subscript"/>
        </w:rPr>
        <w:t>2</w:t>
      </w:r>
      <w:r>
        <w:rPr>
          <w:rFonts w:ascii="Times New Roman" w:hAnsi="Times New Roman"/>
          <w:sz w:val="24"/>
          <w:szCs w:val="24"/>
        </w:rPr>
        <w:t>O</w:t>
      </w:r>
      <w:r>
        <w:rPr>
          <w:rFonts w:ascii="Times New Roman" w:hAnsi="Times New Roman"/>
          <w:sz w:val="24"/>
          <w:szCs w:val="24"/>
          <w:vertAlign w:val="subscript"/>
        </w:rPr>
        <w:t>2</w:t>
      </w:r>
      <w:r>
        <w:rPr>
          <w:rFonts w:ascii="Times New Roman" w:hAnsi="Times New Roman"/>
          <w:sz w:val="24"/>
          <w:szCs w:val="24"/>
        </w:rPr>
        <w:t xml:space="preserve"> in single living cells based on label-free bifunctional Fe</w:t>
      </w:r>
      <w:r>
        <w:rPr>
          <w:rFonts w:ascii="Times New Roman" w:hAnsi="Times New Roman"/>
          <w:sz w:val="24"/>
          <w:szCs w:val="24"/>
          <w:vertAlign w:val="subscript"/>
        </w:rPr>
        <w:t>3</w:t>
      </w:r>
      <w:r>
        <w:rPr>
          <w:rFonts w:ascii="Times New Roman" w:hAnsi="Times New Roman"/>
          <w:sz w:val="24"/>
          <w:szCs w:val="24"/>
        </w:rPr>
        <w:t>O</w:t>
      </w:r>
      <w:r>
        <w:rPr>
          <w:rFonts w:ascii="Times New Roman" w:hAnsi="Times New Roman"/>
          <w:sz w:val="24"/>
          <w:szCs w:val="24"/>
          <w:vertAlign w:val="subscript"/>
        </w:rPr>
        <w:t>4</w:t>
      </w:r>
      <w:r>
        <w:rPr>
          <w:rFonts w:ascii="Times New Roman" w:hAnsi="Times New Roman"/>
          <w:sz w:val="24"/>
          <w:szCs w:val="24"/>
        </w:rPr>
        <w:t>@Ag nanoparticles. Analyst 147:1815–1823. https://doi.org/10.1039/D2AN00035K</w:t>
      </w:r>
    </w:p>
    <w:p w14:paraId="7A45DD81" w14:textId="77777777" w:rsidR="0011262F" w:rsidRDefault="00000000">
      <w:pPr>
        <w:pStyle w:val="51"/>
        <w:spacing w:line="480" w:lineRule="auto"/>
        <w:ind w:left="480" w:hangingChars="200" w:hanging="480"/>
        <w:rPr>
          <w:rFonts w:ascii="Times New Roman" w:hAnsi="Times New Roman"/>
          <w:sz w:val="24"/>
          <w:szCs w:val="24"/>
        </w:rPr>
      </w:pPr>
      <w:r>
        <w:rPr>
          <w:rFonts w:ascii="Times New Roman" w:hAnsi="Times New Roman"/>
          <w:sz w:val="24"/>
          <w:szCs w:val="24"/>
        </w:rPr>
        <w:t>11. Tang Y</w:t>
      </w:r>
      <w:r>
        <w:rPr>
          <w:rFonts w:ascii="Times New Roman" w:hAnsi="Times New Roman" w:hint="eastAsia"/>
          <w:sz w:val="24"/>
          <w:szCs w:val="24"/>
        </w:rPr>
        <w:t>L</w:t>
      </w:r>
      <w:r>
        <w:rPr>
          <w:rFonts w:ascii="Times New Roman" w:hAnsi="Times New Roman"/>
          <w:sz w:val="24"/>
          <w:szCs w:val="24"/>
        </w:rPr>
        <w:t>, Lv X, Gou W</w:t>
      </w:r>
      <w:r>
        <w:rPr>
          <w:rFonts w:ascii="Times New Roman" w:hAnsi="Times New Roman" w:hint="eastAsia"/>
          <w:sz w:val="24"/>
          <w:szCs w:val="24"/>
        </w:rPr>
        <w:t>X</w:t>
      </w:r>
      <w:r>
        <w:rPr>
          <w:rFonts w:ascii="Times New Roman" w:hAnsi="Times New Roman"/>
          <w:sz w:val="24"/>
          <w:szCs w:val="24"/>
        </w:rPr>
        <w:t xml:space="preserve">, </w:t>
      </w:r>
      <w:r>
        <w:rPr>
          <w:rFonts w:ascii="Times New Roman" w:hAnsi="Times New Roman" w:hint="eastAsia"/>
          <w:sz w:val="24"/>
          <w:szCs w:val="24"/>
        </w:rPr>
        <w:t>Zhou XM, Hao JK, Feng J, Qi YJ, Hu L, Yan ZQ</w:t>
      </w:r>
      <w:r>
        <w:rPr>
          <w:rFonts w:ascii="Times New Roman" w:hAnsi="Times New Roman"/>
          <w:sz w:val="24"/>
          <w:szCs w:val="24"/>
        </w:rPr>
        <w:t xml:space="preserve"> (2022) Ag nanozyme strengthened by folic acid: Superior peroxidase-mimicking activity and application for visual monitoring of dopamine. Anal Bioanal Chem 414:6611–6620. https://doi.org/10.1007/s00216-022-04222-0</w:t>
      </w:r>
    </w:p>
    <w:p w14:paraId="654F9AEB" w14:textId="77777777" w:rsidR="0011262F" w:rsidRDefault="00000000">
      <w:pPr>
        <w:pStyle w:val="51"/>
        <w:spacing w:line="480" w:lineRule="auto"/>
        <w:ind w:left="480" w:hangingChars="200" w:hanging="480"/>
        <w:rPr>
          <w:rFonts w:ascii="Times New Roman" w:hAnsi="Times New Roman"/>
          <w:sz w:val="24"/>
          <w:szCs w:val="24"/>
        </w:rPr>
      </w:pPr>
      <w:r>
        <w:rPr>
          <w:rFonts w:ascii="Times New Roman" w:hAnsi="Times New Roman"/>
          <w:sz w:val="24"/>
          <w:szCs w:val="24"/>
        </w:rPr>
        <w:t>12. Wang Z</w:t>
      </w:r>
      <w:r>
        <w:rPr>
          <w:rFonts w:ascii="Times New Roman" w:hAnsi="Times New Roman" w:hint="eastAsia"/>
          <w:sz w:val="24"/>
          <w:szCs w:val="24"/>
        </w:rPr>
        <w:t>Y</w:t>
      </w:r>
      <w:r>
        <w:rPr>
          <w:rFonts w:ascii="Times New Roman" w:hAnsi="Times New Roman"/>
          <w:sz w:val="24"/>
          <w:szCs w:val="24"/>
        </w:rPr>
        <w:t xml:space="preserve">, Wang D, Wang LC, </w:t>
      </w:r>
      <w:r>
        <w:rPr>
          <w:rFonts w:ascii="Times New Roman" w:hAnsi="Times New Roman" w:hint="eastAsia"/>
          <w:sz w:val="24"/>
          <w:szCs w:val="24"/>
        </w:rPr>
        <w:t xml:space="preserve">Chen HL, Li YY, Zheng WH, Shang JZ, Lu LM, Mao </w:t>
      </w:r>
      <w:r>
        <w:rPr>
          <w:rFonts w:ascii="Times New Roman" w:hAnsi="Times New Roman" w:hint="eastAsia"/>
          <w:sz w:val="24"/>
          <w:szCs w:val="24"/>
        </w:rPr>
        <w:lastRenderedPageBreak/>
        <w:t>GJ, Qiao YC, Wang H</w:t>
      </w:r>
      <w:r>
        <w:rPr>
          <w:rFonts w:ascii="Times New Roman" w:hAnsi="Times New Roman"/>
          <w:sz w:val="24"/>
          <w:szCs w:val="24"/>
        </w:rPr>
        <w:t xml:space="preserve"> (2025) Construction of covalent organic framework-loaded gold–silver composites with the catalysis enhanced by mercury: A turn-on colorimetric detection and removal strategy for mercury. Microchem J 215:114237. https://doi.org/10.1016/j.microc.2025.114237</w:t>
      </w:r>
    </w:p>
    <w:p w14:paraId="39F7095B" w14:textId="77777777" w:rsidR="0011262F" w:rsidRDefault="00000000">
      <w:pPr>
        <w:pStyle w:val="51"/>
        <w:spacing w:line="480" w:lineRule="auto"/>
        <w:ind w:left="480" w:hangingChars="200" w:hanging="480"/>
        <w:rPr>
          <w:rFonts w:ascii="Times New Roman" w:hAnsi="Times New Roman"/>
          <w:sz w:val="24"/>
          <w:szCs w:val="24"/>
        </w:rPr>
      </w:pPr>
      <w:r>
        <w:rPr>
          <w:rFonts w:ascii="Times New Roman" w:hAnsi="Times New Roman"/>
          <w:sz w:val="24"/>
          <w:szCs w:val="24"/>
        </w:rPr>
        <w:t>13. Xu W</w:t>
      </w:r>
      <w:r>
        <w:rPr>
          <w:rFonts w:ascii="Times New Roman" w:hAnsi="Times New Roman" w:hint="eastAsia"/>
          <w:sz w:val="24"/>
          <w:szCs w:val="24"/>
        </w:rPr>
        <w:t>Q</w:t>
      </w:r>
      <w:r>
        <w:rPr>
          <w:rFonts w:ascii="Times New Roman" w:hAnsi="Times New Roman"/>
          <w:sz w:val="24"/>
          <w:szCs w:val="24"/>
        </w:rPr>
        <w:t>, Jiao L, Yan H</w:t>
      </w:r>
      <w:r>
        <w:rPr>
          <w:rFonts w:ascii="Times New Roman" w:hAnsi="Times New Roman" w:hint="eastAsia"/>
          <w:sz w:val="24"/>
          <w:szCs w:val="24"/>
        </w:rPr>
        <w:t>Y</w:t>
      </w:r>
      <w:r>
        <w:rPr>
          <w:rFonts w:ascii="Times New Roman" w:hAnsi="Times New Roman"/>
          <w:sz w:val="24"/>
          <w:szCs w:val="24"/>
        </w:rPr>
        <w:t xml:space="preserve">, </w:t>
      </w:r>
      <w:r>
        <w:rPr>
          <w:rFonts w:ascii="Times New Roman" w:hAnsi="Times New Roman" w:hint="eastAsia"/>
          <w:sz w:val="24"/>
          <w:szCs w:val="24"/>
        </w:rPr>
        <w:t>Wu Y, Chen LJ, Gu WL, Du D, Lin YH, Zhu CZ</w:t>
      </w:r>
      <w:r>
        <w:rPr>
          <w:rFonts w:ascii="Times New Roman" w:hAnsi="Times New Roman"/>
          <w:sz w:val="24"/>
          <w:szCs w:val="24"/>
        </w:rPr>
        <w:t xml:space="preserve"> (2019) Glucose Oxidase-Integrated Metal-Organic Framework Hybrids as Biomimetic Cascade Nanozymes for Ultrasensitive Glucose Biosensing. ACS Appl Mater Interfaces 11:22096–22101. https://doi.org/10.1021/acsami.9b03004</w:t>
      </w:r>
    </w:p>
    <w:p w14:paraId="552EB5AF" w14:textId="77777777" w:rsidR="0011262F" w:rsidRDefault="00000000">
      <w:pPr>
        <w:pStyle w:val="51"/>
        <w:spacing w:line="480" w:lineRule="auto"/>
        <w:ind w:left="480" w:hangingChars="200" w:hanging="480"/>
        <w:rPr>
          <w:rFonts w:ascii="Times New Roman" w:hAnsi="Times New Roman"/>
          <w:sz w:val="24"/>
          <w:szCs w:val="24"/>
        </w:rPr>
      </w:pPr>
      <w:r>
        <w:rPr>
          <w:rFonts w:ascii="Times New Roman" w:hAnsi="Times New Roman"/>
          <w:sz w:val="24"/>
          <w:szCs w:val="24"/>
        </w:rPr>
        <w:t xml:space="preserve">14. Li Q, Wu F, Mao M, </w:t>
      </w:r>
      <w:r>
        <w:rPr>
          <w:rFonts w:ascii="Times New Roman" w:hAnsi="Times New Roman" w:hint="eastAsia"/>
          <w:sz w:val="24"/>
          <w:szCs w:val="24"/>
        </w:rPr>
        <w:t>Ji X, Wei LY, Li JY, Ma L</w:t>
      </w:r>
      <w:r>
        <w:rPr>
          <w:rFonts w:ascii="Times New Roman" w:hAnsi="Times New Roman"/>
          <w:sz w:val="24"/>
          <w:szCs w:val="24"/>
        </w:rPr>
        <w:t xml:space="preserve"> (2019) A dual-mode colorimetric sensor based on copper nanoparticles for the detection of mercury-(II) ions. Anal Methods 11:4014–4021. https://doi.org/10.1039/C9AY00843H</w:t>
      </w:r>
    </w:p>
    <w:p w14:paraId="7BFCDB4E" w14:textId="77777777" w:rsidR="0011262F" w:rsidRDefault="00000000">
      <w:pPr>
        <w:pStyle w:val="51"/>
        <w:spacing w:line="480" w:lineRule="auto"/>
        <w:ind w:left="480" w:hangingChars="200" w:hanging="480"/>
        <w:rPr>
          <w:rFonts w:ascii="Times New Roman" w:hAnsi="Times New Roman"/>
          <w:sz w:val="24"/>
          <w:szCs w:val="24"/>
        </w:rPr>
      </w:pPr>
      <w:r>
        <w:rPr>
          <w:rFonts w:ascii="Times New Roman" w:hAnsi="Times New Roman"/>
          <w:sz w:val="24"/>
          <w:szCs w:val="24"/>
        </w:rPr>
        <w:t>15. Wang Y</w:t>
      </w:r>
      <w:r>
        <w:rPr>
          <w:rFonts w:ascii="Times New Roman" w:hAnsi="Times New Roman" w:hint="eastAsia"/>
          <w:sz w:val="24"/>
          <w:szCs w:val="24"/>
        </w:rPr>
        <w:t>S</w:t>
      </w:r>
      <w:r>
        <w:rPr>
          <w:rFonts w:ascii="Times New Roman" w:hAnsi="Times New Roman"/>
          <w:sz w:val="24"/>
          <w:szCs w:val="24"/>
        </w:rPr>
        <w:t>, Cheng S</w:t>
      </w:r>
      <w:r>
        <w:rPr>
          <w:rFonts w:ascii="Times New Roman" w:hAnsi="Times New Roman" w:hint="eastAsia"/>
          <w:sz w:val="24"/>
          <w:szCs w:val="24"/>
        </w:rPr>
        <w:t>S</w:t>
      </w:r>
      <w:r>
        <w:rPr>
          <w:rFonts w:ascii="Times New Roman" w:hAnsi="Times New Roman"/>
          <w:sz w:val="24"/>
          <w:szCs w:val="24"/>
        </w:rPr>
        <w:t>, Liu M</w:t>
      </w:r>
      <w:r>
        <w:rPr>
          <w:rFonts w:ascii="Times New Roman" w:hAnsi="Times New Roman" w:hint="eastAsia"/>
          <w:sz w:val="24"/>
          <w:szCs w:val="24"/>
        </w:rPr>
        <w:t>L</w:t>
      </w:r>
      <w:r>
        <w:rPr>
          <w:rFonts w:ascii="Times New Roman" w:hAnsi="Times New Roman"/>
          <w:sz w:val="24"/>
          <w:szCs w:val="24"/>
        </w:rPr>
        <w:t xml:space="preserve">, </w:t>
      </w:r>
      <w:r>
        <w:rPr>
          <w:rFonts w:ascii="Times New Roman" w:hAnsi="Times New Roman" w:hint="eastAsia"/>
          <w:sz w:val="24"/>
          <w:szCs w:val="24"/>
        </w:rPr>
        <w:t>Liu J, Zhang ST, Hu WP</w:t>
      </w:r>
      <w:r>
        <w:rPr>
          <w:rFonts w:ascii="Times New Roman" w:hAnsi="Times New Roman"/>
          <w:sz w:val="24"/>
          <w:szCs w:val="24"/>
        </w:rPr>
        <w:t xml:space="preserve"> (2022) Generated Mercury(I) as a Peroxidase-like Activity Modulator via Stimulating the Expression of Active Sites of Silver Nanoparticles for Environmental Hg</w:t>
      </w:r>
      <w:r>
        <w:rPr>
          <w:rFonts w:ascii="Times New Roman" w:hAnsi="Times New Roman"/>
          <w:sz w:val="24"/>
          <w:szCs w:val="24"/>
          <w:vertAlign w:val="superscript"/>
        </w:rPr>
        <w:t>2+</w:t>
      </w:r>
      <w:r>
        <w:rPr>
          <w:rFonts w:ascii="Times New Roman" w:hAnsi="Times New Roman"/>
          <w:sz w:val="24"/>
          <w:szCs w:val="24"/>
        </w:rPr>
        <w:t xml:space="preserve"> Detection. ACS Appl Nano Mater 5:2048–2056. https://doi.org/10.1021/acsanm.1c03781</w:t>
      </w:r>
    </w:p>
    <w:p w14:paraId="2E762C48" w14:textId="77777777" w:rsidR="0011262F" w:rsidRDefault="00000000">
      <w:pPr>
        <w:pStyle w:val="51"/>
        <w:spacing w:line="480" w:lineRule="auto"/>
        <w:ind w:left="480" w:hangingChars="200" w:hanging="480"/>
        <w:rPr>
          <w:rFonts w:ascii="Times New Roman" w:hAnsi="Times New Roman"/>
          <w:sz w:val="24"/>
          <w:szCs w:val="24"/>
        </w:rPr>
      </w:pPr>
      <w:r>
        <w:rPr>
          <w:rFonts w:ascii="Times New Roman" w:hAnsi="Times New Roman"/>
          <w:sz w:val="24"/>
          <w:szCs w:val="24"/>
        </w:rPr>
        <w:t>16. Alula MT, Madingwane ML, Yan H</w:t>
      </w:r>
      <w:r>
        <w:rPr>
          <w:rFonts w:ascii="Times New Roman" w:hAnsi="Times New Roman" w:hint="eastAsia"/>
          <w:sz w:val="24"/>
          <w:szCs w:val="24"/>
        </w:rPr>
        <w:t>D</w:t>
      </w:r>
      <w:r>
        <w:rPr>
          <w:rFonts w:ascii="Times New Roman" w:hAnsi="Times New Roman"/>
          <w:sz w:val="24"/>
          <w:szCs w:val="24"/>
        </w:rPr>
        <w:t xml:space="preserve">, </w:t>
      </w:r>
      <w:r>
        <w:rPr>
          <w:rFonts w:ascii="Times New Roman" w:hAnsi="Times New Roman" w:hint="eastAsia"/>
          <w:sz w:val="24"/>
          <w:szCs w:val="24"/>
        </w:rPr>
        <w:t>Lemmens P, Zhe L, Etzkorn M</w:t>
      </w:r>
      <w:r>
        <w:rPr>
          <w:rFonts w:ascii="Times New Roman" w:hAnsi="Times New Roman"/>
          <w:sz w:val="24"/>
          <w:szCs w:val="24"/>
        </w:rPr>
        <w:t xml:space="preserve"> (2022) Biosynthesis of bifunctional silver nanoparticles for catalytic reduction of organic pollutants and optical monitoring of mercury (II) ions using their oxidase-mimic activity. Environ Sci Pollut Res</w:t>
      </w:r>
      <w:r>
        <w:rPr>
          <w:rFonts w:ascii="Times New Roman" w:hAnsi="Times New Roman" w:hint="eastAsia"/>
          <w:sz w:val="24"/>
          <w:szCs w:val="24"/>
        </w:rPr>
        <w:t xml:space="preserve"> </w:t>
      </w:r>
      <w:r>
        <w:rPr>
          <w:rFonts w:ascii="Times New Roman" w:hAnsi="Times New Roman"/>
          <w:sz w:val="24"/>
          <w:szCs w:val="24"/>
        </w:rPr>
        <w:t>29:81938–81953. https://doi.org/10.1007/s11356-022-21619-7</w:t>
      </w:r>
    </w:p>
    <w:p w14:paraId="068DA432" w14:textId="77777777" w:rsidR="0011262F" w:rsidRDefault="00000000">
      <w:pPr>
        <w:pStyle w:val="51"/>
        <w:spacing w:line="480" w:lineRule="auto"/>
        <w:ind w:left="480" w:hangingChars="200" w:hanging="480"/>
        <w:rPr>
          <w:rFonts w:ascii="Times New Roman" w:hAnsi="Times New Roman"/>
          <w:sz w:val="24"/>
          <w:szCs w:val="24"/>
        </w:rPr>
      </w:pPr>
      <w:r>
        <w:rPr>
          <w:rFonts w:ascii="Times New Roman" w:hAnsi="Times New Roman"/>
          <w:sz w:val="24"/>
          <w:szCs w:val="24"/>
        </w:rPr>
        <w:t xml:space="preserve">17. Zangeneh Kamali K, Pandikumar A, Jayabal S, </w:t>
      </w:r>
      <w:r>
        <w:rPr>
          <w:rFonts w:ascii="Times New Roman" w:hAnsi="Times New Roman" w:hint="eastAsia"/>
          <w:sz w:val="24"/>
          <w:szCs w:val="24"/>
        </w:rPr>
        <w:t>Ramaraj R, Lim HN, Ong BH, Bien CSD, Kee YY, Huang NM</w:t>
      </w:r>
      <w:r>
        <w:rPr>
          <w:rFonts w:ascii="Times New Roman" w:hAnsi="Times New Roman"/>
          <w:sz w:val="24"/>
          <w:szCs w:val="24"/>
        </w:rPr>
        <w:t xml:space="preserve"> (2016) Amalgamation based optical and colorimetric </w:t>
      </w:r>
      <w:r>
        <w:rPr>
          <w:rFonts w:ascii="Times New Roman" w:hAnsi="Times New Roman"/>
          <w:sz w:val="24"/>
          <w:szCs w:val="24"/>
        </w:rPr>
        <w:lastRenderedPageBreak/>
        <w:t>sensing of mercury(II) ions with silver@graphene oxide nanocomposite materials. Microchim Acta 183:369–377. https://doi.org/10.1007/s00604-015-1658-6</w:t>
      </w:r>
    </w:p>
    <w:p w14:paraId="02E0C412" w14:textId="77777777" w:rsidR="0011262F" w:rsidRDefault="00000000">
      <w:pPr>
        <w:spacing w:line="480" w:lineRule="auto"/>
        <w:ind w:left="480" w:hangingChars="200" w:hanging="480"/>
        <w:rPr>
          <w:rFonts w:ascii="Times New Roman" w:eastAsia="宋体" w:hAnsi="Times New Roman"/>
          <w:sz w:val="24"/>
          <w:szCs w:val="24"/>
        </w:rPr>
      </w:pPr>
      <w:r>
        <w:rPr>
          <w:rFonts w:ascii="Times New Roman" w:eastAsia="宋体" w:hAnsi="Times New Roman"/>
          <w:sz w:val="24"/>
          <w:szCs w:val="24"/>
        </w:rPr>
        <w:fldChar w:fldCharType="end"/>
      </w:r>
    </w:p>
    <w:sectPr w:rsidR="0011262F" w:rsidSect="005117F9">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29FC54" w14:textId="77777777" w:rsidR="00AF3BCA" w:rsidRDefault="00AF3BCA" w:rsidP="009F5CED">
      <w:pPr>
        <w:rPr>
          <w:rFonts w:hint="eastAsia"/>
        </w:rPr>
      </w:pPr>
      <w:r>
        <w:separator/>
      </w:r>
    </w:p>
  </w:endnote>
  <w:endnote w:type="continuationSeparator" w:id="0">
    <w:p w14:paraId="44F05ACC" w14:textId="77777777" w:rsidR="00AF3BCA" w:rsidRDefault="00AF3BCA" w:rsidP="009F5CED">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3376F5" w14:textId="77777777" w:rsidR="00AF3BCA" w:rsidRDefault="00AF3BCA" w:rsidP="009F5CED">
      <w:pPr>
        <w:rPr>
          <w:rFonts w:hint="eastAsia"/>
        </w:rPr>
      </w:pPr>
      <w:r>
        <w:separator/>
      </w:r>
    </w:p>
  </w:footnote>
  <w:footnote w:type="continuationSeparator" w:id="0">
    <w:p w14:paraId="6C94280A" w14:textId="77777777" w:rsidR="00AF3BCA" w:rsidRDefault="00AF3BCA" w:rsidP="009F5CED">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62D6"/>
    <w:rsid w:val="0000314F"/>
    <w:rsid w:val="000058A9"/>
    <w:rsid w:val="00021952"/>
    <w:rsid w:val="00024D26"/>
    <w:rsid w:val="000430A5"/>
    <w:rsid w:val="00043E94"/>
    <w:rsid w:val="00045384"/>
    <w:rsid w:val="000467C5"/>
    <w:rsid w:val="00052808"/>
    <w:rsid w:val="00053416"/>
    <w:rsid w:val="0006761F"/>
    <w:rsid w:val="00077283"/>
    <w:rsid w:val="000801CC"/>
    <w:rsid w:val="00080EE6"/>
    <w:rsid w:val="00086CD0"/>
    <w:rsid w:val="000924C8"/>
    <w:rsid w:val="00093E4F"/>
    <w:rsid w:val="000963E1"/>
    <w:rsid w:val="000968BA"/>
    <w:rsid w:val="000A24D1"/>
    <w:rsid w:val="000A353E"/>
    <w:rsid w:val="000A43CE"/>
    <w:rsid w:val="000B008C"/>
    <w:rsid w:val="000B38A5"/>
    <w:rsid w:val="000B3AE9"/>
    <w:rsid w:val="000C48BD"/>
    <w:rsid w:val="000C4D8D"/>
    <w:rsid w:val="000C76CA"/>
    <w:rsid w:val="000D764D"/>
    <w:rsid w:val="000D781D"/>
    <w:rsid w:val="000D7971"/>
    <w:rsid w:val="000E5B40"/>
    <w:rsid w:val="000F26AA"/>
    <w:rsid w:val="000F6E4E"/>
    <w:rsid w:val="00100E4B"/>
    <w:rsid w:val="00111C30"/>
    <w:rsid w:val="0011262F"/>
    <w:rsid w:val="00115F5D"/>
    <w:rsid w:val="00122F93"/>
    <w:rsid w:val="001246C6"/>
    <w:rsid w:val="00126A93"/>
    <w:rsid w:val="00126E08"/>
    <w:rsid w:val="00130347"/>
    <w:rsid w:val="00134D30"/>
    <w:rsid w:val="00136F99"/>
    <w:rsid w:val="00141D3D"/>
    <w:rsid w:val="001440C2"/>
    <w:rsid w:val="00146C48"/>
    <w:rsid w:val="00147BBA"/>
    <w:rsid w:val="00152495"/>
    <w:rsid w:val="0015313F"/>
    <w:rsid w:val="0016095C"/>
    <w:rsid w:val="001616B5"/>
    <w:rsid w:val="0016346D"/>
    <w:rsid w:val="00165B0B"/>
    <w:rsid w:val="0017278D"/>
    <w:rsid w:val="00173694"/>
    <w:rsid w:val="00186F8C"/>
    <w:rsid w:val="001923E8"/>
    <w:rsid w:val="00192BAD"/>
    <w:rsid w:val="00193DBA"/>
    <w:rsid w:val="00194BEA"/>
    <w:rsid w:val="0019565B"/>
    <w:rsid w:val="001957D8"/>
    <w:rsid w:val="00196B3A"/>
    <w:rsid w:val="00197757"/>
    <w:rsid w:val="001A0F24"/>
    <w:rsid w:val="001A3A38"/>
    <w:rsid w:val="001A6198"/>
    <w:rsid w:val="001A669A"/>
    <w:rsid w:val="001B0D88"/>
    <w:rsid w:val="001C417E"/>
    <w:rsid w:val="001E2386"/>
    <w:rsid w:val="001E3173"/>
    <w:rsid w:val="001E45CC"/>
    <w:rsid w:val="001E4EB2"/>
    <w:rsid w:val="001E5AC3"/>
    <w:rsid w:val="001E6CA1"/>
    <w:rsid w:val="001E7800"/>
    <w:rsid w:val="001F04BB"/>
    <w:rsid w:val="001F1987"/>
    <w:rsid w:val="001F3B7F"/>
    <w:rsid w:val="002011BE"/>
    <w:rsid w:val="002061BA"/>
    <w:rsid w:val="002115DA"/>
    <w:rsid w:val="00215B16"/>
    <w:rsid w:val="00216DC4"/>
    <w:rsid w:val="002216B4"/>
    <w:rsid w:val="00224FFD"/>
    <w:rsid w:val="002303CD"/>
    <w:rsid w:val="0023174B"/>
    <w:rsid w:val="00231A38"/>
    <w:rsid w:val="0023353B"/>
    <w:rsid w:val="00234712"/>
    <w:rsid w:val="002360DE"/>
    <w:rsid w:val="002369F0"/>
    <w:rsid w:val="00237C71"/>
    <w:rsid w:val="00242836"/>
    <w:rsid w:val="00243D0C"/>
    <w:rsid w:val="00260AA4"/>
    <w:rsid w:val="0026485A"/>
    <w:rsid w:val="002702BA"/>
    <w:rsid w:val="002736DA"/>
    <w:rsid w:val="0028115B"/>
    <w:rsid w:val="002815D5"/>
    <w:rsid w:val="00290ECF"/>
    <w:rsid w:val="00290F10"/>
    <w:rsid w:val="00292A4F"/>
    <w:rsid w:val="00292B12"/>
    <w:rsid w:val="002A5FE9"/>
    <w:rsid w:val="002B3755"/>
    <w:rsid w:val="002B79B8"/>
    <w:rsid w:val="002C572A"/>
    <w:rsid w:val="002C78ED"/>
    <w:rsid w:val="002D0B04"/>
    <w:rsid w:val="002D357B"/>
    <w:rsid w:val="002D386E"/>
    <w:rsid w:val="002D6037"/>
    <w:rsid w:val="002D6D2A"/>
    <w:rsid w:val="002E0716"/>
    <w:rsid w:val="002E12F0"/>
    <w:rsid w:val="002E1A85"/>
    <w:rsid w:val="002E202D"/>
    <w:rsid w:val="002E34F5"/>
    <w:rsid w:val="002E3FB9"/>
    <w:rsid w:val="002E659D"/>
    <w:rsid w:val="002E6A60"/>
    <w:rsid w:val="002F1E7D"/>
    <w:rsid w:val="00302274"/>
    <w:rsid w:val="003043AF"/>
    <w:rsid w:val="00304654"/>
    <w:rsid w:val="003172F2"/>
    <w:rsid w:val="0031734A"/>
    <w:rsid w:val="003253BC"/>
    <w:rsid w:val="00341CC9"/>
    <w:rsid w:val="00346E3E"/>
    <w:rsid w:val="00364D62"/>
    <w:rsid w:val="00370F9B"/>
    <w:rsid w:val="003841DB"/>
    <w:rsid w:val="00386905"/>
    <w:rsid w:val="003A009E"/>
    <w:rsid w:val="003A267C"/>
    <w:rsid w:val="003A3FC5"/>
    <w:rsid w:val="003B7138"/>
    <w:rsid w:val="003C51B0"/>
    <w:rsid w:val="003C55B8"/>
    <w:rsid w:val="003C6B28"/>
    <w:rsid w:val="003D55F5"/>
    <w:rsid w:val="003E600B"/>
    <w:rsid w:val="00404C61"/>
    <w:rsid w:val="00404F8F"/>
    <w:rsid w:val="0041232E"/>
    <w:rsid w:val="004126D7"/>
    <w:rsid w:val="00412F6A"/>
    <w:rsid w:val="004167B0"/>
    <w:rsid w:val="00430F3C"/>
    <w:rsid w:val="00431349"/>
    <w:rsid w:val="00432D43"/>
    <w:rsid w:val="004364D5"/>
    <w:rsid w:val="00440CBA"/>
    <w:rsid w:val="00441301"/>
    <w:rsid w:val="00442787"/>
    <w:rsid w:val="004442C1"/>
    <w:rsid w:val="00444382"/>
    <w:rsid w:val="004519BB"/>
    <w:rsid w:val="00462D45"/>
    <w:rsid w:val="00464D39"/>
    <w:rsid w:val="00467D7D"/>
    <w:rsid w:val="00483309"/>
    <w:rsid w:val="00485BBD"/>
    <w:rsid w:val="00485BCF"/>
    <w:rsid w:val="00490050"/>
    <w:rsid w:val="0049256A"/>
    <w:rsid w:val="00492A8F"/>
    <w:rsid w:val="00492DB9"/>
    <w:rsid w:val="004A152D"/>
    <w:rsid w:val="004A4324"/>
    <w:rsid w:val="004A4DE5"/>
    <w:rsid w:val="004A7A85"/>
    <w:rsid w:val="004B773F"/>
    <w:rsid w:val="004B78E7"/>
    <w:rsid w:val="004C0FEE"/>
    <w:rsid w:val="004C3067"/>
    <w:rsid w:val="004C59E9"/>
    <w:rsid w:val="004C6A16"/>
    <w:rsid w:val="004D73FB"/>
    <w:rsid w:val="004E22A9"/>
    <w:rsid w:val="004E6ABE"/>
    <w:rsid w:val="004F0246"/>
    <w:rsid w:val="004F406A"/>
    <w:rsid w:val="004F4C8F"/>
    <w:rsid w:val="004F67C0"/>
    <w:rsid w:val="004F7128"/>
    <w:rsid w:val="005117F9"/>
    <w:rsid w:val="00511B9D"/>
    <w:rsid w:val="00514E95"/>
    <w:rsid w:val="005162A6"/>
    <w:rsid w:val="00521F12"/>
    <w:rsid w:val="005332CF"/>
    <w:rsid w:val="005356C0"/>
    <w:rsid w:val="005359A5"/>
    <w:rsid w:val="00536DCC"/>
    <w:rsid w:val="005409B1"/>
    <w:rsid w:val="00542018"/>
    <w:rsid w:val="00545FA6"/>
    <w:rsid w:val="005510B7"/>
    <w:rsid w:val="00553394"/>
    <w:rsid w:val="005605A1"/>
    <w:rsid w:val="00563DCC"/>
    <w:rsid w:val="0056595A"/>
    <w:rsid w:val="005659EB"/>
    <w:rsid w:val="00570884"/>
    <w:rsid w:val="005752C7"/>
    <w:rsid w:val="00576FDB"/>
    <w:rsid w:val="005772C5"/>
    <w:rsid w:val="00580C13"/>
    <w:rsid w:val="00582288"/>
    <w:rsid w:val="00596CA5"/>
    <w:rsid w:val="005974CF"/>
    <w:rsid w:val="005A3193"/>
    <w:rsid w:val="005A7EB7"/>
    <w:rsid w:val="005B78DA"/>
    <w:rsid w:val="005B7CA0"/>
    <w:rsid w:val="005C07E6"/>
    <w:rsid w:val="005C199E"/>
    <w:rsid w:val="005C5110"/>
    <w:rsid w:val="005D1D68"/>
    <w:rsid w:val="005E22C6"/>
    <w:rsid w:val="005E2E1D"/>
    <w:rsid w:val="005E5D80"/>
    <w:rsid w:val="005E613D"/>
    <w:rsid w:val="005E6CCA"/>
    <w:rsid w:val="005E743A"/>
    <w:rsid w:val="005F3950"/>
    <w:rsid w:val="00606C25"/>
    <w:rsid w:val="00616730"/>
    <w:rsid w:val="006177D3"/>
    <w:rsid w:val="00620BF3"/>
    <w:rsid w:val="00622302"/>
    <w:rsid w:val="00623D8B"/>
    <w:rsid w:val="006275E7"/>
    <w:rsid w:val="0063162A"/>
    <w:rsid w:val="0063621D"/>
    <w:rsid w:val="0064018B"/>
    <w:rsid w:val="00644734"/>
    <w:rsid w:val="00647C25"/>
    <w:rsid w:val="00651FA8"/>
    <w:rsid w:val="0065452D"/>
    <w:rsid w:val="006632C2"/>
    <w:rsid w:val="0067098C"/>
    <w:rsid w:val="00670BAA"/>
    <w:rsid w:val="00675EBA"/>
    <w:rsid w:val="006809CF"/>
    <w:rsid w:val="00694AB8"/>
    <w:rsid w:val="006A0AC3"/>
    <w:rsid w:val="006A1293"/>
    <w:rsid w:val="006A140A"/>
    <w:rsid w:val="006A45C2"/>
    <w:rsid w:val="006B51B7"/>
    <w:rsid w:val="006B5E5D"/>
    <w:rsid w:val="006B7357"/>
    <w:rsid w:val="006C06BE"/>
    <w:rsid w:val="006D05B0"/>
    <w:rsid w:val="006D563C"/>
    <w:rsid w:val="006D5B12"/>
    <w:rsid w:val="006F2D3B"/>
    <w:rsid w:val="006F3D30"/>
    <w:rsid w:val="00701A44"/>
    <w:rsid w:val="0070392C"/>
    <w:rsid w:val="00704226"/>
    <w:rsid w:val="00710426"/>
    <w:rsid w:val="0071169E"/>
    <w:rsid w:val="007161DF"/>
    <w:rsid w:val="00717310"/>
    <w:rsid w:val="00717761"/>
    <w:rsid w:val="00717E0B"/>
    <w:rsid w:val="00717FF6"/>
    <w:rsid w:val="00720483"/>
    <w:rsid w:val="00720E09"/>
    <w:rsid w:val="00722751"/>
    <w:rsid w:val="00722A43"/>
    <w:rsid w:val="007356B7"/>
    <w:rsid w:val="00754F43"/>
    <w:rsid w:val="0075604C"/>
    <w:rsid w:val="00756F37"/>
    <w:rsid w:val="00760C5B"/>
    <w:rsid w:val="00761F53"/>
    <w:rsid w:val="007620FE"/>
    <w:rsid w:val="007719AE"/>
    <w:rsid w:val="00776A12"/>
    <w:rsid w:val="00777161"/>
    <w:rsid w:val="00780DD0"/>
    <w:rsid w:val="00786271"/>
    <w:rsid w:val="0079000F"/>
    <w:rsid w:val="0079149B"/>
    <w:rsid w:val="007936DB"/>
    <w:rsid w:val="007A22CE"/>
    <w:rsid w:val="007A3A73"/>
    <w:rsid w:val="007A699D"/>
    <w:rsid w:val="007A6CF7"/>
    <w:rsid w:val="007B6FF1"/>
    <w:rsid w:val="007C50EF"/>
    <w:rsid w:val="007C6EBE"/>
    <w:rsid w:val="007E17A3"/>
    <w:rsid w:val="007E4F29"/>
    <w:rsid w:val="007F3068"/>
    <w:rsid w:val="007F32BF"/>
    <w:rsid w:val="007F6D9F"/>
    <w:rsid w:val="007F7BE5"/>
    <w:rsid w:val="008023F0"/>
    <w:rsid w:val="008054C8"/>
    <w:rsid w:val="00805D08"/>
    <w:rsid w:val="00811632"/>
    <w:rsid w:val="00812807"/>
    <w:rsid w:val="00814877"/>
    <w:rsid w:val="00816551"/>
    <w:rsid w:val="00824482"/>
    <w:rsid w:val="008246E9"/>
    <w:rsid w:val="00826FFA"/>
    <w:rsid w:val="00827CBC"/>
    <w:rsid w:val="00831023"/>
    <w:rsid w:val="008417FD"/>
    <w:rsid w:val="00841A99"/>
    <w:rsid w:val="00862B8D"/>
    <w:rsid w:val="00865CEF"/>
    <w:rsid w:val="00866AA2"/>
    <w:rsid w:val="0087122A"/>
    <w:rsid w:val="00873E09"/>
    <w:rsid w:val="00880105"/>
    <w:rsid w:val="00880127"/>
    <w:rsid w:val="0088134D"/>
    <w:rsid w:val="00884EF5"/>
    <w:rsid w:val="00891295"/>
    <w:rsid w:val="00893036"/>
    <w:rsid w:val="00895B0E"/>
    <w:rsid w:val="008A0A24"/>
    <w:rsid w:val="008A17C4"/>
    <w:rsid w:val="008A29E5"/>
    <w:rsid w:val="008A2DA6"/>
    <w:rsid w:val="008C03C9"/>
    <w:rsid w:val="008C4CB4"/>
    <w:rsid w:val="008C65EB"/>
    <w:rsid w:val="008D7E88"/>
    <w:rsid w:val="008E2A72"/>
    <w:rsid w:val="008E7D2B"/>
    <w:rsid w:val="008F0523"/>
    <w:rsid w:val="00902200"/>
    <w:rsid w:val="00903053"/>
    <w:rsid w:val="00906AEC"/>
    <w:rsid w:val="00906D67"/>
    <w:rsid w:val="00911080"/>
    <w:rsid w:val="00913E33"/>
    <w:rsid w:val="009208E6"/>
    <w:rsid w:val="00920A71"/>
    <w:rsid w:val="0093052C"/>
    <w:rsid w:val="0093222D"/>
    <w:rsid w:val="00936B3D"/>
    <w:rsid w:val="00943B31"/>
    <w:rsid w:val="00944672"/>
    <w:rsid w:val="00954804"/>
    <w:rsid w:val="00965D0F"/>
    <w:rsid w:val="0098428C"/>
    <w:rsid w:val="00990089"/>
    <w:rsid w:val="00991372"/>
    <w:rsid w:val="00994246"/>
    <w:rsid w:val="00996856"/>
    <w:rsid w:val="009A2313"/>
    <w:rsid w:val="009A6A2E"/>
    <w:rsid w:val="009B4CB1"/>
    <w:rsid w:val="009B63F2"/>
    <w:rsid w:val="009B6E57"/>
    <w:rsid w:val="009B7FA2"/>
    <w:rsid w:val="009C13E8"/>
    <w:rsid w:val="009C3B14"/>
    <w:rsid w:val="009C5CB9"/>
    <w:rsid w:val="009C696B"/>
    <w:rsid w:val="009C782F"/>
    <w:rsid w:val="009D028C"/>
    <w:rsid w:val="009D1986"/>
    <w:rsid w:val="009D2D21"/>
    <w:rsid w:val="009D6F4E"/>
    <w:rsid w:val="009F259D"/>
    <w:rsid w:val="009F5CED"/>
    <w:rsid w:val="009F64AF"/>
    <w:rsid w:val="00A10180"/>
    <w:rsid w:val="00A1239A"/>
    <w:rsid w:val="00A13590"/>
    <w:rsid w:val="00A224A4"/>
    <w:rsid w:val="00A242E5"/>
    <w:rsid w:val="00A3333F"/>
    <w:rsid w:val="00A33D27"/>
    <w:rsid w:val="00A33FEA"/>
    <w:rsid w:val="00A377AE"/>
    <w:rsid w:val="00A41CC5"/>
    <w:rsid w:val="00A42B6E"/>
    <w:rsid w:val="00A51490"/>
    <w:rsid w:val="00A54C99"/>
    <w:rsid w:val="00A71194"/>
    <w:rsid w:val="00A72C74"/>
    <w:rsid w:val="00A77362"/>
    <w:rsid w:val="00A77D6B"/>
    <w:rsid w:val="00A85517"/>
    <w:rsid w:val="00A902A8"/>
    <w:rsid w:val="00A937F1"/>
    <w:rsid w:val="00A93E00"/>
    <w:rsid w:val="00A9502C"/>
    <w:rsid w:val="00AB0275"/>
    <w:rsid w:val="00AC14AE"/>
    <w:rsid w:val="00AC7470"/>
    <w:rsid w:val="00AD5AB7"/>
    <w:rsid w:val="00AD5B3A"/>
    <w:rsid w:val="00AE2AF0"/>
    <w:rsid w:val="00AE7685"/>
    <w:rsid w:val="00AF273E"/>
    <w:rsid w:val="00AF3BCA"/>
    <w:rsid w:val="00AF4E71"/>
    <w:rsid w:val="00AF79CB"/>
    <w:rsid w:val="00AF7A51"/>
    <w:rsid w:val="00B05C35"/>
    <w:rsid w:val="00B10202"/>
    <w:rsid w:val="00B108F1"/>
    <w:rsid w:val="00B13627"/>
    <w:rsid w:val="00B21551"/>
    <w:rsid w:val="00B231E1"/>
    <w:rsid w:val="00B30780"/>
    <w:rsid w:val="00B404FF"/>
    <w:rsid w:val="00B43D3D"/>
    <w:rsid w:val="00B54BC5"/>
    <w:rsid w:val="00B66086"/>
    <w:rsid w:val="00B6693A"/>
    <w:rsid w:val="00B77B53"/>
    <w:rsid w:val="00B8433E"/>
    <w:rsid w:val="00B90405"/>
    <w:rsid w:val="00B90AB7"/>
    <w:rsid w:val="00B91CD5"/>
    <w:rsid w:val="00BA003F"/>
    <w:rsid w:val="00BA1D58"/>
    <w:rsid w:val="00BA507F"/>
    <w:rsid w:val="00BA66F7"/>
    <w:rsid w:val="00BA7B96"/>
    <w:rsid w:val="00BC1991"/>
    <w:rsid w:val="00BC48B8"/>
    <w:rsid w:val="00BD3CB5"/>
    <w:rsid w:val="00BD5149"/>
    <w:rsid w:val="00BD708A"/>
    <w:rsid w:val="00BD7DEA"/>
    <w:rsid w:val="00BE2DC6"/>
    <w:rsid w:val="00BE2E28"/>
    <w:rsid w:val="00BE62D6"/>
    <w:rsid w:val="00BF2602"/>
    <w:rsid w:val="00BF46B1"/>
    <w:rsid w:val="00C0088E"/>
    <w:rsid w:val="00C04999"/>
    <w:rsid w:val="00C065DA"/>
    <w:rsid w:val="00C077A2"/>
    <w:rsid w:val="00C109D2"/>
    <w:rsid w:val="00C11B85"/>
    <w:rsid w:val="00C17762"/>
    <w:rsid w:val="00C17EA1"/>
    <w:rsid w:val="00C20A79"/>
    <w:rsid w:val="00C304B6"/>
    <w:rsid w:val="00C364C6"/>
    <w:rsid w:val="00C3652C"/>
    <w:rsid w:val="00C438EB"/>
    <w:rsid w:val="00C474AA"/>
    <w:rsid w:val="00C57920"/>
    <w:rsid w:val="00C60C50"/>
    <w:rsid w:val="00C62EC5"/>
    <w:rsid w:val="00C71C3F"/>
    <w:rsid w:val="00C72A0F"/>
    <w:rsid w:val="00C73C31"/>
    <w:rsid w:val="00C74356"/>
    <w:rsid w:val="00C839B1"/>
    <w:rsid w:val="00C855C1"/>
    <w:rsid w:val="00C92992"/>
    <w:rsid w:val="00CA0004"/>
    <w:rsid w:val="00CA00D5"/>
    <w:rsid w:val="00CA0938"/>
    <w:rsid w:val="00CA1072"/>
    <w:rsid w:val="00CA6E68"/>
    <w:rsid w:val="00CB4C93"/>
    <w:rsid w:val="00CB61BF"/>
    <w:rsid w:val="00CC2C5C"/>
    <w:rsid w:val="00CD1F57"/>
    <w:rsid w:val="00CD697D"/>
    <w:rsid w:val="00CD6B2F"/>
    <w:rsid w:val="00CE5836"/>
    <w:rsid w:val="00CE6D37"/>
    <w:rsid w:val="00CF3890"/>
    <w:rsid w:val="00D138BE"/>
    <w:rsid w:val="00D16FDD"/>
    <w:rsid w:val="00D3199A"/>
    <w:rsid w:val="00D40CFA"/>
    <w:rsid w:val="00D43B36"/>
    <w:rsid w:val="00D56013"/>
    <w:rsid w:val="00D60247"/>
    <w:rsid w:val="00D62381"/>
    <w:rsid w:val="00D700B9"/>
    <w:rsid w:val="00D7084D"/>
    <w:rsid w:val="00D71B0F"/>
    <w:rsid w:val="00D740E2"/>
    <w:rsid w:val="00D77F9F"/>
    <w:rsid w:val="00D862B0"/>
    <w:rsid w:val="00D875E8"/>
    <w:rsid w:val="00D91F9D"/>
    <w:rsid w:val="00D947A6"/>
    <w:rsid w:val="00D95291"/>
    <w:rsid w:val="00D97E7E"/>
    <w:rsid w:val="00DA234A"/>
    <w:rsid w:val="00DA764F"/>
    <w:rsid w:val="00DB4B1F"/>
    <w:rsid w:val="00DC199C"/>
    <w:rsid w:val="00DC22FE"/>
    <w:rsid w:val="00DC27D5"/>
    <w:rsid w:val="00DC3EA0"/>
    <w:rsid w:val="00DD590F"/>
    <w:rsid w:val="00DE1110"/>
    <w:rsid w:val="00DE31CC"/>
    <w:rsid w:val="00DF0E52"/>
    <w:rsid w:val="00DF1849"/>
    <w:rsid w:val="00DF2939"/>
    <w:rsid w:val="00DF46C0"/>
    <w:rsid w:val="00E12E0F"/>
    <w:rsid w:val="00E14FB4"/>
    <w:rsid w:val="00E17E0A"/>
    <w:rsid w:val="00E2008A"/>
    <w:rsid w:val="00E20F7A"/>
    <w:rsid w:val="00E22386"/>
    <w:rsid w:val="00E272E2"/>
    <w:rsid w:val="00E30F10"/>
    <w:rsid w:val="00E339C5"/>
    <w:rsid w:val="00E404B0"/>
    <w:rsid w:val="00E422DF"/>
    <w:rsid w:val="00E52608"/>
    <w:rsid w:val="00E530BD"/>
    <w:rsid w:val="00E65591"/>
    <w:rsid w:val="00E7333C"/>
    <w:rsid w:val="00E73532"/>
    <w:rsid w:val="00E81119"/>
    <w:rsid w:val="00E81BC5"/>
    <w:rsid w:val="00E8357B"/>
    <w:rsid w:val="00E837E8"/>
    <w:rsid w:val="00E920C4"/>
    <w:rsid w:val="00E95191"/>
    <w:rsid w:val="00E95237"/>
    <w:rsid w:val="00E97476"/>
    <w:rsid w:val="00EA1107"/>
    <w:rsid w:val="00EA1E67"/>
    <w:rsid w:val="00EA2682"/>
    <w:rsid w:val="00EC2068"/>
    <w:rsid w:val="00EC52D4"/>
    <w:rsid w:val="00ED4FD9"/>
    <w:rsid w:val="00ED5519"/>
    <w:rsid w:val="00EE01D5"/>
    <w:rsid w:val="00EE1D2B"/>
    <w:rsid w:val="00EE26D9"/>
    <w:rsid w:val="00EE4F28"/>
    <w:rsid w:val="00EE7B52"/>
    <w:rsid w:val="00EF72C7"/>
    <w:rsid w:val="00EF7AF0"/>
    <w:rsid w:val="00F018EB"/>
    <w:rsid w:val="00F02AE4"/>
    <w:rsid w:val="00F04B1A"/>
    <w:rsid w:val="00F0712C"/>
    <w:rsid w:val="00F1049B"/>
    <w:rsid w:val="00F11384"/>
    <w:rsid w:val="00F117B7"/>
    <w:rsid w:val="00F14157"/>
    <w:rsid w:val="00F1423A"/>
    <w:rsid w:val="00F21D45"/>
    <w:rsid w:val="00F26B4B"/>
    <w:rsid w:val="00F302F0"/>
    <w:rsid w:val="00F37788"/>
    <w:rsid w:val="00F37E5C"/>
    <w:rsid w:val="00F42B1B"/>
    <w:rsid w:val="00F549B4"/>
    <w:rsid w:val="00F63907"/>
    <w:rsid w:val="00F720FF"/>
    <w:rsid w:val="00F723AE"/>
    <w:rsid w:val="00F73A04"/>
    <w:rsid w:val="00F91BF6"/>
    <w:rsid w:val="00F927E5"/>
    <w:rsid w:val="00FA0B5E"/>
    <w:rsid w:val="00FA18CB"/>
    <w:rsid w:val="00FA4B25"/>
    <w:rsid w:val="00FB03B4"/>
    <w:rsid w:val="00FB6E98"/>
    <w:rsid w:val="00FB77F6"/>
    <w:rsid w:val="00FC0B3D"/>
    <w:rsid w:val="00FD2E31"/>
    <w:rsid w:val="00FE3221"/>
    <w:rsid w:val="00FE4502"/>
    <w:rsid w:val="00FF0D12"/>
    <w:rsid w:val="00FF2F82"/>
    <w:rsid w:val="00FF660A"/>
    <w:rsid w:val="02133800"/>
    <w:rsid w:val="0C2C1D58"/>
    <w:rsid w:val="0D5B011C"/>
    <w:rsid w:val="0EF535F5"/>
    <w:rsid w:val="0F8624BE"/>
    <w:rsid w:val="118D53D6"/>
    <w:rsid w:val="14242066"/>
    <w:rsid w:val="166E61B7"/>
    <w:rsid w:val="1762133C"/>
    <w:rsid w:val="1CBC00BC"/>
    <w:rsid w:val="1E610A87"/>
    <w:rsid w:val="1F337646"/>
    <w:rsid w:val="233D24A5"/>
    <w:rsid w:val="236F075C"/>
    <w:rsid w:val="23BC00C7"/>
    <w:rsid w:val="272B2D5B"/>
    <w:rsid w:val="27804853"/>
    <w:rsid w:val="29854DED"/>
    <w:rsid w:val="2ACB0658"/>
    <w:rsid w:val="2B0257C2"/>
    <w:rsid w:val="310A39BE"/>
    <w:rsid w:val="31672892"/>
    <w:rsid w:val="31875F13"/>
    <w:rsid w:val="32671BBD"/>
    <w:rsid w:val="35B01B20"/>
    <w:rsid w:val="37180777"/>
    <w:rsid w:val="3733163E"/>
    <w:rsid w:val="39754E71"/>
    <w:rsid w:val="3A5C240B"/>
    <w:rsid w:val="3B1D4ADF"/>
    <w:rsid w:val="3B6B77A7"/>
    <w:rsid w:val="3F7A53A4"/>
    <w:rsid w:val="41AA217A"/>
    <w:rsid w:val="429F3903"/>
    <w:rsid w:val="4591001E"/>
    <w:rsid w:val="45C64678"/>
    <w:rsid w:val="4F5611E1"/>
    <w:rsid w:val="520558F6"/>
    <w:rsid w:val="5269733B"/>
    <w:rsid w:val="533C259B"/>
    <w:rsid w:val="54E77EDD"/>
    <w:rsid w:val="5B4B214F"/>
    <w:rsid w:val="5E8E7B61"/>
    <w:rsid w:val="67647A33"/>
    <w:rsid w:val="67C66D7E"/>
    <w:rsid w:val="68F147FC"/>
    <w:rsid w:val="6AFD0028"/>
    <w:rsid w:val="6B261876"/>
    <w:rsid w:val="6CB718AD"/>
    <w:rsid w:val="6EB06710"/>
    <w:rsid w:val="6FE36875"/>
    <w:rsid w:val="70E370C7"/>
    <w:rsid w:val="73E6189D"/>
    <w:rsid w:val="77B37B6E"/>
    <w:rsid w:val="78081F02"/>
    <w:rsid w:val="7BCB7A29"/>
    <w:rsid w:val="7C857813"/>
    <w:rsid w:val="7DEA63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BD9D2D"/>
  <w15:docId w15:val="{1EE9963B-353C-4428-A407-4DBAFAC53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等线" w:eastAsia="等线" w:hAnsi="等线"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pPr>
      <w:keepNext/>
      <w:keepLines/>
      <w:spacing w:before="480" w:after="80"/>
      <w:outlineLvl w:val="0"/>
    </w:pPr>
    <w:rPr>
      <w:rFonts w:ascii="等线 Light" w:eastAsia="等线 Light" w:hAnsi="等线 Light"/>
      <w:color w:val="2F5496"/>
      <w:sz w:val="48"/>
      <w:szCs w:val="48"/>
    </w:rPr>
  </w:style>
  <w:style w:type="paragraph" w:styleId="2">
    <w:name w:val="heading 2"/>
    <w:basedOn w:val="a"/>
    <w:next w:val="a"/>
    <w:link w:val="20"/>
    <w:uiPriority w:val="9"/>
    <w:qFormat/>
    <w:pPr>
      <w:keepNext/>
      <w:keepLines/>
      <w:spacing w:before="160" w:after="80"/>
      <w:outlineLvl w:val="1"/>
    </w:pPr>
    <w:rPr>
      <w:rFonts w:ascii="等线 Light" w:eastAsia="等线 Light" w:hAnsi="等线 Light"/>
      <w:color w:val="2F5496"/>
      <w:sz w:val="40"/>
      <w:szCs w:val="40"/>
    </w:rPr>
  </w:style>
  <w:style w:type="paragraph" w:styleId="3">
    <w:name w:val="heading 3"/>
    <w:basedOn w:val="a"/>
    <w:next w:val="a"/>
    <w:link w:val="30"/>
    <w:uiPriority w:val="9"/>
    <w:qFormat/>
    <w:pPr>
      <w:keepNext/>
      <w:keepLines/>
      <w:spacing w:before="160" w:after="80"/>
      <w:outlineLvl w:val="2"/>
    </w:pPr>
    <w:rPr>
      <w:rFonts w:ascii="等线 Light" w:eastAsia="等线 Light" w:hAnsi="等线 Light"/>
      <w:color w:val="2F5496"/>
      <w:sz w:val="32"/>
      <w:szCs w:val="32"/>
    </w:rPr>
  </w:style>
  <w:style w:type="paragraph" w:styleId="4">
    <w:name w:val="heading 4"/>
    <w:basedOn w:val="a"/>
    <w:next w:val="a"/>
    <w:link w:val="40"/>
    <w:uiPriority w:val="9"/>
    <w:qFormat/>
    <w:pPr>
      <w:keepNext/>
      <w:keepLines/>
      <w:spacing w:before="80" w:after="40"/>
      <w:outlineLvl w:val="3"/>
    </w:pPr>
    <w:rPr>
      <w:color w:val="2F5496"/>
      <w:sz w:val="28"/>
      <w:szCs w:val="28"/>
    </w:rPr>
  </w:style>
  <w:style w:type="paragraph" w:styleId="5">
    <w:name w:val="heading 5"/>
    <w:basedOn w:val="a"/>
    <w:next w:val="a"/>
    <w:link w:val="50"/>
    <w:uiPriority w:val="9"/>
    <w:qFormat/>
    <w:pPr>
      <w:keepNext/>
      <w:keepLines/>
      <w:spacing w:before="80" w:after="40"/>
      <w:outlineLvl w:val="4"/>
    </w:pPr>
    <w:rPr>
      <w:color w:val="2F5496"/>
      <w:sz w:val="24"/>
      <w:szCs w:val="24"/>
    </w:rPr>
  </w:style>
  <w:style w:type="paragraph" w:styleId="6">
    <w:name w:val="heading 6"/>
    <w:basedOn w:val="a"/>
    <w:next w:val="a"/>
    <w:link w:val="60"/>
    <w:uiPriority w:val="9"/>
    <w:qFormat/>
    <w:pPr>
      <w:keepNext/>
      <w:keepLines/>
      <w:spacing w:before="40"/>
      <w:outlineLvl w:val="5"/>
    </w:pPr>
    <w:rPr>
      <w:b/>
      <w:bCs/>
      <w:color w:val="2F5496"/>
    </w:rPr>
  </w:style>
  <w:style w:type="paragraph" w:styleId="7">
    <w:name w:val="heading 7"/>
    <w:basedOn w:val="a"/>
    <w:next w:val="a"/>
    <w:link w:val="70"/>
    <w:uiPriority w:val="9"/>
    <w:qFormat/>
    <w:pPr>
      <w:keepNext/>
      <w:keepLines/>
      <w:spacing w:before="40"/>
      <w:outlineLvl w:val="6"/>
    </w:pPr>
    <w:rPr>
      <w:b/>
      <w:bCs/>
      <w:color w:val="595959"/>
    </w:rPr>
  </w:style>
  <w:style w:type="paragraph" w:styleId="8">
    <w:name w:val="heading 8"/>
    <w:basedOn w:val="a"/>
    <w:next w:val="a"/>
    <w:link w:val="80"/>
    <w:uiPriority w:val="9"/>
    <w:qFormat/>
    <w:pPr>
      <w:keepNext/>
      <w:keepLines/>
      <w:outlineLvl w:val="7"/>
    </w:pPr>
    <w:rPr>
      <w:color w:val="595959"/>
    </w:rPr>
  </w:style>
  <w:style w:type="paragraph" w:styleId="9">
    <w:name w:val="heading 9"/>
    <w:basedOn w:val="a"/>
    <w:next w:val="a"/>
    <w:link w:val="90"/>
    <w:uiPriority w:val="9"/>
    <w:qFormat/>
    <w:pPr>
      <w:keepNext/>
      <w:keepLines/>
      <w:outlineLvl w:val="8"/>
    </w:pPr>
    <w:rPr>
      <w:rFonts w:eastAsia="等线 Light"/>
      <w:color w:val="59595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35"/>
    <w:qFormat/>
    <w:rPr>
      <w:rFonts w:ascii="等线 Light" w:eastAsia="黑体" w:hAnsi="等线 Light"/>
      <w:sz w:val="20"/>
      <w:szCs w:val="20"/>
    </w:rPr>
  </w:style>
  <w:style w:type="paragraph" w:styleId="a4">
    <w:name w:val="annotation text"/>
    <w:basedOn w:val="a"/>
    <w:link w:val="a5"/>
    <w:uiPriority w:val="99"/>
    <w:unhideWhenUsed/>
    <w:qFormat/>
    <w:pPr>
      <w:jc w:val="left"/>
    </w:pPr>
  </w:style>
  <w:style w:type="paragraph" w:styleId="a6">
    <w:name w:val="footer"/>
    <w:basedOn w:val="a"/>
    <w:link w:val="a7"/>
    <w:uiPriority w:val="99"/>
    <w:unhideWhenUsed/>
    <w:qFormat/>
    <w:pPr>
      <w:tabs>
        <w:tab w:val="center" w:pos="4153"/>
        <w:tab w:val="right" w:pos="8306"/>
      </w:tabs>
      <w:snapToGrid w:val="0"/>
      <w:jc w:val="left"/>
    </w:pPr>
    <w:rPr>
      <w:sz w:val="18"/>
      <w:szCs w:val="18"/>
    </w:rPr>
  </w:style>
  <w:style w:type="paragraph" w:styleId="a8">
    <w:name w:val="header"/>
    <w:basedOn w:val="a"/>
    <w:link w:val="a9"/>
    <w:uiPriority w:val="99"/>
    <w:unhideWhenUsed/>
    <w:qFormat/>
    <w:pPr>
      <w:tabs>
        <w:tab w:val="center" w:pos="4153"/>
        <w:tab w:val="right" w:pos="8306"/>
      </w:tabs>
      <w:snapToGrid w:val="0"/>
      <w:jc w:val="center"/>
    </w:pPr>
    <w:rPr>
      <w:sz w:val="18"/>
      <w:szCs w:val="18"/>
    </w:rPr>
  </w:style>
  <w:style w:type="paragraph" w:styleId="aa">
    <w:name w:val="Subtitle"/>
    <w:basedOn w:val="a"/>
    <w:next w:val="a"/>
    <w:link w:val="ab"/>
    <w:uiPriority w:val="11"/>
    <w:qFormat/>
    <w:pPr>
      <w:spacing w:after="160"/>
      <w:jc w:val="center"/>
    </w:pPr>
    <w:rPr>
      <w:rFonts w:ascii="等线 Light" w:eastAsia="等线 Light" w:hAnsi="等线 Light"/>
      <w:color w:val="595959"/>
      <w:spacing w:val="15"/>
      <w:sz w:val="28"/>
      <w:szCs w:val="28"/>
    </w:rPr>
  </w:style>
  <w:style w:type="paragraph" w:styleId="HTML">
    <w:name w:val="HTML Preformatted"/>
    <w:basedOn w:val="a"/>
    <w:link w:val="HTML0"/>
    <w:uiPriority w:val="99"/>
    <w:unhideWhenUsed/>
    <w:qFormat/>
    <w:rPr>
      <w:rFonts w:ascii="Courier New" w:hAnsi="Courier New" w:cs="Courier New"/>
      <w:sz w:val="20"/>
      <w:szCs w:val="20"/>
    </w:rPr>
  </w:style>
  <w:style w:type="paragraph" w:styleId="ac">
    <w:name w:val="Normal (Web)"/>
    <w:basedOn w:val="a"/>
    <w:uiPriority w:val="99"/>
    <w:unhideWhenUsed/>
    <w:qFormat/>
    <w:rPr>
      <w:rFonts w:ascii="Times New Roman" w:hAnsi="Times New Roman"/>
      <w:sz w:val="24"/>
      <w:szCs w:val="24"/>
    </w:rPr>
  </w:style>
  <w:style w:type="paragraph" w:styleId="ad">
    <w:name w:val="Title"/>
    <w:basedOn w:val="a"/>
    <w:next w:val="a"/>
    <w:link w:val="ae"/>
    <w:uiPriority w:val="10"/>
    <w:qFormat/>
    <w:pPr>
      <w:spacing w:after="80"/>
      <w:contextualSpacing/>
      <w:jc w:val="center"/>
    </w:pPr>
    <w:rPr>
      <w:rFonts w:ascii="等线 Light" w:eastAsia="等线 Light" w:hAnsi="等线 Light"/>
      <w:spacing w:val="-10"/>
      <w:kern w:val="28"/>
      <w:sz w:val="56"/>
      <w:szCs w:val="56"/>
    </w:rPr>
  </w:style>
  <w:style w:type="paragraph" w:styleId="af">
    <w:name w:val="annotation subject"/>
    <w:basedOn w:val="a4"/>
    <w:next w:val="a4"/>
    <w:link w:val="af0"/>
    <w:uiPriority w:val="99"/>
    <w:unhideWhenUsed/>
    <w:qFormat/>
    <w:rPr>
      <w:b/>
      <w:bCs/>
    </w:rPr>
  </w:style>
  <w:style w:type="table" w:styleId="af1">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line number"/>
    <w:uiPriority w:val="99"/>
    <w:unhideWhenUsed/>
    <w:qFormat/>
  </w:style>
  <w:style w:type="character" w:styleId="af3">
    <w:name w:val="Hyperlink"/>
    <w:uiPriority w:val="99"/>
    <w:unhideWhenUsed/>
    <w:qFormat/>
    <w:rPr>
      <w:color w:val="0563C1"/>
      <w:u w:val="single"/>
    </w:rPr>
  </w:style>
  <w:style w:type="character" w:styleId="af4">
    <w:name w:val="annotation reference"/>
    <w:uiPriority w:val="99"/>
    <w:unhideWhenUsed/>
    <w:qFormat/>
    <w:rPr>
      <w:sz w:val="21"/>
      <w:szCs w:val="21"/>
    </w:rPr>
  </w:style>
  <w:style w:type="character" w:customStyle="1" w:styleId="10">
    <w:name w:val="标题 1 字符"/>
    <w:link w:val="1"/>
    <w:uiPriority w:val="9"/>
    <w:qFormat/>
    <w:rPr>
      <w:rFonts w:ascii="等线 Light" w:eastAsia="等线 Light" w:hAnsi="等线 Light" w:cs="Times New Roman"/>
      <w:color w:val="2F5496"/>
      <w:sz w:val="48"/>
      <w:szCs w:val="48"/>
    </w:rPr>
  </w:style>
  <w:style w:type="character" w:customStyle="1" w:styleId="20">
    <w:name w:val="标题 2 字符"/>
    <w:link w:val="2"/>
    <w:uiPriority w:val="9"/>
    <w:semiHidden/>
    <w:qFormat/>
    <w:rPr>
      <w:rFonts w:ascii="等线 Light" w:eastAsia="等线 Light" w:hAnsi="等线 Light" w:cs="Times New Roman"/>
      <w:color w:val="2F5496"/>
      <w:sz w:val="40"/>
      <w:szCs w:val="40"/>
    </w:rPr>
  </w:style>
  <w:style w:type="character" w:customStyle="1" w:styleId="30">
    <w:name w:val="标题 3 字符"/>
    <w:link w:val="3"/>
    <w:uiPriority w:val="9"/>
    <w:semiHidden/>
    <w:qFormat/>
    <w:rPr>
      <w:rFonts w:ascii="等线 Light" w:eastAsia="等线 Light" w:hAnsi="等线 Light" w:cs="Times New Roman"/>
      <w:color w:val="2F5496"/>
      <w:sz w:val="32"/>
      <w:szCs w:val="32"/>
    </w:rPr>
  </w:style>
  <w:style w:type="character" w:customStyle="1" w:styleId="40">
    <w:name w:val="标题 4 字符"/>
    <w:link w:val="4"/>
    <w:uiPriority w:val="9"/>
    <w:semiHidden/>
    <w:qFormat/>
    <w:rPr>
      <w:rFonts w:cs="Times New Roman"/>
      <w:color w:val="2F5496"/>
      <w:sz w:val="28"/>
      <w:szCs w:val="28"/>
    </w:rPr>
  </w:style>
  <w:style w:type="character" w:customStyle="1" w:styleId="50">
    <w:name w:val="标题 5 字符"/>
    <w:link w:val="5"/>
    <w:uiPriority w:val="9"/>
    <w:semiHidden/>
    <w:qFormat/>
    <w:rPr>
      <w:rFonts w:cs="Times New Roman"/>
      <w:color w:val="2F5496"/>
      <w:sz w:val="24"/>
      <w:szCs w:val="24"/>
    </w:rPr>
  </w:style>
  <w:style w:type="character" w:customStyle="1" w:styleId="60">
    <w:name w:val="标题 6 字符"/>
    <w:link w:val="6"/>
    <w:uiPriority w:val="9"/>
    <w:semiHidden/>
    <w:qFormat/>
    <w:rPr>
      <w:rFonts w:cs="Times New Roman"/>
      <w:b/>
      <w:bCs/>
      <w:color w:val="2F5496"/>
    </w:rPr>
  </w:style>
  <w:style w:type="character" w:customStyle="1" w:styleId="70">
    <w:name w:val="标题 7 字符"/>
    <w:link w:val="7"/>
    <w:uiPriority w:val="9"/>
    <w:semiHidden/>
    <w:qFormat/>
    <w:rPr>
      <w:rFonts w:cs="Times New Roman"/>
      <w:b/>
      <w:bCs/>
      <w:color w:val="595959"/>
    </w:rPr>
  </w:style>
  <w:style w:type="character" w:customStyle="1" w:styleId="80">
    <w:name w:val="标题 8 字符"/>
    <w:link w:val="8"/>
    <w:uiPriority w:val="9"/>
    <w:semiHidden/>
    <w:qFormat/>
    <w:rPr>
      <w:rFonts w:cs="Times New Roman"/>
      <w:color w:val="595959"/>
    </w:rPr>
  </w:style>
  <w:style w:type="character" w:customStyle="1" w:styleId="90">
    <w:name w:val="标题 9 字符"/>
    <w:link w:val="9"/>
    <w:uiPriority w:val="9"/>
    <w:semiHidden/>
    <w:qFormat/>
    <w:rPr>
      <w:rFonts w:eastAsia="等线 Light" w:cs="Times New Roman"/>
      <w:color w:val="595959"/>
    </w:rPr>
  </w:style>
  <w:style w:type="character" w:customStyle="1" w:styleId="a5">
    <w:name w:val="批注文字 字符"/>
    <w:link w:val="a4"/>
    <w:uiPriority w:val="99"/>
    <w:qFormat/>
    <w:rPr>
      <w:kern w:val="2"/>
      <w:sz w:val="21"/>
      <w:szCs w:val="22"/>
    </w:rPr>
  </w:style>
  <w:style w:type="character" w:customStyle="1" w:styleId="a7">
    <w:name w:val="页脚 字符"/>
    <w:link w:val="a6"/>
    <w:uiPriority w:val="99"/>
    <w:qFormat/>
    <w:rPr>
      <w:sz w:val="18"/>
      <w:szCs w:val="18"/>
    </w:rPr>
  </w:style>
  <w:style w:type="character" w:customStyle="1" w:styleId="a9">
    <w:name w:val="页眉 字符"/>
    <w:link w:val="a8"/>
    <w:uiPriority w:val="99"/>
    <w:qFormat/>
    <w:rPr>
      <w:sz w:val="18"/>
      <w:szCs w:val="18"/>
    </w:rPr>
  </w:style>
  <w:style w:type="character" w:customStyle="1" w:styleId="ab">
    <w:name w:val="副标题 字符"/>
    <w:link w:val="aa"/>
    <w:uiPriority w:val="11"/>
    <w:qFormat/>
    <w:rPr>
      <w:rFonts w:ascii="等线 Light" w:eastAsia="等线 Light" w:hAnsi="等线 Light" w:cs="Times New Roman"/>
      <w:color w:val="595959"/>
      <w:spacing w:val="15"/>
      <w:sz w:val="28"/>
      <w:szCs w:val="28"/>
    </w:rPr>
  </w:style>
  <w:style w:type="character" w:customStyle="1" w:styleId="HTML0">
    <w:name w:val="HTML 预设格式 字符"/>
    <w:link w:val="HTML"/>
    <w:uiPriority w:val="99"/>
    <w:semiHidden/>
    <w:qFormat/>
    <w:rPr>
      <w:rFonts w:ascii="Courier New" w:hAnsi="Courier New" w:cs="Courier New"/>
      <w:sz w:val="20"/>
      <w:szCs w:val="20"/>
    </w:rPr>
  </w:style>
  <w:style w:type="character" w:customStyle="1" w:styleId="ae">
    <w:name w:val="标题 字符"/>
    <w:link w:val="ad"/>
    <w:uiPriority w:val="10"/>
    <w:qFormat/>
    <w:rPr>
      <w:rFonts w:ascii="等线 Light" w:eastAsia="等线 Light" w:hAnsi="等线 Light" w:cs="Times New Roman"/>
      <w:spacing w:val="-10"/>
      <w:kern w:val="28"/>
      <w:sz w:val="56"/>
      <w:szCs w:val="56"/>
    </w:rPr>
  </w:style>
  <w:style w:type="character" w:customStyle="1" w:styleId="af0">
    <w:name w:val="批注主题 字符"/>
    <w:link w:val="af"/>
    <w:uiPriority w:val="99"/>
    <w:semiHidden/>
    <w:qFormat/>
    <w:rPr>
      <w:b/>
      <w:bCs/>
      <w:kern w:val="2"/>
      <w:sz w:val="21"/>
      <w:szCs w:val="22"/>
    </w:rPr>
  </w:style>
  <w:style w:type="paragraph" w:styleId="af5">
    <w:name w:val="Quote"/>
    <w:basedOn w:val="a"/>
    <w:next w:val="a"/>
    <w:link w:val="af6"/>
    <w:uiPriority w:val="29"/>
    <w:qFormat/>
    <w:pPr>
      <w:spacing w:before="160" w:after="160"/>
      <w:jc w:val="center"/>
    </w:pPr>
    <w:rPr>
      <w:i/>
      <w:iCs/>
      <w:color w:val="404040"/>
    </w:rPr>
  </w:style>
  <w:style w:type="character" w:customStyle="1" w:styleId="af6">
    <w:name w:val="引用 字符"/>
    <w:link w:val="af5"/>
    <w:uiPriority w:val="29"/>
    <w:qFormat/>
    <w:rPr>
      <w:i/>
      <w:iCs/>
      <w:color w:val="404040"/>
    </w:rPr>
  </w:style>
  <w:style w:type="paragraph" w:styleId="af7">
    <w:name w:val="List Paragraph"/>
    <w:basedOn w:val="a"/>
    <w:uiPriority w:val="34"/>
    <w:qFormat/>
    <w:pPr>
      <w:ind w:left="720"/>
      <w:contextualSpacing/>
    </w:pPr>
  </w:style>
  <w:style w:type="character" w:customStyle="1" w:styleId="11">
    <w:name w:val="明显强调1"/>
    <w:uiPriority w:val="21"/>
    <w:qFormat/>
    <w:rPr>
      <w:i/>
      <w:iCs/>
      <w:color w:val="2F5496"/>
    </w:rPr>
  </w:style>
  <w:style w:type="paragraph" w:styleId="af8">
    <w:name w:val="Intense Quote"/>
    <w:basedOn w:val="a"/>
    <w:next w:val="a"/>
    <w:link w:val="af9"/>
    <w:uiPriority w:val="30"/>
    <w:qFormat/>
    <w:pPr>
      <w:pBdr>
        <w:top w:val="single" w:sz="4" w:space="10" w:color="2F5496"/>
        <w:bottom w:val="single" w:sz="4" w:space="10" w:color="2F5496"/>
      </w:pBdr>
      <w:spacing w:before="360" w:after="360"/>
      <w:ind w:left="864" w:right="864"/>
      <w:jc w:val="center"/>
    </w:pPr>
    <w:rPr>
      <w:i/>
      <w:iCs/>
      <w:color w:val="2F5496"/>
    </w:rPr>
  </w:style>
  <w:style w:type="character" w:customStyle="1" w:styleId="af9">
    <w:name w:val="明显引用 字符"/>
    <w:link w:val="af8"/>
    <w:uiPriority w:val="30"/>
    <w:qFormat/>
    <w:rPr>
      <w:i/>
      <w:iCs/>
      <w:color w:val="2F5496"/>
    </w:rPr>
  </w:style>
  <w:style w:type="character" w:customStyle="1" w:styleId="12">
    <w:name w:val="明显参考1"/>
    <w:uiPriority w:val="32"/>
    <w:qFormat/>
    <w:rPr>
      <w:b/>
      <w:bCs/>
      <w:smallCaps/>
      <w:color w:val="2F5496"/>
      <w:spacing w:val="5"/>
    </w:rPr>
  </w:style>
  <w:style w:type="character" w:customStyle="1" w:styleId="Style48">
    <w:name w:val="_Style 48"/>
    <w:uiPriority w:val="99"/>
    <w:unhideWhenUsed/>
    <w:qFormat/>
    <w:rPr>
      <w:color w:val="605E5C"/>
      <w:shd w:val="clear" w:color="auto" w:fill="E1DFDD"/>
    </w:rPr>
  </w:style>
  <w:style w:type="paragraph" w:customStyle="1" w:styleId="Style49">
    <w:name w:val="_Style 49"/>
    <w:basedOn w:val="a"/>
    <w:next w:val="a"/>
    <w:uiPriority w:val="37"/>
    <w:unhideWhenUsed/>
    <w:qFormat/>
    <w:pPr>
      <w:tabs>
        <w:tab w:val="left" w:pos="504"/>
      </w:tabs>
      <w:spacing w:after="240"/>
      <w:ind w:left="504" w:hanging="504"/>
    </w:pPr>
  </w:style>
  <w:style w:type="paragraph" w:customStyle="1" w:styleId="13">
    <w:name w:val="书目1"/>
    <w:basedOn w:val="a"/>
    <w:next w:val="a"/>
    <w:uiPriority w:val="37"/>
    <w:unhideWhenUsed/>
    <w:qFormat/>
    <w:pPr>
      <w:ind w:left="720" w:hanging="720"/>
    </w:pPr>
  </w:style>
  <w:style w:type="paragraph" w:customStyle="1" w:styleId="21">
    <w:name w:val="书目2"/>
    <w:basedOn w:val="a"/>
    <w:next w:val="a"/>
    <w:uiPriority w:val="37"/>
    <w:unhideWhenUsed/>
    <w:qFormat/>
    <w:pPr>
      <w:tabs>
        <w:tab w:val="left" w:pos="504"/>
      </w:tabs>
      <w:ind w:left="504" w:hanging="504"/>
    </w:pPr>
  </w:style>
  <w:style w:type="paragraph" w:customStyle="1" w:styleId="31">
    <w:name w:val="书目3"/>
    <w:basedOn w:val="a"/>
    <w:next w:val="a"/>
    <w:uiPriority w:val="37"/>
    <w:unhideWhenUsed/>
    <w:qFormat/>
  </w:style>
  <w:style w:type="character" w:customStyle="1" w:styleId="14">
    <w:name w:val="未处理的提及1"/>
    <w:basedOn w:val="a0"/>
    <w:uiPriority w:val="99"/>
    <w:semiHidden/>
    <w:unhideWhenUsed/>
    <w:qFormat/>
    <w:rPr>
      <w:color w:val="605E5C"/>
      <w:shd w:val="clear" w:color="auto" w:fill="E1DFDD"/>
    </w:rPr>
  </w:style>
  <w:style w:type="paragraph" w:customStyle="1" w:styleId="41">
    <w:name w:val="书目4"/>
    <w:basedOn w:val="a"/>
    <w:next w:val="a"/>
    <w:uiPriority w:val="37"/>
    <w:unhideWhenUsed/>
    <w:qFormat/>
    <w:pPr>
      <w:tabs>
        <w:tab w:val="left" w:pos="504"/>
      </w:tabs>
      <w:spacing w:after="240"/>
      <w:ind w:left="504" w:hanging="504"/>
    </w:pPr>
  </w:style>
  <w:style w:type="paragraph" w:customStyle="1" w:styleId="51">
    <w:name w:val="书目5"/>
    <w:basedOn w:val="a"/>
    <w:next w:val="a"/>
    <w:uiPriority w:val="37"/>
    <w:unhideWhenUsed/>
    <w:qFormat/>
  </w:style>
  <w:style w:type="character" w:customStyle="1" w:styleId="22">
    <w:name w:val="未处理的提及2"/>
    <w:basedOn w:val="a0"/>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tiff"/><Relationship Id="rId3" Type="http://schemas.openxmlformats.org/officeDocument/2006/relationships/settings" Target="settings.xml"/><Relationship Id="rId7" Type="http://schemas.openxmlformats.org/officeDocument/2006/relationships/hyperlink" Target="mailto:chenjinri@jou.edu.cn" TargetMode="External"/><Relationship Id="rId12" Type="http://schemas.openxmlformats.org/officeDocument/2006/relationships/image" Target="media/image5.tiff"/><Relationship Id="rId17" Type="http://schemas.openxmlformats.org/officeDocument/2006/relationships/image" Target="media/image10.tiff"/><Relationship Id="rId2" Type="http://schemas.openxmlformats.org/officeDocument/2006/relationships/styles" Target="styles.xml"/><Relationship Id="rId16" Type="http://schemas.openxmlformats.org/officeDocument/2006/relationships/image" Target="media/image9.tif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tiff"/><Relationship Id="rId5" Type="http://schemas.openxmlformats.org/officeDocument/2006/relationships/footnotes" Target="footnotes.xml"/><Relationship Id="rId15" Type="http://schemas.openxmlformats.org/officeDocument/2006/relationships/image" Target="media/image8.tiff"/><Relationship Id="rId10" Type="http://schemas.openxmlformats.org/officeDocument/2006/relationships/image" Target="media/image3.tiff"/><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tiff"/><Relationship Id="rId14" Type="http://schemas.openxmlformats.org/officeDocument/2006/relationships/image" Target="media/image7.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F4214F-5252-481F-B957-AAF28CA89F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27</Pages>
  <Words>9897</Words>
  <Characters>56416</Characters>
  <Application>Microsoft Office Word</Application>
  <DocSecurity>0</DocSecurity>
  <Lines>470</Lines>
  <Paragraphs>132</Paragraphs>
  <ScaleCrop>false</ScaleCrop>
  <Company/>
  <LinksUpToDate>false</LinksUpToDate>
  <CharactersWithSpaces>66181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露露 叶</dc:creator>
  <cp:lastModifiedBy>露露 叶</cp:lastModifiedBy>
  <cp:revision>29</cp:revision>
  <dcterms:created xsi:type="dcterms:W3CDTF">2026-06-27T04:31:00Z</dcterms:created>
  <dcterms:modified xsi:type="dcterms:W3CDTF">2026-07-16T13:08:00Z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eyJoZGlkIjoiODFkOWNkYTlhNmEyMWQ3ODc1MWQ2OTVkNzg0NTAzZTYiLCJ1c2VySWQiOiIxMzg1NDk0NzUzIn0=</vt:lpwstr>
  </property>
  <property fmtid="{D5CDD505-2E9C-101B-9397-08002B2CF9AE}" pid="3" name="KSOProductBuildVer">
    <vt:lpwstr>2052-12.1.0.25865</vt:lpwstr>
  </property>
  <property fmtid="{D5CDD505-2E9C-101B-9397-08002B2CF9AE}" pid="4" name="ICV">
    <vt:lpwstr>15CE88B5E76D4C69981E76FC08FD60AB_13</vt:lpwstr>
  </property>
  <property fmtid="{D5CDD505-2E9C-101B-9397-08002B2CF9AE}" pid="5" name="ZOTERO_PREF_1">
    <vt:lpwstr>&lt;data data-version="3" zotero-version="7.0.13"&gt;&lt;session id="NiMbfwbA"/&gt;&lt;style id="http://www.zotero.org/styles/microchimica-acta" hasBibliography="1" bibliographyStyleHasBeenSet="1"/&gt;&lt;prefs&gt;&lt;pref name="fieldType" value="Field"/&gt;&lt;/prefs&gt;&lt;/data&gt;</vt:lpwstr>
  </property>
</Properties>
</file>