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9ACE8">
      <w:pPr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t>Supplementary Materials</w:t>
      </w:r>
    </w:p>
    <w:p w14:paraId="527B0CA2">
      <w:pPr>
        <w:rPr>
          <w:color w:val="auto"/>
        </w:rPr>
      </w:pPr>
    </w:p>
    <w:sdt>
      <w:sdtPr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lang w:eastAsia="zh-CN"/>
          <w14:ligatures w14:val="standardContextual"/>
        </w:rPr>
        <w:id w:val="1455743960"/>
        <w:docPartObj>
          <w:docPartGallery w:val="Table of Contents"/>
          <w:docPartUnique/>
        </w:docPartObj>
      </w:sdtPr>
      <w:sdtEndPr>
        <w:rPr>
          <w:rFonts w:ascii="Arial" w:hAnsi="Arial" w:eastAsia="微软雅黑" w:cs="Times New Roman"/>
          <w:b/>
          <w:bCs/>
          <w:color w:val="auto"/>
          <w:kern w:val="2"/>
          <w:sz w:val="21"/>
          <w:szCs w:val="24"/>
          <w:lang w:eastAsia="zh-CN"/>
          <w14:ligatures w14:val="none"/>
        </w:rPr>
      </w:sdtEndPr>
      <w:sdtContent>
        <w:p w14:paraId="2F15F4D6">
          <w:pPr>
            <w:pStyle w:val="27"/>
            <w:spacing w:line="480" w:lineRule="auto"/>
            <w:rPr>
              <w:rFonts w:asciiTheme="minorHAnsi" w:hAnsiTheme="minorHAnsi" w:eastAsiaTheme="minorEastAsia" w:cstheme="minorBidi"/>
              <w:color w:val="auto"/>
              <w:sz w:val="22"/>
              <w:szCs w:val="22"/>
              <w:lang w:eastAsia="zh-CN"/>
              <w14:ligatures w14:val="standardContextual"/>
            </w:rPr>
          </w:pPr>
        </w:p>
        <w:p w14:paraId="55A08036">
          <w:pPr>
            <w:pStyle w:val="27"/>
            <w:spacing w:line="480" w:lineRule="auto"/>
            <w:rPr>
              <w:rFonts w:ascii="Times New Roman" w:hAnsi="Times New Roman" w:cs="Times New Roman"/>
              <w:color w:val="auto"/>
            </w:rPr>
          </w:pPr>
          <w:r>
            <w:rPr>
              <w:rFonts w:ascii="Times New Roman" w:hAnsi="Times New Roman" w:cs="Times New Roman"/>
              <w:color w:val="auto"/>
            </w:rPr>
            <w:t>Contents</w:t>
          </w:r>
          <w:bookmarkStart w:id="7" w:name="_GoBack"/>
          <w:bookmarkEnd w:id="7"/>
        </w:p>
        <w:p w14:paraId="264BF931">
          <w:pPr>
            <w:pStyle w:val="14"/>
            <w:rPr>
              <w:rFonts w:asciiTheme="minorHAnsi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zh-CN"/>
              <w14:ligatures w14:val="standardContextual"/>
            </w:rPr>
          </w:pPr>
          <w:r>
            <w:rPr>
              <w:color w:val="auto"/>
            </w:rPr>
            <w:fldChar w:fldCharType="begin"/>
          </w:r>
          <w:r>
            <w:rPr>
              <w:color w:val="auto"/>
            </w:rPr>
            <w:instrText xml:space="preserve"> TOC \o "1-3" \h \z \u </w:instrText>
          </w:r>
          <w:r>
            <w:rPr>
              <w:color w:val="auto"/>
            </w:rPr>
            <w:fldChar w:fldCharType="separate"/>
          </w:r>
          <w:r>
            <w:rPr>
              <w:color w:val="auto"/>
            </w:rPr>
            <w:fldChar w:fldCharType="begin"/>
          </w:r>
          <w:r>
            <w:rPr>
              <w:color w:val="auto"/>
            </w:rPr>
            <w:instrText xml:space="preserve"> HYPERLINK \l "_Toc231081577" </w:instrText>
          </w:r>
          <w:r>
            <w:rPr>
              <w:color w:val="auto"/>
            </w:rPr>
            <w:fldChar w:fldCharType="separate"/>
          </w:r>
          <w:r>
            <w:rPr>
              <w:rStyle w:val="21"/>
              <w:rFonts w:eastAsia="Times New Roman"/>
              <w:b w:val="0"/>
              <w:bCs w:val="0"/>
              <w:color w:val="auto"/>
            </w:rPr>
            <w:t>Supplementary Table S1. Distribution of anxious and depressive symptom overlap.</w:t>
          </w:r>
          <w:r>
            <w:rPr>
              <w:b w:val="0"/>
              <w:bCs w:val="0"/>
              <w:color w:val="auto"/>
            </w:rPr>
            <w:tab/>
          </w:r>
          <w:r>
            <w:rPr>
              <w:b w:val="0"/>
              <w:bCs w:val="0"/>
              <w:color w:val="auto"/>
            </w:rPr>
            <w:fldChar w:fldCharType="begin"/>
          </w:r>
          <w:r>
            <w:rPr>
              <w:b w:val="0"/>
              <w:bCs w:val="0"/>
              <w:color w:val="auto"/>
            </w:rPr>
            <w:instrText xml:space="preserve"> PAGEREF _Toc231081577 \h </w:instrText>
          </w:r>
          <w:r>
            <w:rPr>
              <w:b w:val="0"/>
              <w:bCs w:val="0"/>
              <w:color w:val="auto"/>
            </w:rPr>
            <w:fldChar w:fldCharType="separate"/>
          </w:r>
          <w:r>
            <w:rPr>
              <w:b w:val="0"/>
              <w:bCs w:val="0"/>
              <w:color w:val="auto"/>
            </w:rPr>
            <w:t>2</w:t>
          </w:r>
          <w:r>
            <w:rPr>
              <w:b w:val="0"/>
              <w:bCs w:val="0"/>
              <w:color w:val="auto"/>
            </w:rPr>
            <w:fldChar w:fldCharType="end"/>
          </w:r>
          <w:r>
            <w:rPr>
              <w:b w:val="0"/>
              <w:bCs w:val="0"/>
              <w:color w:val="auto"/>
            </w:rPr>
            <w:fldChar w:fldCharType="end"/>
          </w:r>
        </w:p>
        <w:p w14:paraId="4BA39F12">
          <w:pPr>
            <w:pStyle w:val="14"/>
            <w:rPr>
              <w:rFonts w:asciiTheme="minorHAnsi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zh-CN"/>
              <w14:ligatures w14:val="standardContextual"/>
            </w:rPr>
          </w:pPr>
          <w:r>
            <w:rPr>
              <w:color w:val="auto"/>
            </w:rPr>
            <w:fldChar w:fldCharType="begin"/>
          </w:r>
          <w:r>
            <w:rPr>
              <w:color w:val="auto"/>
            </w:rPr>
            <w:instrText xml:space="preserve"> HYPERLINK \l "_Toc231081578" </w:instrText>
          </w:r>
          <w:r>
            <w:rPr>
              <w:color w:val="auto"/>
            </w:rPr>
            <w:fldChar w:fldCharType="separate"/>
          </w:r>
          <w:r>
            <w:rPr>
              <w:rStyle w:val="21"/>
              <w:rFonts w:eastAsia="Times New Roman"/>
              <w:b w:val="0"/>
              <w:bCs w:val="0"/>
              <w:color w:val="auto"/>
            </w:rPr>
            <w:t>Supplementary Table S2. Cross-tabulation of anxious and depressive symptoms.</w:t>
          </w:r>
          <w:r>
            <w:rPr>
              <w:b w:val="0"/>
              <w:bCs w:val="0"/>
              <w:color w:val="auto"/>
            </w:rPr>
            <w:tab/>
          </w:r>
          <w:r>
            <w:rPr>
              <w:b w:val="0"/>
              <w:bCs w:val="0"/>
              <w:color w:val="auto"/>
            </w:rPr>
            <w:fldChar w:fldCharType="begin"/>
          </w:r>
          <w:r>
            <w:rPr>
              <w:b w:val="0"/>
              <w:bCs w:val="0"/>
              <w:color w:val="auto"/>
            </w:rPr>
            <w:instrText xml:space="preserve"> PAGEREF _Toc231081578 \h </w:instrText>
          </w:r>
          <w:r>
            <w:rPr>
              <w:b w:val="0"/>
              <w:bCs w:val="0"/>
              <w:color w:val="auto"/>
            </w:rPr>
            <w:fldChar w:fldCharType="separate"/>
          </w:r>
          <w:r>
            <w:rPr>
              <w:b w:val="0"/>
              <w:bCs w:val="0"/>
              <w:color w:val="auto"/>
            </w:rPr>
            <w:t>3</w:t>
          </w:r>
          <w:r>
            <w:rPr>
              <w:b w:val="0"/>
              <w:bCs w:val="0"/>
              <w:color w:val="auto"/>
            </w:rPr>
            <w:fldChar w:fldCharType="end"/>
          </w:r>
          <w:r>
            <w:rPr>
              <w:b w:val="0"/>
              <w:bCs w:val="0"/>
              <w:color w:val="auto"/>
            </w:rPr>
            <w:fldChar w:fldCharType="end"/>
          </w:r>
        </w:p>
        <w:p w14:paraId="5F1A604F">
          <w:pPr>
            <w:pStyle w:val="14"/>
            <w:rPr>
              <w:rFonts w:asciiTheme="minorHAnsi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zh-CN"/>
              <w14:ligatures w14:val="standardContextual"/>
            </w:rPr>
          </w:pPr>
          <w:r>
            <w:rPr>
              <w:color w:val="auto"/>
            </w:rPr>
            <w:fldChar w:fldCharType="begin"/>
          </w:r>
          <w:r>
            <w:rPr>
              <w:color w:val="auto"/>
            </w:rPr>
            <w:instrText xml:space="preserve"> HYPERLINK \l "_Toc231081579" </w:instrText>
          </w:r>
          <w:r>
            <w:rPr>
              <w:color w:val="auto"/>
            </w:rPr>
            <w:fldChar w:fldCharType="separate"/>
          </w:r>
          <w:r>
            <w:rPr>
              <w:rStyle w:val="21"/>
              <w:rFonts w:eastAsia="Times New Roman"/>
              <w:b w:val="0"/>
              <w:bCs w:val="0"/>
              <w:color w:val="auto"/>
            </w:rPr>
            <w:t>Supplementary Table S3. Summary of multiplicity correction for univariable NVN analyses.</w:t>
          </w:r>
          <w:r>
            <w:rPr>
              <w:b w:val="0"/>
              <w:bCs w:val="0"/>
              <w:color w:val="auto"/>
            </w:rPr>
            <w:tab/>
          </w:r>
          <w:r>
            <w:rPr>
              <w:b w:val="0"/>
              <w:bCs w:val="0"/>
              <w:color w:val="auto"/>
            </w:rPr>
            <w:fldChar w:fldCharType="begin"/>
          </w:r>
          <w:r>
            <w:rPr>
              <w:b w:val="0"/>
              <w:bCs w:val="0"/>
              <w:color w:val="auto"/>
            </w:rPr>
            <w:instrText xml:space="preserve"> PAGEREF _Toc231081579 \h </w:instrText>
          </w:r>
          <w:r>
            <w:rPr>
              <w:b w:val="0"/>
              <w:bCs w:val="0"/>
              <w:color w:val="auto"/>
            </w:rPr>
            <w:fldChar w:fldCharType="separate"/>
          </w:r>
          <w:r>
            <w:rPr>
              <w:b w:val="0"/>
              <w:bCs w:val="0"/>
              <w:color w:val="auto"/>
            </w:rPr>
            <w:t>4</w:t>
          </w:r>
          <w:r>
            <w:rPr>
              <w:b w:val="0"/>
              <w:bCs w:val="0"/>
              <w:color w:val="auto"/>
            </w:rPr>
            <w:fldChar w:fldCharType="end"/>
          </w:r>
          <w:r>
            <w:rPr>
              <w:b w:val="0"/>
              <w:bCs w:val="0"/>
              <w:color w:val="auto"/>
            </w:rPr>
            <w:fldChar w:fldCharType="end"/>
          </w:r>
        </w:p>
        <w:p w14:paraId="11EDB0B0">
          <w:pPr>
            <w:pStyle w:val="14"/>
            <w:rPr>
              <w:rFonts w:asciiTheme="minorHAnsi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zh-CN"/>
              <w14:ligatures w14:val="standardContextual"/>
            </w:rPr>
          </w:pPr>
          <w:r>
            <w:rPr>
              <w:color w:val="auto"/>
            </w:rPr>
            <w:fldChar w:fldCharType="begin"/>
          </w:r>
          <w:r>
            <w:rPr>
              <w:color w:val="auto"/>
            </w:rPr>
            <w:instrText xml:space="preserve"> HYPERLINK \l "_Toc231081580" </w:instrText>
          </w:r>
          <w:r>
            <w:rPr>
              <w:color w:val="auto"/>
            </w:rPr>
            <w:fldChar w:fldCharType="separate"/>
          </w:r>
          <w:r>
            <w:rPr>
              <w:rStyle w:val="21"/>
              <w:rFonts w:eastAsia="Times New Roman"/>
              <w:b w:val="0"/>
              <w:bCs w:val="0"/>
              <w:color w:val="auto"/>
            </w:rPr>
            <w:t>Supplementary Table S4. Nominal univariable associations before FDR correction.</w:t>
          </w:r>
          <w:r>
            <w:rPr>
              <w:b w:val="0"/>
              <w:bCs w:val="0"/>
              <w:color w:val="auto"/>
            </w:rPr>
            <w:tab/>
          </w:r>
          <w:r>
            <w:rPr>
              <w:b w:val="0"/>
              <w:bCs w:val="0"/>
              <w:color w:val="auto"/>
            </w:rPr>
            <w:fldChar w:fldCharType="begin"/>
          </w:r>
          <w:r>
            <w:rPr>
              <w:b w:val="0"/>
              <w:bCs w:val="0"/>
              <w:color w:val="auto"/>
            </w:rPr>
            <w:instrText xml:space="preserve"> PAGEREF _Toc231081580 \h </w:instrText>
          </w:r>
          <w:r>
            <w:rPr>
              <w:b w:val="0"/>
              <w:bCs w:val="0"/>
              <w:color w:val="auto"/>
            </w:rPr>
            <w:fldChar w:fldCharType="separate"/>
          </w:r>
          <w:r>
            <w:rPr>
              <w:b w:val="0"/>
              <w:bCs w:val="0"/>
              <w:color w:val="auto"/>
            </w:rPr>
            <w:t>5</w:t>
          </w:r>
          <w:r>
            <w:rPr>
              <w:b w:val="0"/>
              <w:bCs w:val="0"/>
              <w:color w:val="auto"/>
            </w:rPr>
            <w:fldChar w:fldCharType="end"/>
          </w:r>
          <w:r>
            <w:rPr>
              <w:b w:val="0"/>
              <w:bCs w:val="0"/>
              <w:color w:val="auto"/>
            </w:rPr>
            <w:fldChar w:fldCharType="end"/>
          </w:r>
        </w:p>
        <w:p w14:paraId="669FF852">
          <w:pPr>
            <w:pStyle w:val="14"/>
            <w:rPr>
              <w:rFonts w:asciiTheme="minorHAnsi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zh-CN"/>
              <w14:ligatures w14:val="standardContextual"/>
            </w:rPr>
          </w:pPr>
          <w:r>
            <w:rPr>
              <w:color w:val="auto"/>
            </w:rPr>
            <w:fldChar w:fldCharType="begin"/>
          </w:r>
          <w:r>
            <w:rPr>
              <w:color w:val="auto"/>
            </w:rPr>
            <w:instrText xml:space="preserve"> HYPERLINK \l "_Toc231081581" </w:instrText>
          </w:r>
          <w:r>
            <w:rPr>
              <w:color w:val="auto"/>
            </w:rPr>
            <w:fldChar w:fldCharType="separate"/>
          </w:r>
          <w:r>
            <w:rPr>
              <w:rStyle w:val="21"/>
              <w:rFonts w:eastAsia="Times New Roman"/>
              <w:b w:val="0"/>
              <w:bCs w:val="0"/>
              <w:color w:val="auto"/>
            </w:rPr>
            <w:t>Supplementary Table S5. Simplified multivariable logistic regression models and Firth penalised sensitivity analyses.</w:t>
          </w:r>
          <w:r>
            <w:rPr>
              <w:b w:val="0"/>
              <w:bCs w:val="0"/>
              <w:color w:val="auto"/>
            </w:rPr>
            <w:tab/>
          </w:r>
          <w:r>
            <w:rPr>
              <w:b w:val="0"/>
              <w:bCs w:val="0"/>
              <w:color w:val="auto"/>
            </w:rPr>
            <w:fldChar w:fldCharType="begin"/>
          </w:r>
          <w:r>
            <w:rPr>
              <w:b w:val="0"/>
              <w:bCs w:val="0"/>
              <w:color w:val="auto"/>
            </w:rPr>
            <w:instrText xml:space="preserve"> PAGEREF _Toc231081581 \h </w:instrText>
          </w:r>
          <w:r>
            <w:rPr>
              <w:b w:val="0"/>
              <w:bCs w:val="0"/>
              <w:color w:val="auto"/>
            </w:rPr>
            <w:fldChar w:fldCharType="separate"/>
          </w:r>
          <w:r>
            <w:rPr>
              <w:b w:val="0"/>
              <w:bCs w:val="0"/>
              <w:color w:val="auto"/>
            </w:rPr>
            <w:t>6</w:t>
          </w:r>
          <w:r>
            <w:rPr>
              <w:b w:val="0"/>
              <w:bCs w:val="0"/>
              <w:color w:val="auto"/>
            </w:rPr>
            <w:fldChar w:fldCharType="end"/>
          </w:r>
          <w:r>
            <w:rPr>
              <w:b w:val="0"/>
              <w:bCs w:val="0"/>
              <w:color w:val="auto"/>
            </w:rPr>
            <w:fldChar w:fldCharType="end"/>
          </w:r>
        </w:p>
        <w:p w14:paraId="22065E52">
          <w:pPr>
            <w:pStyle w:val="14"/>
            <w:rPr>
              <w:rFonts w:asciiTheme="minorHAnsi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zh-CN"/>
              <w14:ligatures w14:val="standardContextual"/>
            </w:rPr>
          </w:pPr>
          <w:r>
            <w:rPr>
              <w:color w:val="auto"/>
            </w:rPr>
            <w:fldChar w:fldCharType="begin"/>
          </w:r>
          <w:r>
            <w:rPr>
              <w:color w:val="auto"/>
            </w:rPr>
            <w:instrText xml:space="preserve"> HYPERLINK \l "_Toc231081582" </w:instrText>
          </w:r>
          <w:r>
            <w:rPr>
              <w:color w:val="auto"/>
            </w:rPr>
            <w:fldChar w:fldCharType="separate"/>
          </w:r>
          <w:r>
            <w:rPr>
              <w:rStyle w:val="21"/>
              <w:rFonts w:eastAsia="Times New Roman"/>
              <w:b w:val="0"/>
              <w:bCs w:val="0"/>
              <w:color w:val="auto"/>
            </w:rPr>
            <w:t>Supplementary Table S6. Exploratory ROC analyses with bootstrap optimism correction.</w:t>
          </w:r>
          <w:r>
            <w:rPr>
              <w:b w:val="0"/>
              <w:bCs w:val="0"/>
              <w:color w:val="auto"/>
            </w:rPr>
            <w:tab/>
          </w:r>
          <w:r>
            <w:rPr>
              <w:b w:val="0"/>
              <w:bCs w:val="0"/>
              <w:color w:val="auto"/>
            </w:rPr>
            <w:fldChar w:fldCharType="begin"/>
          </w:r>
          <w:r>
            <w:rPr>
              <w:b w:val="0"/>
              <w:bCs w:val="0"/>
              <w:color w:val="auto"/>
            </w:rPr>
            <w:instrText xml:space="preserve"> PAGEREF _Toc231081582 \h </w:instrText>
          </w:r>
          <w:r>
            <w:rPr>
              <w:b w:val="0"/>
              <w:bCs w:val="0"/>
              <w:color w:val="auto"/>
            </w:rPr>
            <w:fldChar w:fldCharType="separate"/>
          </w:r>
          <w:r>
            <w:rPr>
              <w:b w:val="0"/>
              <w:bCs w:val="0"/>
              <w:color w:val="auto"/>
            </w:rPr>
            <w:t>8</w:t>
          </w:r>
          <w:r>
            <w:rPr>
              <w:b w:val="0"/>
              <w:bCs w:val="0"/>
              <w:color w:val="auto"/>
            </w:rPr>
            <w:fldChar w:fldCharType="end"/>
          </w:r>
          <w:r>
            <w:rPr>
              <w:b w:val="0"/>
              <w:bCs w:val="0"/>
              <w:color w:val="auto"/>
            </w:rPr>
            <w:fldChar w:fldCharType="end"/>
          </w:r>
        </w:p>
        <w:p w14:paraId="695D4548">
          <w:pPr>
            <w:pStyle w:val="14"/>
            <w:rPr>
              <w:rFonts w:asciiTheme="minorHAnsi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zh-CN"/>
              <w14:ligatures w14:val="standardContextual"/>
            </w:rPr>
          </w:pPr>
          <w:r>
            <w:rPr>
              <w:color w:val="auto"/>
            </w:rPr>
            <w:fldChar w:fldCharType="begin"/>
          </w:r>
          <w:r>
            <w:rPr>
              <w:color w:val="auto"/>
            </w:rPr>
            <w:instrText xml:space="preserve"> HYPERLINK \l "_Toc231081583" </w:instrText>
          </w:r>
          <w:r>
            <w:rPr>
              <w:color w:val="auto"/>
            </w:rPr>
            <w:fldChar w:fldCharType="separate"/>
          </w:r>
          <w:r>
            <w:rPr>
              <w:rStyle w:val="21"/>
              <w:rFonts w:eastAsia="Times New Roman"/>
              <w:b w:val="0"/>
              <w:bCs w:val="0"/>
              <w:color w:val="auto"/>
            </w:rPr>
            <w:t>Supplementary Table S7. Descriptive statistics of key NVN variables across affective-symptom overlap groups.</w:t>
          </w:r>
          <w:r>
            <w:rPr>
              <w:b w:val="0"/>
              <w:bCs w:val="0"/>
              <w:color w:val="auto"/>
            </w:rPr>
            <w:tab/>
          </w:r>
          <w:r>
            <w:rPr>
              <w:b w:val="0"/>
              <w:bCs w:val="0"/>
              <w:color w:val="auto"/>
            </w:rPr>
            <w:fldChar w:fldCharType="begin"/>
          </w:r>
          <w:r>
            <w:rPr>
              <w:b w:val="0"/>
              <w:bCs w:val="0"/>
              <w:color w:val="auto"/>
            </w:rPr>
            <w:instrText xml:space="preserve"> PAGEREF _Toc231081583 \h </w:instrText>
          </w:r>
          <w:r>
            <w:rPr>
              <w:b w:val="0"/>
              <w:bCs w:val="0"/>
              <w:color w:val="auto"/>
            </w:rPr>
            <w:fldChar w:fldCharType="separate"/>
          </w:r>
          <w:r>
            <w:rPr>
              <w:b w:val="0"/>
              <w:bCs w:val="0"/>
              <w:color w:val="auto"/>
            </w:rPr>
            <w:t>9</w:t>
          </w:r>
          <w:r>
            <w:rPr>
              <w:b w:val="0"/>
              <w:bCs w:val="0"/>
              <w:color w:val="auto"/>
            </w:rPr>
            <w:fldChar w:fldCharType="end"/>
          </w:r>
          <w:r>
            <w:rPr>
              <w:b w:val="0"/>
              <w:bCs w:val="0"/>
              <w:color w:val="auto"/>
            </w:rPr>
            <w:fldChar w:fldCharType="end"/>
          </w:r>
        </w:p>
        <w:p w14:paraId="2639D973">
          <w:pPr>
            <w:spacing w:line="480" w:lineRule="auto"/>
            <w:rPr>
              <w:color w:val="auto"/>
            </w:rPr>
          </w:pPr>
          <w:r>
            <w:rPr>
              <w:rFonts w:ascii="Times New Roman" w:hAnsi="Times New Roman"/>
              <w:b/>
              <w:bCs/>
              <w:color w:val="auto"/>
            </w:rPr>
            <w:fldChar w:fldCharType="end"/>
          </w:r>
        </w:p>
      </w:sdtContent>
    </w:sdt>
    <w:p w14:paraId="6EBAD9FD">
      <w:pPr>
        <w:keepNext/>
        <w:spacing w:before="120" w:after="60"/>
        <w:rPr>
          <w:rFonts w:ascii="Times New Roman" w:hAnsi="Times New Roman" w:eastAsia="Times New Roman"/>
          <w:b/>
          <w:color w:val="auto"/>
          <w:sz w:val="24"/>
        </w:rPr>
      </w:pPr>
    </w:p>
    <w:p w14:paraId="1965E50B">
      <w:pPr>
        <w:rPr>
          <w:rFonts w:ascii="Times New Roman" w:hAnsi="Times New Roman" w:eastAsia="Times New Roman"/>
          <w:color w:val="auto"/>
          <w:sz w:val="24"/>
        </w:rPr>
        <w:sectPr>
          <w:footerReference r:id="rId3" w:type="default"/>
          <w:pgSz w:w="12240" w:h="15840"/>
          <w:pgMar w:top="1008" w:right="864" w:bottom="1008" w:left="864" w:header="720" w:footer="720" w:gutter="0"/>
          <w:cols w:space="720" w:num="1"/>
          <w:docGrid w:linePitch="360" w:charSpace="0"/>
        </w:sectPr>
      </w:pPr>
    </w:p>
    <w:p w14:paraId="308401EA">
      <w:pPr>
        <w:pStyle w:val="2"/>
        <w:spacing w:before="0" w:after="0"/>
        <w:rPr>
          <w:color w:val="auto"/>
        </w:rPr>
      </w:pPr>
      <w:bookmarkStart w:id="0" w:name="_Toc231081577"/>
      <w:r>
        <w:rPr>
          <w:rFonts w:ascii="Times New Roman" w:hAnsi="Times New Roman" w:eastAsia="Times New Roman"/>
          <w:color w:val="auto"/>
          <w:sz w:val="24"/>
        </w:rPr>
        <w:t>Supplementary Table S1. Distribution of anxious and depressive symptom overlap.</w:t>
      </w:r>
      <w:bookmarkEnd w:id="0"/>
    </w:p>
    <w:tbl>
      <w:tblPr>
        <w:tblStyle w:val="1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9"/>
        <w:gridCol w:w="320"/>
        <w:gridCol w:w="583"/>
      </w:tblGrid>
      <w:tr w14:paraId="6C0D1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4A369D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Affective symptom group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1DFF3F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D60866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%</w:t>
            </w:r>
          </w:p>
        </w:tc>
      </w:tr>
      <w:tr w14:paraId="46E51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FFC6FD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Neither anxious nor depressive symptoms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81B87E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55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8F98C8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61.1</w:t>
            </w:r>
          </w:p>
        </w:tc>
      </w:tr>
      <w:tr w14:paraId="5EF4F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A7E699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Anxious symptoms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663A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6A0955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4.4</w:t>
            </w:r>
          </w:p>
        </w:tc>
      </w:tr>
      <w:tr w14:paraId="679E9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F0CD3B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Depressive symptoms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FE57FB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82024B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23.3</w:t>
            </w:r>
          </w:p>
        </w:tc>
      </w:tr>
      <w:tr w14:paraId="5E342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FA448C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Comorbid anxious and depressive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247B22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94C41B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11.1</w:t>
            </w:r>
          </w:p>
        </w:tc>
      </w:tr>
      <w:tr w14:paraId="5669C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46EA45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9611F0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3AF8DC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100.0</w:t>
            </w:r>
          </w:p>
        </w:tc>
      </w:tr>
    </w:tbl>
    <w:p w14:paraId="3A0D68AE">
      <w:pPr>
        <w:keepNext/>
        <w:spacing w:before="40" w:after="120"/>
        <w:rPr>
          <w:rFonts w:ascii="Times New Roman" w:hAnsi="Times New Roman" w:eastAsia="Times New Roman"/>
          <w:color w:val="auto"/>
          <w:sz w:val="24"/>
        </w:rPr>
        <w:sectPr>
          <w:pgSz w:w="12240" w:h="15840"/>
          <w:pgMar w:top="1008" w:right="864" w:bottom="1008" w:left="864" w:header="720" w:footer="720" w:gutter="0"/>
          <w:cols w:space="720" w:num="1"/>
          <w:docGrid w:linePitch="360" w:charSpace="0"/>
        </w:sectPr>
      </w:pPr>
      <w:r>
        <w:rPr>
          <w:rFonts w:ascii="Times New Roman" w:hAnsi="Times New Roman" w:eastAsia="Times New Roman"/>
          <w:color w:val="auto"/>
          <w:sz w:val="24"/>
        </w:rPr>
        <w:t>Note: Percentages were calculated using the total sample size (n=90). Anxious symptoms were defined as HAMA &gt;14, and depressive symptoms were defined as HAMD &gt;7.</w:t>
      </w:r>
    </w:p>
    <w:p w14:paraId="0AFD0BC0">
      <w:pPr>
        <w:pStyle w:val="2"/>
        <w:spacing w:before="0" w:after="0"/>
        <w:rPr>
          <w:rFonts w:ascii="Times New Roman" w:hAnsi="Times New Roman" w:eastAsia="Times New Roman"/>
          <w:color w:val="auto"/>
          <w:sz w:val="24"/>
        </w:rPr>
      </w:pPr>
      <w:bookmarkStart w:id="1" w:name="_Toc231081578"/>
      <w:r>
        <w:rPr>
          <w:rFonts w:ascii="Times New Roman" w:hAnsi="Times New Roman" w:eastAsia="Times New Roman"/>
          <w:color w:val="auto"/>
          <w:sz w:val="24"/>
        </w:rPr>
        <w:t>Supplementary Table S2. Cross-tabulation of anxious and depressive symptoms.</w:t>
      </w:r>
      <w:bookmarkEnd w:id="1"/>
    </w:p>
    <w:tbl>
      <w:tblPr>
        <w:tblStyle w:val="1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2673"/>
        <w:gridCol w:w="2751"/>
        <w:gridCol w:w="570"/>
      </w:tblGrid>
      <w:tr w14:paraId="3ADF7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876F4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Anxious symptoms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B83CF1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Depressive symptoms absent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06BC47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Depressive symptoms present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71914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Total</w:t>
            </w:r>
          </w:p>
        </w:tc>
      </w:tr>
      <w:tr w14:paraId="68DB2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0F804C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Absent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B99B96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55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9270E8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21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023C96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76</w:t>
            </w:r>
          </w:p>
        </w:tc>
      </w:tr>
      <w:tr w14:paraId="6CA93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14FBCD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0CAAC2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FFB2AA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75E39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14</w:t>
            </w:r>
          </w:p>
        </w:tc>
      </w:tr>
      <w:tr w14:paraId="0E5A4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6816F2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450160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52BA50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C23AE5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90</w:t>
            </w:r>
          </w:p>
        </w:tc>
      </w:tr>
    </w:tbl>
    <w:p w14:paraId="1D2CF979">
      <w:pPr>
        <w:keepNext/>
        <w:spacing w:before="40" w:after="120"/>
        <w:rPr>
          <w:rFonts w:ascii="Times New Roman" w:hAnsi="Times New Roman" w:eastAsiaTheme="minorEastAsia"/>
          <w:color w:val="auto"/>
          <w:sz w:val="24"/>
        </w:rPr>
      </w:pPr>
      <w:r>
        <w:rPr>
          <w:rFonts w:ascii="Times New Roman" w:hAnsi="Times New Roman" w:eastAsia="Times New Roman"/>
          <w:color w:val="auto"/>
          <w:sz w:val="24"/>
        </w:rPr>
        <w:t xml:space="preserve">Note: Fisher exact test for the association between binary anxious and depressive symptoms, P=0.004. Spearman correlation between continuous HAMA and HAMD scores, rho=0.833, P=2.4 x 10^-24. </w:t>
      </w:r>
    </w:p>
    <w:p w14:paraId="2F75AC36">
      <w:pPr>
        <w:keepNext/>
        <w:spacing w:before="40" w:after="120"/>
        <w:rPr>
          <w:rFonts w:ascii="Times New Roman" w:hAnsi="Times New Roman" w:eastAsia="Times New Roman"/>
          <w:color w:val="auto"/>
          <w:sz w:val="24"/>
        </w:rPr>
        <w:sectPr>
          <w:pgSz w:w="12240" w:h="15840"/>
          <w:pgMar w:top="1008" w:right="864" w:bottom="1008" w:left="864" w:header="720" w:footer="720" w:gutter="0"/>
          <w:cols w:space="720" w:num="1"/>
          <w:docGrid w:linePitch="360" w:charSpace="0"/>
        </w:sectPr>
      </w:pPr>
      <w:r>
        <w:rPr>
          <w:rFonts w:hint="eastAsia" w:ascii="Times New Roman" w:hAnsi="Times New Roman" w:eastAsiaTheme="minorEastAsia"/>
          <w:color w:val="auto"/>
          <w:sz w:val="24"/>
        </w:rPr>
        <w:t xml:space="preserve">Abbreviations: </w:t>
      </w:r>
      <w:r>
        <w:rPr>
          <w:rFonts w:ascii="Times New Roman" w:hAnsi="Times New Roman" w:eastAsia="Times New Roman"/>
          <w:color w:val="auto"/>
          <w:sz w:val="24"/>
        </w:rPr>
        <w:t>HAMA, Hamilton Anxiety Rating Scale; HAMD, Hamilton Depression Rating Scale.</w:t>
      </w:r>
    </w:p>
    <w:p w14:paraId="354A639D">
      <w:pPr>
        <w:pStyle w:val="2"/>
        <w:spacing w:before="0" w:after="0"/>
        <w:rPr>
          <w:rFonts w:ascii="Times New Roman" w:hAnsi="Times New Roman" w:eastAsia="Times New Roman"/>
          <w:color w:val="auto"/>
          <w:sz w:val="24"/>
        </w:rPr>
      </w:pPr>
      <w:bookmarkStart w:id="2" w:name="_Toc231081579"/>
      <w:r>
        <w:rPr>
          <w:rFonts w:ascii="Times New Roman" w:hAnsi="Times New Roman" w:eastAsia="Times New Roman"/>
          <w:color w:val="auto"/>
          <w:sz w:val="24"/>
        </w:rPr>
        <w:t>Supplementary Table S3. Summary of multiplicity correction for univariable NVN analyses.</w:t>
      </w:r>
      <w:bookmarkEnd w:id="2"/>
    </w:p>
    <w:tbl>
      <w:tblPr>
        <w:tblStyle w:val="1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9"/>
        <w:gridCol w:w="1096"/>
        <w:gridCol w:w="1939"/>
        <w:gridCol w:w="2861"/>
        <w:gridCol w:w="2374"/>
      </w:tblGrid>
      <w:tr w14:paraId="2EC64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DC57BA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Outcome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1E3E4D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No. of tests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4917F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No. with raw P&lt;0.05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296992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No. with FDR-adjusted P&lt;0.05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C3F622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Smallest FDR-adjusted P</w:t>
            </w:r>
          </w:p>
        </w:tc>
      </w:tr>
      <w:tr w14:paraId="30C79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784B11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Anxious symptoms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E46F38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96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8B78FB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AD1385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D2A317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0.809</w:t>
            </w:r>
          </w:p>
        </w:tc>
      </w:tr>
      <w:tr w14:paraId="36B67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2002E1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Depressive symptoms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1B76BD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A6F406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EC48F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8342C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0.259</w:t>
            </w:r>
          </w:p>
        </w:tc>
      </w:tr>
    </w:tbl>
    <w:p w14:paraId="7FFE27AF">
      <w:pPr>
        <w:keepNext/>
        <w:spacing w:before="40" w:after="120"/>
        <w:rPr>
          <w:rFonts w:ascii="Times New Roman" w:hAnsi="Times New Roman" w:eastAsiaTheme="minorEastAsia"/>
          <w:color w:val="auto"/>
          <w:sz w:val="24"/>
        </w:rPr>
      </w:pPr>
      <w:r>
        <w:rPr>
          <w:rFonts w:ascii="Times New Roman" w:hAnsi="Times New Roman" w:eastAsia="Times New Roman"/>
          <w:color w:val="auto"/>
          <w:sz w:val="24"/>
        </w:rPr>
        <w:t>Note: Benjamini-Hochberg false discovery rate (FDR) correction was applied separately for each outcome across all examined NVN and cerebrovascular response parameters.</w:t>
      </w:r>
    </w:p>
    <w:p w14:paraId="1070FE81">
      <w:pPr>
        <w:keepNext/>
        <w:spacing w:before="40" w:after="120"/>
        <w:rPr>
          <w:color w:val="auto"/>
        </w:rPr>
      </w:pPr>
      <w:r>
        <w:rPr>
          <w:rFonts w:hint="eastAsia" w:ascii="Times New Roman" w:hAnsi="Times New Roman" w:eastAsiaTheme="minorEastAsia"/>
          <w:color w:val="auto"/>
          <w:sz w:val="24"/>
        </w:rPr>
        <w:t xml:space="preserve">Abbreviations: </w:t>
      </w:r>
      <w:r>
        <w:rPr>
          <w:rFonts w:ascii="Times New Roman" w:hAnsi="Times New Roman" w:eastAsia="Times New Roman"/>
          <w:color w:val="auto"/>
          <w:sz w:val="24"/>
        </w:rPr>
        <w:t>NVN, neurovascular network.</w:t>
      </w:r>
    </w:p>
    <w:p w14:paraId="59E04592">
      <w:pPr>
        <w:rPr>
          <w:color w:val="auto"/>
        </w:rPr>
        <w:sectPr>
          <w:pgSz w:w="12240" w:h="15840"/>
          <w:pgMar w:top="1008" w:right="864" w:bottom="1008" w:left="864" w:header="720" w:footer="720" w:gutter="0"/>
          <w:cols w:space="720" w:num="1"/>
          <w:docGrid w:linePitch="360" w:charSpace="0"/>
        </w:sectPr>
      </w:pPr>
    </w:p>
    <w:p w14:paraId="0BD9E069">
      <w:pPr>
        <w:pStyle w:val="2"/>
        <w:spacing w:before="0" w:after="0"/>
        <w:rPr>
          <w:rFonts w:ascii="Times New Roman" w:hAnsi="Times New Roman" w:eastAsia="Times New Roman"/>
          <w:color w:val="auto"/>
          <w:sz w:val="24"/>
        </w:rPr>
      </w:pPr>
      <w:bookmarkStart w:id="3" w:name="_Toc231081580"/>
      <w:r>
        <w:rPr>
          <w:rFonts w:ascii="Times New Roman" w:hAnsi="Times New Roman" w:eastAsia="Times New Roman"/>
          <w:color w:val="auto"/>
          <w:sz w:val="24"/>
        </w:rPr>
        <w:t>Supplementary Table S4. Nominal univariable associations before FDR correction.</w:t>
      </w:r>
      <w:bookmarkEnd w:id="3"/>
    </w:p>
    <w:tbl>
      <w:tblPr>
        <w:tblStyle w:val="1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9"/>
        <w:gridCol w:w="822"/>
        <w:gridCol w:w="3944"/>
        <w:gridCol w:w="1825"/>
        <w:gridCol w:w="700"/>
        <w:gridCol w:w="1563"/>
        <w:gridCol w:w="583"/>
      </w:tblGrid>
      <w:tr w14:paraId="6D434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2E4FA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Outcome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971393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Domain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D6D68D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Candidate parameter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1E4C6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OR (95% 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663F53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 xml:space="preserve">Raw </w:t>
            </w:r>
            <w:r>
              <w:rPr>
                <w:rFonts w:ascii="Times New Roman" w:hAnsi="Times New Roman" w:eastAsia="Times New Roman"/>
                <w:b/>
                <w:i/>
                <w:iCs/>
                <w:color w:val="auto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980B46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 xml:space="preserve">FDR-adjusted </w:t>
            </w:r>
            <w:r>
              <w:rPr>
                <w:rFonts w:ascii="Times New Roman" w:hAnsi="Times New Roman" w:eastAsia="Times New Roman"/>
                <w:b/>
                <w:i/>
                <w:iCs/>
                <w:color w:val="auto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F55824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AUC</w:t>
            </w:r>
          </w:p>
        </w:tc>
      </w:tr>
      <w:tr w14:paraId="782F5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819151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Anxious symptoms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B0A82B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NVC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3047FE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ΔBP during Stroop Stage 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58E953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1.044 (1.005–1.085)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FBFDD5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0.027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457E56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0.809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0C9EA8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0.714</w:t>
            </w:r>
          </w:p>
        </w:tc>
      </w:tr>
      <w:tr w14:paraId="5A2A7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513120">
            <w:pPr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D67DB4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A13D80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LF Gain-Left during handgrip (binary)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966E6B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0.247 (0.071–0.860)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16B412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06EF07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0CCD3C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0.666</w:t>
            </w:r>
          </w:p>
        </w:tc>
      </w:tr>
      <w:tr w14:paraId="2E2A7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B111D9">
            <w:pPr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67040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0D067D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LF Phase-Left at 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15ABC0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0.983 (0.967–0.999)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6AA112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B1EB7C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3B384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0.672</w:t>
            </w:r>
          </w:p>
        </w:tc>
      </w:tr>
      <w:tr w14:paraId="186ED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FD3198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Depressive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6451A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9D9823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VLF Phase-Left during handgrip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815D0C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0.983 (0.972–0.995)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DB591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F5CF5B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207D2C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0.701</w:t>
            </w:r>
          </w:p>
        </w:tc>
      </w:tr>
      <w:tr w14:paraId="71597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BF857B">
            <w:pPr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70BA1E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A0E33F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VLF Phase-Average during handgrip (binary)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FC0733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0.282 (0.113–0.702)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AD2504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71DD1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3BEF56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0.653</w:t>
            </w:r>
          </w:p>
        </w:tc>
      </w:tr>
      <w:tr w14:paraId="7CB2F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F4359A">
            <w:pPr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B91982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144B6C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VLF Phase-Left during handgrip (binary)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5A33F1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0.292 (0.118–0.726)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8772FF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3A7A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53BE28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0.646</w:t>
            </w:r>
          </w:p>
        </w:tc>
      </w:tr>
      <w:tr w14:paraId="5A3F5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59AE08">
            <w:pPr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764E4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A61739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VLF Phase-Optimal during handgrip (binary)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3D6A72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0.301 (0.118–0.764)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2984A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D31AC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B79797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0.643</w:t>
            </w:r>
          </w:p>
        </w:tc>
      </w:tr>
      <w:tr w14:paraId="48086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14D069">
            <w:pPr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C1AD1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EDB97C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VLF Gain-Left during handgrip (binary)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E02B50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0.360 (0.139–0.933)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EA5B73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C33E3E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37A6D7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0.617</w:t>
            </w:r>
          </w:p>
        </w:tc>
      </w:tr>
      <w:tr w14:paraId="37F91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C58809">
            <w:pPr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007DE4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HRV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EA4548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VLF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2FF412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1.014 (1.001–1.028)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B31AA6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12306B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D831BE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0.618</w:t>
            </w:r>
          </w:p>
        </w:tc>
      </w:tr>
      <w:tr w14:paraId="3CAEF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81DBE1">
            <w:pPr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DD2FF1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84E4ED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VLF Phase-Average during handgrip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0AB80E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0.983 (0.967–0.999)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43EA2C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7B61D7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65565D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0.659</w:t>
            </w:r>
          </w:p>
        </w:tc>
      </w:tr>
      <w:tr w14:paraId="60ABC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71260F">
            <w:pPr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CDDA67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HRV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4069CD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lnVLF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CAD2C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1.640 (1.009–2.666)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AC34A6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6C789B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0.556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5BA3E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0.618</w:t>
            </w:r>
          </w:p>
        </w:tc>
      </w:tr>
    </w:tbl>
    <w:p w14:paraId="25CD655E">
      <w:pPr>
        <w:keepNext/>
        <w:spacing w:before="40" w:after="120"/>
        <w:rPr>
          <w:rFonts w:ascii="Times New Roman" w:hAnsi="Times New Roman" w:eastAsiaTheme="minorEastAsia"/>
          <w:color w:val="auto"/>
          <w:sz w:val="24"/>
        </w:rPr>
      </w:pPr>
      <w:r>
        <w:rPr>
          <w:rFonts w:ascii="Times New Roman" w:hAnsi="Times New Roman" w:eastAsia="Times New Roman"/>
          <w:color w:val="auto"/>
          <w:sz w:val="24"/>
        </w:rPr>
        <w:t>Note: Only variables with raw P&lt;0.05 are displayed. None remained statistically significant after FDR correction. Continuous predictors are reported per original unit in univariable models unless otherwise specified; binary predictors are level 1 versus 0.</w:t>
      </w:r>
    </w:p>
    <w:p w14:paraId="39FF44BD">
      <w:pPr>
        <w:keepNext/>
        <w:spacing w:before="40" w:after="120"/>
        <w:rPr>
          <w:color w:val="auto"/>
        </w:rPr>
      </w:pPr>
      <w:r>
        <w:rPr>
          <w:rFonts w:hint="eastAsia" w:ascii="Times New Roman" w:hAnsi="Times New Roman" w:eastAsiaTheme="minorEastAsia"/>
          <w:color w:val="auto"/>
          <w:sz w:val="24"/>
        </w:rPr>
        <w:t xml:space="preserve">Abbreviations: </w:t>
      </w:r>
      <w:r>
        <w:rPr>
          <w:rFonts w:ascii="Times New Roman" w:hAnsi="Times New Roman" w:eastAsia="Times New Roman"/>
          <w:color w:val="auto"/>
          <w:sz w:val="24"/>
        </w:rPr>
        <w:t>CA, cerebral autoregulation; FDR, false discovery rate; HRV, heart rate variability; NVC, neurovascular coupling; VLF, very low frequency; LF, low frequency.</w:t>
      </w:r>
    </w:p>
    <w:p w14:paraId="10FCD20B">
      <w:pPr>
        <w:rPr>
          <w:color w:val="auto"/>
        </w:rPr>
      </w:pPr>
      <w:r>
        <w:rPr>
          <w:rFonts w:ascii="Times New Roman" w:hAnsi="Times New Roman" w:eastAsia="Times New Roman"/>
          <w:color w:val="auto"/>
          <w:sz w:val="24"/>
        </w:rPr>
        <w:br w:type="page"/>
      </w:r>
    </w:p>
    <w:p w14:paraId="4E129922">
      <w:pPr>
        <w:pStyle w:val="2"/>
        <w:spacing w:before="0" w:after="0"/>
        <w:rPr>
          <w:rFonts w:ascii="Times New Roman" w:hAnsi="Times New Roman" w:eastAsia="Times New Roman"/>
          <w:color w:val="auto"/>
          <w:sz w:val="24"/>
        </w:rPr>
      </w:pPr>
      <w:bookmarkStart w:id="4" w:name="_Toc231081581"/>
      <w:r>
        <w:rPr>
          <w:rFonts w:ascii="Times New Roman" w:hAnsi="Times New Roman" w:eastAsia="Times New Roman"/>
          <w:color w:val="auto"/>
          <w:sz w:val="24"/>
        </w:rPr>
        <w:t>Supplementary Table S5. Simplified multivariable logistic regression models and Firth penalised sensitivity analyses.</w:t>
      </w:r>
      <w:bookmarkEnd w:id="4"/>
    </w:p>
    <w:p w14:paraId="7F9B04F9">
      <w:pPr>
        <w:spacing w:before="40" w:after="40"/>
        <w:rPr>
          <w:color w:val="auto"/>
        </w:rPr>
      </w:pPr>
      <w:r>
        <w:rPr>
          <w:rFonts w:ascii="Times New Roman" w:hAnsi="Times New Roman" w:eastAsia="Times New Roman"/>
          <w:i/>
          <w:color w:val="auto"/>
          <w:sz w:val="24"/>
        </w:rPr>
        <w:t>Panel A. Models for anxious symptoms</w:t>
      </w:r>
    </w:p>
    <w:tbl>
      <w:tblPr>
        <w:tblStyle w:val="1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0"/>
        <w:gridCol w:w="2385"/>
        <w:gridCol w:w="2578"/>
        <w:gridCol w:w="583"/>
        <w:gridCol w:w="1930"/>
        <w:gridCol w:w="583"/>
      </w:tblGrid>
      <w:tr w14:paraId="5BAD9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1ABB11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Model covariates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8769B3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Term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EEA882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Conventional OR (95% 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C34AB5">
            <w:pPr>
              <w:jc w:val="center"/>
              <w:rPr>
                <w:i/>
                <w:iCs/>
                <w:color w:val="auto"/>
              </w:rPr>
            </w:pPr>
            <w:r>
              <w:rPr>
                <w:rFonts w:ascii="Times New Roman" w:hAnsi="Times New Roman" w:eastAsia="Times New Roman"/>
                <w:b/>
                <w:i/>
                <w:iCs/>
                <w:color w:val="auto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15E68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Firth OR (95% 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9D503">
            <w:pPr>
              <w:jc w:val="center"/>
              <w:rPr>
                <w:i/>
                <w:iCs/>
                <w:color w:val="auto"/>
              </w:rPr>
            </w:pPr>
            <w:r>
              <w:rPr>
                <w:rFonts w:ascii="Times New Roman" w:hAnsi="Times New Roman" w:eastAsia="Times New Roman"/>
                <w:b/>
                <w:i/>
                <w:iCs/>
                <w:color w:val="auto"/>
              </w:rPr>
              <w:t>P</w:t>
            </w:r>
          </w:p>
        </w:tc>
      </w:tr>
      <w:tr w14:paraId="2B0F6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F7032D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Age, sex, ΔBP during Stroop Stage 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4191AB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ΔBP during Stroop Stage 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7E0910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2.393 (1.250–4.581)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2E90A4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0.008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6FB7A6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2.243 (1.201–4.187)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52D81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0.011</w:t>
            </w:r>
          </w:p>
        </w:tc>
      </w:tr>
      <w:tr w14:paraId="3AE1D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946715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Age, sex, LF Phase-Left at 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4338A5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LF Phase-Left at 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E0C545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0.546 (0.290–1.028)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FCABCD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57B91A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0.579 (0.315–1.063)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650E4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0.078</w:t>
            </w:r>
          </w:p>
        </w:tc>
      </w:tr>
      <w:tr w14:paraId="2B3BC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AC741">
            <w:pPr>
              <w:jc w:val="left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Age, sex, ΔBP during Stroop Stage 3, depressive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9ABF64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ΔBP during Stroop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AD0A55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2.375 (1.171–4.817)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72691E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37A90D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2.180 (1.122–4.235)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5D02A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0.022</w:t>
            </w:r>
          </w:p>
        </w:tc>
      </w:tr>
      <w:tr w14:paraId="02616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D8D762">
            <w:pPr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CB947B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Depressive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0C1045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7.366 (1.844–29.426)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D8FBE2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43FE9F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6.076 (1.666–22.168)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8BD46F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0.006</w:t>
            </w:r>
          </w:p>
        </w:tc>
      </w:tr>
      <w:tr w14:paraId="03B09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097045">
            <w:pPr>
              <w:jc w:val="left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Age, sex, LF Phase-Left at rest, depressive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24F943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LF Phase-Left at 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7B4301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0.551 (0.264–1.153)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631AB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6C185B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0.587 (0.295–1.169)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EF2D7B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0.129</w:t>
            </w:r>
          </w:p>
        </w:tc>
      </w:tr>
      <w:tr w14:paraId="10263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11F049">
            <w:pPr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3BF005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Depressive symptoms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73BEF2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7.013 (1.816–27.077)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70F633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A1C36B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5.728 (1.625–20.193)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D29EE3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0.007</w:t>
            </w:r>
          </w:p>
        </w:tc>
      </w:tr>
    </w:tbl>
    <w:p w14:paraId="44AAE391">
      <w:pPr>
        <w:spacing w:before="40" w:after="40"/>
        <w:rPr>
          <w:color w:val="auto"/>
        </w:rPr>
      </w:pPr>
      <w:r>
        <w:rPr>
          <w:rFonts w:ascii="Times New Roman" w:hAnsi="Times New Roman" w:eastAsia="Times New Roman"/>
          <w:i/>
          <w:color w:val="auto"/>
          <w:sz w:val="24"/>
        </w:rPr>
        <w:t>Panel B. Models for depressive symptoms</w:t>
      </w:r>
    </w:p>
    <w:tbl>
      <w:tblPr>
        <w:tblStyle w:val="1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6"/>
        <w:gridCol w:w="1962"/>
        <w:gridCol w:w="2578"/>
        <w:gridCol w:w="583"/>
        <w:gridCol w:w="1930"/>
        <w:gridCol w:w="583"/>
      </w:tblGrid>
      <w:tr w14:paraId="169AC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E8F82E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Model covariates</w:t>
            </w:r>
          </w:p>
        </w:tc>
        <w:tc>
          <w:tcPr>
            <w:tcW w:w="19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5F9FF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Term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D453B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Conventional OR (95% 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9CC0DD">
            <w:pPr>
              <w:jc w:val="center"/>
              <w:rPr>
                <w:i/>
                <w:iCs/>
                <w:color w:val="auto"/>
              </w:rPr>
            </w:pPr>
            <w:r>
              <w:rPr>
                <w:rFonts w:ascii="Times New Roman" w:hAnsi="Times New Roman" w:eastAsia="Times New Roman"/>
                <w:b/>
                <w:i/>
                <w:iCs/>
                <w:color w:val="auto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9FC444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Firth OR (95% CI)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392058">
            <w:pPr>
              <w:jc w:val="center"/>
              <w:rPr>
                <w:i/>
                <w:iCs/>
                <w:color w:val="auto"/>
              </w:rPr>
            </w:pPr>
            <w:r>
              <w:rPr>
                <w:rFonts w:ascii="Times New Roman" w:hAnsi="Times New Roman" w:eastAsia="Times New Roman"/>
                <w:b/>
                <w:i/>
                <w:iCs/>
                <w:color w:val="auto"/>
              </w:rPr>
              <w:t>P</w:t>
            </w:r>
          </w:p>
        </w:tc>
      </w:tr>
      <w:tr w14:paraId="73E5A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2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CF9513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Age, sex, lnVLF</w:t>
            </w:r>
          </w:p>
        </w:tc>
        <w:tc>
          <w:tcPr>
            <w:tcW w:w="1962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96CA9A">
            <w:pPr>
              <w:jc w:val="left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lnVLF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E7417A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1.636 (0.999–2.677)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C79C65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0.050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C79593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1.587 (0.975–2.582)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C1FBCB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0.063</w:t>
            </w:r>
          </w:p>
        </w:tc>
      </w:tr>
      <w:tr w14:paraId="4FB18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6A82F5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Age, sex, VLF Phase-Left during handgrip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2EC573">
            <w:pPr>
              <w:jc w:val="left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VLF Phase-Left during handgrip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599B74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0.462 (0.270–0.793)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AD8057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216338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0.486 (0.287–0.823)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E83E7A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0.007</w:t>
            </w:r>
          </w:p>
        </w:tc>
      </w:tr>
      <w:tr w14:paraId="5B4D0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26" w:type="dxa"/>
            <w:vMerge w:val="restart"/>
            <w:tcBorders>
              <w:top w:val="nil"/>
              <w:left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64C37">
            <w:pPr>
              <w:jc w:val="left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Age, sex, lnVLF, anxious symptoms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F6D6A9">
            <w:pPr>
              <w:jc w:val="left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lnVLF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95F4D3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1.714 (1.007–2.918)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E1DE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2E7CFC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1.643 (0.978–2.761)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7DCDCE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0.061</w:t>
            </w:r>
          </w:p>
        </w:tc>
      </w:tr>
      <w:tr w14:paraId="0DD4C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26" w:type="dxa"/>
            <w:vMerge w:val="continue"/>
            <w:tcBorders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198957">
            <w:pPr>
              <w:rPr>
                <w:color w:val="auto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B68EF9">
            <w:pPr>
              <w:jc w:val="left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Anxious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979B0E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8.042 (2.042–31.673)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24558F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F310E4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6.740 (1.775–25.602)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DBA850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0.005</w:t>
            </w:r>
          </w:p>
        </w:tc>
      </w:tr>
      <w:tr w14:paraId="695B6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26" w:type="dxa"/>
            <w:vMerge w:val="restart"/>
            <w:tcBorders>
              <w:top w:val="nil"/>
              <w:left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0E6DD">
            <w:pPr>
              <w:jc w:val="left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Age, sex, VLF Phase-Left during handgrip, anxious symptoms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1582E8">
            <w:pPr>
              <w:jc w:val="left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VLF Phase-Left during handgrip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BB0DC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0.473 (0.270–0.825)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CCB2B4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F06181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0.501 (0.292–0.861)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D981F5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0.012</w:t>
            </w:r>
          </w:p>
        </w:tc>
      </w:tr>
      <w:tr w14:paraId="5FA2D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26" w:type="dxa"/>
            <w:vMerge w:val="continue"/>
            <w:tcBorders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ADABA">
            <w:pPr>
              <w:rPr>
                <w:color w:val="auto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760257">
            <w:pPr>
              <w:jc w:val="left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Anxious symptoms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448551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6.958 (1.776–27.264)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BB59BA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6E2498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5.909 (1.560–22.382)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7E7D8A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0.009</w:t>
            </w:r>
          </w:p>
        </w:tc>
      </w:tr>
    </w:tbl>
    <w:p w14:paraId="3A897C7A">
      <w:pPr>
        <w:keepNext/>
        <w:spacing w:before="40" w:after="120"/>
        <w:rPr>
          <w:color w:val="auto"/>
        </w:rPr>
      </w:pPr>
      <w:r>
        <w:rPr>
          <w:rFonts w:ascii="Times New Roman" w:hAnsi="Times New Roman" w:eastAsia="Times New Roman"/>
          <w:color w:val="auto"/>
          <w:sz w:val="24"/>
        </w:rPr>
        <w:t>Note: Continuous predictors were standardised; ORs are per 1-SD increase. Binary terms are level 1 versus 0. Age and sex were retained as adjustment covariates in all models; estimates for age and sex are omitted for readability. Firth penalised logistic regression was used as a sensitivity analysis to reduce small-sample and sparse-event bias.</w:t>
      </w:r>
    </w:p>
    <w:p w14:paraId="0975F4EE">
      <w:pPr>
        <w:keepNext/>
        <w:spacing w:before="120" w:after="60"/>
        <w:rPr>
          <w:rFonts w:ascii="Times New Roman" w:hAnsi="Times New Roman" w:eastAsia="Times New Roman"/>
          <w:b/>
          <w:color w:val="auto"/>
          <w:sz w:val="24"/>
        </w:rPr>
        <w:sectPr>
          <w:footerReference r:id="rId4" w:type="default"/>
          <w:pgSz w:w="16838" w:h="11906" w:orient="landscape"/>
          <w:pgMar w:top="1440" w:right="1440" w:bottom="1440" w:left="1440" w:header="851" w:footer="992" w:gutter="0"/>
          <w:cols w:space="0" w:num="1"/>
          <w:docGrid w:type="lines" w:linePitch="387" w:charSpace="0"/>
        </w:sectPr>
      </w:pPr>
    </w:p>
    <w:p w14:paraId="7BE4E69D">
      <w:pPr>
        <w:pStyle w:val="2"/>
        <w:spacing w:before="0" w:after="0"/>
        <w:rPr>
          <w:rFonts w:ascii="Times New Roman" w:hAnsi="Times New Roman" w:eastAsia="Times New Roman"/>
          <w:color w:val="auto"/>
          <w:sz w:val="24"/>
        </w:rPr>
      </w:pPr>
      <w:bookmarkStart w:id="5" w:name="_Toc231081582"/>
      <w:r>
        <w:rPr>
          <w:rFonts w:ascii="Times New Roman" w:hAnsi="Times New Roman" w:eastAsia="Times New Roman"/>
          <w:color w:val="auto"/>
          <w:sz w:val="24"/>
        </w:rPr>
        <w:t>Supplementary Table S6. Exploratory ROC analyses with bootstrap optimism correction.</w:t>
      </w:r>
      <w:bookmarkEnd w:id="5"/>
    </w:p>
    <w:tbl>
      <w:tblPr>
        <w:tblStyle w:val="1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4668"/>
        <w:gridCol w:w="1411"/>
        <w:gridCol w:w="1009"/>
        <w:gridCol w:w="2367"/>
        <w:gridCol w:w="2755"/>
      </w:tblGrid>
      <w:tr w14:paraId="1AB75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700701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Outcome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C96F7B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Model covariates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C68B6A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Apparent AUC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DF3128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Optimism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6DA897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Optimism-corrected AUC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E999A0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Successful/ requested resamples</w:t>
            </w:r>
          </w:p>
        </w:tc>
      </w:tr>
      <w:tr w14:paraId="45288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A5070D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Anxious symptoms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0C2104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Age, sex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5B5F23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0.652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5D7C8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0.046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7F5DCC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0.606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3E46A1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200/200</w:t>
            </w:r>
          </w:p>
        </w:tc>
      </w:tr>
      <w:tr w14:paraId="3282C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FA24DD">
            <w:pPr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650C33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Age, sex, ΔBP during Stroop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91D92A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51BE4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4BC895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5AABEE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200/200</w:t>
            </w:r>
          </w:p>
        </w:tc>
      </w:tr>
      <w:tr w14:paraId="6370A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D89801">
            <w:pPr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4C4790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Age, sex, LF Phase-Left at 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623A0D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59DD4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8B2E30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7793E0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200/200</w:t>
            </w:r>
          </w:p>
        </w:tc>
      </w:tr>
      <w:tr w14:paraId="4FF51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D70EE0">
            <w:pPr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62AA93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Age, sex, ΔBP during Stroop Stage 3, depressive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36A557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71CF94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35137E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39A17D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199/200</w:t>
            </w:r>
          </w:p>
        </w:tc>
      </w:tr>
      <w:tr w14:paraId="4BA20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25EECA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Depressive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465DA0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Age, 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829D57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DAE0C2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ED3744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6DD56F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200/200</w:t>
            </w:r>
          </w:p>
        </w:tc>
      </w:tr>
      <w:tr w14:paraId="0B908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6DF835">
            <w:pPr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D7CD23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Age, sex, lnVLF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E5A748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4F60D4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427F88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234811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200/200</w:t>
            </w:r>
          </w:p>
        </w:tc>
      </w:tr>
      <w:tr w14:paraId="484B7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C49FB4">
            <w:pPr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2F8ECF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Age, sex, VLF Phase-Left during handgrip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8693E8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E51D06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973EAD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4C6857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200/200</w:t>
            </w:r>
          </w:p>
        </w:tc>
      </w:tr>
      <w:tr w14:paraId="2A77D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2954B9">
            <w:pPr>
              <w:rPr>
                <w:color w:val="aut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A3ECDD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Age, sex, lnVLF, anxious symptoms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C2A1D8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0.720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C7A0DA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72ACAD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0.671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574ED3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198/200</w:t>
            </w:r>
          </w:p>
        </w:tc>
      </w:tr>
    </w:tbl>
    <w:p w14:paraId="0C803519">
      <w:pPr>
        <w:keepNext/>
        <w:spacing w:before="40" w:after="120"/>
        <w:rPr>
          <w:rFonts w:ascii="Times New Roman" w:hAnsi="Times New Roman" w:eastAsiaTheme="minorEastAsia"/>
          <w:color w:val="auto"/>
          <w:sz w:val="24"/>
        </w:rPr>
      </w:pPr>
      <w:r>
        <w:rPr>
          <w:rFonts w:ascii="Times New Roman" w:hAnsi="Times New Roman" w:eastAsia="Times New Roman"/>
          <w:color w:val="auto"/>
          <w:sz w:val="24"/>
        </w:rPr>
        <w:t>Note: ROC analyses were performed for exploratory description of apparent discrimination only. Bootstrap optimism correction used 200 resamples. These estimates should not be interpreted as externally validated screening performance.</w:t>
      </w:r>
      <w:r>
        <w:rPr>
          <w:rFonts w:hint="eastAsia" w:ascii="Times New Roman" w:hAnsi="Times New Roman" w:eastAsiaTheme="minorEastAsia"/>
          <w:color w:val="auto"/>
          <w:sz w:val="24"/>
        </w:rPr>
        <w:t xml:space="preserve"> </w:t>
      </w:r>
    </w:p>
    <w:p w14:paraId="5272DB59">
      <w:pPr>
        <w:keepNext/>
        <w:spacing w:before="40" w:after="120"/>
        <w:rPr>
          <w:color w:val="auto"/>
        </w:rPr>
      </w:pPr>
      <w:r>
        <w:rPr>
          <w:rFonts w:hint="eastAsia" w:ascii="Times New Roman" w:hAnsi="Times New Roman" w:eastAsiaTheme="minorEastAsia"/>
          <w:color w:val="auto"/>
          <w:sz w:val="24"/>
        </w:rPr>
        <w:t xml:space="preserve">Abbreviations: </w:t>
      </w:r>
      <w:r>
        <w:rPr>
          <w:rFonts w:ascii="Times New Roman" w:hAnsi="Times New Roman" w:eastAsia="Times New Roman"/>
          <w:color w:val="auto"/>
          <w:sz w:val="24"/>
        </w:rPr>
        <w:t>AUC, area under the receiver operating characteristic curve; ROC, receiver operating characteristic.</w:t>
      </w:r>
    </w:p>
    <w:p w14:paraId="0D4213C6">
      <w:pPr>
        <w:keepNext/>
        <w:spacing w:before="120" w:after="60"/>
        <w:rPr>
          <w:rFonts w:ascii="Times New Roman" w:hAnsi="Times New Roman" w:eastAsia="Times New Roman"/>
          <w:b/>
          <w:color w:val="auto"/>
          <w:sz w:val="24"/>
        </w:rPr>
        <w:sectPr>
          <w:pgSz w:w="16838" w:h="11906" w:orient="landscape"/>
          <w:pgMar w:top="1440" w:right="1440" w:bottom="1440" w:left="1440" w:header="851" w:footer="992" w:gutter="0"/>
          <w:cols w:space="0" w:num="1"/>
          <w:docGrid w:type="lines" w:linePitch="387" w:charSpace="0"/>
        </w:sectPr>
      </w:pPr>
    </w:p>
    <w:p w14:paraId="1B55C9E3">
      <w:pPr>
        <w:pStyle w:val="2"/>
        <w:spacing w:before="0" w:after="0"/>
        <w:rPr>
          <w:rFonts w:ascii="Times New Roman" w:hAnsi="Times New Roman" w:eastAsia="Times New Roman"/>
          <w:color w:val="auto"/>
          <w:sz w:val="24"/>
        </w:rPr>
      </w:pPr>
      <w:bookmarkStart w:id="6" w:name="_Toc231081583"/>
      <w:r>
        <w:rPr>
          <w:rFonts w:ascii="Times New Roman" w:hAnsi="Times New Roman" w:eastAsia="Times New Roman"/>
          <w:color w:val="auto"/>
          <w:sz w:val="24"/>
        </w:rPr>
        <w:t>Supplementary Table S7. Descriptive statistics of key NVN variables across affective-symptom overlap groups.</w:t>
      </w:r>
      <w:bookmarkEnd w:id="6"/>
    </w:p>
    <w:tbl>
      <w:tblPr>
        <w:tblStyle w:val="1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5"/>
        <w:gridCol w:w="1825"/>
        <w:gridCol w:w="2780"/>
        <w:gridCol w:w="3114"/>
        <w:gridCol w:w="2634"/>
      </w:tblGrid>
      <w:tr w14:paraId="24F9C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2EDA2A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Variable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7448C9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Neither (n=55)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192474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Anxious symptoms only (n=4)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986363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Depressive symptoms only (n=21)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29A05C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b/>
                <w:color w:val="auto"/>
              </w:rPr>
              <w:t>Comorbid symptoms (n=10)</w:t>
            </w:r>
          </w:p>
        </w:tc>
      </w:tr>
      <w:tr w14:paraId="6A905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B90805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ΔBP during Stroop Stage 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757C2F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4.99 [-3.52, 17.55]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2A0524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17.16 [11.81, 25.95]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142FC3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2.86 [-5.38, 18.30]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792514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12.21 [9.33, 24.44]</w:t>
            </w:r>
          </w:p>
        </w:tc>
      </w:tr>
      <w:tr w14:paraId="0E760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63495E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LF Phase-Left at 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026661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30.79 [17.26, 41.75]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1E58CD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21.91 [7.73, 35.59]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4187D7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30.82 [17.14, 41.92]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052C02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21.64 [-8.64, 29.59]</w:t>
            </w:r>
          </w:p>
        </w:tc>
      </w:tr>
      <w:tr w14:paraId="7D990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0E14E7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lnVLF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44D514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3.18 [2.45, 3.78]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AF6771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2.97 [2.31, 3.79]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20013D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3.67 [2.92, 4.50]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DC5AEE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3.50 [2.48, 3.66]</w:t>
            </w:r>
          </w:p>
        </w:tc>
      </w:tr>
      <w:tr w14:paraId="32D86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C095FC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VLF Phase-Left during handgrip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46C97B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73.04 [49.54, 95.70]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AC1A93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118.52 [77.73, 141.83]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84374C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54.97 [26.36, 71.59]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4A1370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40.67 [26.95, 61.31]</w:t>
            </w:r>
          </w:p>
        </w:tc>
      </w:tr>
      <w:tr w14:paraId="61B29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B4702E">
            <w:pPr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VLF Phase-Average during handgrip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4069AE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69.83 [49.73, 90.31]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23114C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88.53 [80.00, 105.35]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5B8FB0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59.84 [46.59, 80.61]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A42F2D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eastAsia="Times New Roman"/>
                <w:color w:val="auto"/>
              </w:rPr>
              <w:t>40.41 [33.53, 50.64]</w:t>
            </w:r>
          </w:p>
        </w:tc>
      </w:tr>
    </w:tbl>
    <w:p w14:paraId="17365CE3">
      <w:pPr>
        <w:keepNext/>
        <w:spacing w:before="40" w:after="120"/>
        <w:rPr>
          <w:rFonts w:ascii="Times New Roman" w:hAnsi="Times New Roman" w:eastAsiaTheme="minorEastAsia"/>
          <w:color w:val="auto"/>
          <w:sz w:val="24"/>
        </w:rPr>
      </w:pPr>
      <w:r>
        <w:rPr>
          <w:rFonts w:ascii="Times New Roman" w:hAnsi="Times New Roman" w:eastAsia="Times New Roman"/>
          <w:color w:val="auto"/>
          <w:sz w:val="24"/>
        </w:rPr>
        <w:t xml:space="preserve">Note: Data are presented as median [IQR]. Because the anxiety-only subgroup included only four participants, these subgroup analyses are descriptive and should not be used to infer anxiety-specific effects. </w:t>
      </w:r>
    </w:p>
    <w:p w14:paraId="1C10DCA0">
      <w:pPr>
        <w:keepNext/>
        <w:spacing w:before="40" w:after="120"/>
        <w:rPr>
          <w:color w:val="auto"/>
        </w:rPr>
      </w:pPr>
      <w:r>
        <w:rPr>
          <w:rFonts w:hint="eastAsia" w:ascii="Times New Roman" w:hAnsi="Times New Roman" w:eastAsiaTheme="minorEastAsia"/>
          <w:color w:val="auto"/>
          <w:sz w:val="24"/>
        </w:rPr>
        <w:t xml:space="preserve">Abbreviations: </w:t>
      </w:r>
      <w:r>
        <w:rPr>
          <w:rFonts w:ascii="Times New Roman" w:hAnsi="Times New Roman" w:eastAsia="Times New Roman"/>
          <w:color w:val="auto"/>
          <w:sz w:val="24"/>
        </w:rPr>
        <w:t>IQR, interquartile range; NVN, neurovascular network.</w:t>
      </w:r>
    </w:p>
    <w:p w14:paraId="3786C3E9">
      <w:pPr>
        <w:rPr>
          <w:color w:val="auto"/>
        </w:rPr>
      </w:pPr>
    </w:p>
    <w:sectPr>
      <w:pgSz w:w="16838" w:h="11906" w:orient="landscape"/>
      <w:pgMar w:top="1440" w:right="1440" w:bottom="1440" w:left="1440" w:header="851" w:footer="992" w:gutter="0"/>
      <w:cols w:space="0" w:num="1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/>
        <w:sz w:val="24"/>
      </w:rPr>
      <w:id w:val="-367837505"/>
      <w:docPartObj>
        <w:docPartGallery w:val="AutoText"/>
      </w:docPartObj>
    </w:sdtPr>
    <w:sdtEndPr>
      <w:rPr>
        <w:rFonts w:ascii="Times New Roman" w:hAnsi="Times New Roman"/>
        <w:sz w:val="24"/>
      </w:rPr>
    </w:sdtEndPr>
    <w:sdtContent>
      <w:p w14:paraId="60897AE0">
        <w:pPr>
          <w:pStyle w:val="12"/>
          <w:jc w:val="right"/>
          <w:rPr>
            <w:rFonts w:ascii="Times New Roman" w:hAnsi="Times New Roman"/>
            <w:sz w:val="24"/>
          </w:rPr>
        </w:pPr>
        <w:r>
          <w:rPr>
            <w:rFonts w:ascii="Times New Roman" w:hAnsi="Times New Roman"/>
            <w:sz w:val="24"/>
          </w:rPr>
          <w:fldChar w:fldCharType="begin"/>
        </w:r>
        <w:r>
          <w:rPr>
            <w:rFonts w:ascii="Times New Roman" w:hAnsi="Times New Roman"/>
            <w:sz w:val="24"/>
          </w:rPr>
          <w:instrText xml:space="preserve"> PAGE   \* MERGEFORMAT </w:instrText>
        </w:r>
        <w:r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sz w:val="24"/>
          </w:rPr>
          <w:t>2</w:t>
        </w:r>
        <w:r>
          <w:rPr>
            <w:rFonts w:ascii="Times New Roman" w:hAnsi="Times New Roman"/>
            <w:sz w:val="24"/>
          </w:rPr>
          <w:fldChar w:fldCharType="end"/>
        </w:r>
      </w:p>
    </w:sdtContent>
  </w:sdt>
  <w:p w14:paraId="7428B5B4"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/>
        <w:sz w:val="24"/>
      </w:rPr>
      <w:id w:val="1698418944"/>
      <w:docPartObj>
        <w:docPartGallery w:val="AutoText"/>
      </w:docPartObj>
    </w:sdtPr>
    <w:sdtEndPr>
      <w:rPr>
        <w:rFonts w:ascii="Times New Roman" w:hAnsi="Times New Roman"/>
        <w:sz w:val="24"/>
      </w:rPr>
    </w:sdtEndPr>
    <w:sdtContent>
      <w:p w14:paraId="15134978">
        <w:pPr>
          <w:pStyle w:val="12"/>
          <w:jc w:val="right"/>
          <w:rPr>
            <w:rFonts w:ascii="Times New Roman" w:hAnsi="Times New Roman"/>
            <w:sz w:val="24"/>
          </w:rPr>
        </w:pPr>
        <w:r>
          <w:rPr>
            <w:rFonts w:ascii="Times New Roman" w:hAnsi="Times New Roman"/>
            <w:sz w:val="24"/>
          </w:rPr>
          <w:fldChar w:fldCharType="begin"/>
        </w:r>
        <w:r>
          <w:rPr>
            <w:rFonts w:ascii="Times New Roman" w:hAnsi="Times New Roman"/>
            <w:sz w:val="24"/>
          </w:rPr>
          <w:instrText xml:space="preserve"> PAGE   \* MERGEFORMAT </w:instrText>
        </w:r>
        <w:r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sz w:val="24"/>
          </w:rPr>
          <w:t>2</w:t>
        </w:r>
        <w:r>
          <w:rPr>
            <w:rFonts w:ascii="Times New Roman" w:hAnsi="Times New Roman"/>
            <w:sz w:val="24"/>
          </w:rPr>
          <w:fldChar w:fldCharType="end"/>
        </w:r>
      </w:p>
    </w:sdtContent>
  </w:sdt>
  <w:p w14:paraId="385E1664">
    <w:pPr>
      <w:pStyle w:val="12"/>
      <w:rPr>
        <w:rFonts w:ascii="Times New Roman" w:hAnsi="Times New Roman"/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HorizontalSpacing w:val="105"/>
  <w:drawingGridVerticalSpacing w:val="387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0015177"/>
    <w:rsid w:val="001177AD"/>
    <w:rsid w:val="00190F8A"/>
    <w:rsid w:val="00285C2D"/>
    <w:rsid w:val="002C7813"/>
    <w:rsid w:val="00332ADC"/>
    <w:rsid w:val="003640E3"/>
    <w:rsid w:val="00364EAF"/>
    <w:rsid w:val="00367B2A"/>
    <w:rsid w:val="00383331"/>
    <w:rsid w:val="003C373F"/>
    <w:rsid w:val="004059F2"/>
    <w:rsid w:val="00450522"/>
    <w:rsid w:val="004A02A1"/>
    <w:rsid w:val="00530075"/>
    <w:rsid w:val="005A3CAE"/>
    <w:rsid w:val="005B561B"/>
    <w:rsid w:val="005B7BC9"/>
    <w:rsid w:val="00652F78"/>
    <w:rsid w:val="00666E78"/>
    <w:rsid w:val="00732328"/>
    <w:rsid w:val="007476C0"/>
    <w:rsid w:val="0086449C"/>
    <w:rsid w:val="00951EEA"/>
    <w:rsid w:val="009E22A7"/>
    <w:rsid w:val="00A252B8"/>
    <w:rsid w:val="00A81DAB"/>
    <w:rsid w:val="00A944D6"/>
    <w:rsid w:val="00A948F3"/>
    <w:rsid w:val="00A94B39"/>
    <w:rsid w:val="00B51F09"/>
    <w:rsid w:val="00BE21FE"/>
    <w:rsid w:val="00C11CE6"/>
    <w:rsid w:val="00C463C7"/>
    <w:rsid w:val="00C5429D"/>
    <w:rsid w:val="00C87D96"/>
    <w:rsid w:val="00C90F76"/>
    <w:rsid w:val="00C96F86"/>
    <w:rsid w:val="00D20706"/>
    <w:rsid w:val="00D3518F"/>
    <w:rsid w:val="00D522CE"/>
    <w:rsid w:val="00D92607"/>
    <w:rsid w:val="00E42363"/>
    <w:rsid w:val="00E614EE"/>
    <w:rsid w:val="00E80AA8"/>
    <w:rsid w:val="00EF6F95"/>
    <w:rsid w:val="00F20137"/>
    <w:rsid w:val="053648B8"/>
    <w:rsid w:val="07011CC2"/>
    <w:rsid w:val="07644792"/>
    <w:rsid w:val="09284798"/>
    <w:rsid w:val="0F2B6FD9"/>
    <w:rsid w:val="0F9262B7"/>
    <w:rsid w:val="111103A3"/>
    <w:rsid w:val="12345780"/>
    <w:rsid w:val="183C240D"/>
    <w:rsid w:val="1AA24D9F"/>
    <w:rsid w:val="1AE23C18"/>
    <w:rsid w:val="286E4D4F"/>
    <w:rsid w:val="28DA2E89"/>
    <w:rsid w:val="2A4254F9"/>
    <w:rsid w:val="2D1F32F4"/>
    <w:rsid w:val="323B4D81"/>
    <w:rsid w:val="33671CED"/>
    <w:rsid w:val="34B70380"/>
    <w:rsid w:val="3AE174A3"/>
    <w:rsid w:val="4004204B"/>
    <w:rsid w:val="43446334"/>
    <w:rsid w:val="44A84E71"/>
    <w:rsid w:val="477DCE1E"/>
    <w:rsid w:val="4C2D1DBA"/>
    <w:rsid w:val="4D530E7B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after="220"/>
      <w:outlineLvl w:val="0"/>
    </w:pPr>
    <w:rPr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00"/>
      <w:outlineLvl w:val="1"/>
    </w:pPr>
    <w:rPr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180"/>
      <w:outlineLvl w:val="2"/>
    </w:pPr>
    <w:rPr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after="160"/>
      <w:outlineLvl w:val="3"/>
    </w:pPr>
    <w:rPr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after="160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after="120"/>
      <w:outlineLvl w:val="5"/>
    </w:pPr>
    <w:rPr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after="120"/>
      <w:outlineLvl w:val="6"/>
    </w:pPr>
    <w:rPr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after="64"/>
      <w:outlineLvl w:val="7"/>
    </w:pPr>
    <w:rPr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after="64"/>
      <w:outlineLvl w:val="8"/>
    </w:pPr>
  </w:style>
  <w:style w:type="character" w:default="1" w:styleId="19">
    <w:name w:val="Default Paragraph Font"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semiHidden/>
    <w:unhideWhenUsed/>
    <w:qFormat/>
    <w:uiPriority w:val="99"/>
    <w:pPr>
      <w:spacing w:after="120"/>
    </w:pPr>
  </w:style>
  <w:style w:type="paragraph" w:styleId="12">
    <w:name w:val="footer"/>
    <w:basedOn w:val="1"/>
    <w:link w:val="26"/>
    <w:qFormat/>
    <w:uiPriority w:val="99"/>
    <w:pPr>
      <w:tabs>
        <w:tab w:val="center" w:pos="4320"/>
        <w:tab w:val="right" w:pos="8640"/>
      </w:tabs>
    </w:pPr>
  </w:style>
  <w:style w:type="paragraph" w:styleId="13">
    <w:name w:val="header"/>
    <w:basedOn w:val="1"/>
    <w:link w:val="25"/>
    <w:qFormat/>
    <w:uiPriority w:val="0"/>
    <w:pPr>
      <w:tabs>
        <w:tab w:val="center" w:pos="4320"/>
        <w:tab w:val="right" w:pos="8640"/>
      </w:tabs>
    </w:pPr>
  </w:style>
  <w:style w:type="paragraph" w:styleId="14">
    <w:name w:val="toc 1"/>
    <w:basedOn w:val="1"/>
    <w:next w:val="1"/>
    <w:autoRedefine/>
    <w:unhideWhenUsed/>
    <w:qFormat/>
    <w:uiPriority w:val="39"/>
    <w:pPr>
      <w:widowControl/>
      <w:tabs>
        <w:tab w:val="right" w:leader="dot" w:pos="10456"/>
      </w:tabs>
      <w:spacing w:after="100" w:line="480" w:lineRule="auto"/>
      <w:jc w:val="left"/>
    </w:pPr>
    <w:rPr>
      <w:rFonts w:ascii="Times New Roman" w:hAnsi="Times New Roman" w:eastAsiaTheme="minorEastAsia"/>
      <w:b/>
      <w:bCs/>
      <w:kern w:val="0"/>
      <w:sz w:val="22"/>
      <w:szCs w:val="22"/>
      <w:lang w:eastAsia="en-US"/>
    </w:rPr>
  </w:style>
  <w:style w:type="paragraph" w:styleId="15">
    <w:name w:val="toc 2"/>
    <w:basedOn w:val="1"/>
    <w:next w:val="1"/>
    <w:autoRedefine/>
    <w:unhideWhenUsed/>
    <w:qFormat/>
    <w:uiPriority w:val="39"/>
    <w:pPr>
      <w:widowControl/>
      <w:tabs>
        <w:tab w:val="right" w:leader="dot" w:pos="10456"/>
      </w:tabs>
      <w:spacing w:after="100" w:line="480" w:lineRule="auto"/>
      <w:ind w:left="220"/>
      <w:jc w:val="left"/>
    </w:pPr>
    <w:rPr>
      <w:rFonts w:ascii="Times New Roman" w:hAnsi="Times New Roman" w:eastAsiaTheme="minorEastAsia"/>
      <w:b/>
      <w:bCs/>
      <w:kern w:val="0"/>
      <w:sz w:val="22"/>
      <w:szCs w:val="22"/>
      <w:lang w:eastAsia="en-US"/>
    </w:rPr>
  </w:style>
  <w:style w:type="paragraph" w:styleId="16">
    <w:name w:val="Normal (Web)"/>
    <w:basedOn w:val="1"/>
    <w:qFormat/>
    <w:uiPriority w:val="0"/>
    <w:rPr>
      <w:sz w:val="24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Emphasis"/>
    <w:basedOn w:val="19"/>
    <w:qFormat/>
    <w:uiPriority w:val="0"/>
    <w:rPr>
      <w:i/>
    </w:rPr>
  </w:style>
  <w:style w:type="character" w:styleId="21">
    <w:name w:val="Hyperlink"/>
    <w:basedOn w:val="19"/>
    <w:qFormat/>
    <w:uiPriority w:val="99"/>
    <w:rPr>
      <w:rFonts w:eastAsiaTheme="minorHAnsi"/>
      <w:i/>
      <w:color w:val="C00000"/>
      <w:sz w:val="24"/>
      <w:szCs w:val="24"/>
      <w:lang w:eastAsia="en-US"/>
      <w14:ligatures w14:val="none"/>
    </w:rPr>
  </w:style>
  <w:style w:type="table" w:customStyle="1" w:styleId="22">
    <w:name w:val="清单表 6 彩色1"/>
    <w:basedOn w:val="17"/>
    <w:qFormat/>
    <w:uiPriority w:val="51"/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paragraph" w:customStyle="1" w:styleId="23">
    <w:name w:val="acbfdd8b-e11b-4d36-88ff-6049b138f862"/>
    <w:basedOn w:val="11"/>
    <w:qFormat/>
    <w:uiPriority w:val="0"/>
    <w:pPr>
      <w:spacing w:after="0"/>
      <w:jc w:val="left"/>
    </w:pPr>
    <w:rPr>
      <w:rFonts w:ascii="微软雅黑" w:hAnsi="微软雅黑"/>
      <w:bCs/>
      <w:color w:val="000000"/>
      <w:sz w:val="22"/>
    </w:rPr>
  </w:style>
  <w:style w:type="paragraph" w:customStyle="1" w:styleId="24">
    <w:name w:val="71e7dc79-1ff7-45e8-997d-0ebda3762b91"/>
    <w:basedOn w:val="3"/>
    <w:next w:val="23"/>
    <w:qFormat/>
    <w:uiPriority w:val="0"/>
    <w:pPr>
      <w:spacing w:before="0" w:after="0" w:line="288" w:lineRule="auto"/>
      <w:jc w:val="left"/>
    </w:pPr>
    <w:rPr>
      <w:rFonts w:ascii="微软雅黑" w:hAnsi="微软雅黑"/>
      <w:color w:val="000000"/>
      <w:sz w:val="28"/>
    </w:rPr>
  </w:style>
  <w:style w:type="character" w:customStyle="1" w:styleId="25">
    <w:name w:val="Header Char"/>
    <w:basedOn w:val="19"/>
    <w:link w:val="13"/>
    <w:qFormat/>
    <w:uiPriority w:val="0"/>
    <w:rPr>
      <w:rFonts w:ascii="Arial" w:hAnsi="Arial" w:eastAsia="微软雅黑"/>
      <w:kern w:val="2"/>
      <w:sz w:val="21"/>
      <w:szCs w:val="24"/>
    </w:rPr>
  </w:style>
  <w:style w:type="character" w:customStyle="1" w:styleId="26">
    <w:name w:val="Footer Char"/>
    <w:basedOn w:val="19"/>
    <w:link w:val="12"/>
    <w:qFormat/>
    <w:uiPriority w:val="99"/>
    <w:rPr>
      <w:rFonts w:ascii="Arial" w:hAnsi="Arial" w:eastAsia="微软雅黑"/>
      <w:kern w:val="2"/>
      <w:sz w:val="21"/>
      <w:szCs w:val="24"/>
    </w:rPr>
  </w:style>
  <w:style w:type="paragraph" w:customStyle="1" w:styleId="27">
    <w:name w:val="TOC Heading"/>
    <w:basedOn w:val="2"/>
    <w:next w:val="11"/>
    <w:unhideWhenUsed/>
    <w:qFormat/>
    <w:uiPriority w:val="39"/>
    <w:pPr>
      <w:widowControl/>
      <w:spacing w:before="240" w:after="0" w:line="259" w:lineRule="auto"/>
      <w:jc w:val="center"/>
      <w:outlineLvl w:val="9"/>
    </w:pPr>
    <w:rPr>
      <w:rFonts w:asciiTheme="majorHAnsi" w:hAnsiTheme="majorHAnsi" w:eastAsiaTheme="majorEastAsia" w:cstheme="majorBidi"/>
      <w:b w:val="0"/>
      <w:color w:val="000000" w:themeColor="text1"/>
      <w:kern w:val="0"/>
      <w:sz w:val="32"/>
      <w:szCs w:val="32"/>
      <w:lang w:eastAsia="en-US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52402-0CA3-4E65-80CB-983213BCD9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316</Words>
  <Characters>1990</Characters>
  <Lines>55</Lines>
  <Paragraphs>15</Paragraphs>
  <TotalTime>31</TotalTime>
  <ScaleCrop>false</ScaleCrop>
  <LinksUpToDate>false</LinksUpToDate>
  <CharactersWithSpaces>2240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WXG</dc:creator>
  <cp:lastModifiedBy>wzyl</cp:lastModifiedBy>
  <dcterms:modified xsi:type="dcterms:W3CDTF">2026-05-31T12:51:25Z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KSOTemplateDocerSaveRecord">
    <vt:lpwstr>eyJoZGlkIjoiZTg0MDBkODc1YjRlMTVjNzQyODllY2E4YTVlMDQwNGEiLCJ1c2VySWQiOiIzMTM2ODYwNzkifQ==</vt:lpwstr>
  </property>
  <property fmtid="{D5CDD505-2E9C-101B-9397-08002B2CF9AE}" pid="6" name="ICV">
    <vt:lpwstr>D646088893DA4F03A00D498CD5AB33AC_13</vt:lpwstr>
  </property>
</Properties>
</file>