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C0F5C" w14:textId="77777777" w:rsidR="00660F43" w:rsidRPr="009B2008" w:rsidRDefault="00660F43" w:rsidP="009322A7">
      <w:pPr>
        <w:spacing w:line="444" w:lineRule="auto"/>
        <w:rPr>
          <w:rFonts w:ascii="Arial" w:hAnsi="Arial" w:cs="Arial"/>
          <w:b/>
          <w:bCs/>
          <w:sz w:val="36"/>
          <w:szCs w:val="36"/>
        </w:rPr>
      </w:pPr>
      <w:r w:rsidRPr="009B2008">
        <w:rPr>
          <w:rFonts w:ascii="Arial" w:hAnsi="Arial" w:cs="Arial"/>
          <w:b/>
          <w:bCs/>
          <w:sz w:val="36"/>
          <w:szCs w:val="36"/>
        </w:rPr>
        <w:t>Supplementary Information</w:t>
      </w:r>
    </w:p>
    <w:p w14:paraId="446FD83D" w14:textId="29E7629E" w:rsidR="00660F43" w:rsidRPr="00851C86" w:rsidRDefault="00660F43" w:rsidP="009322A7">
      <w:pPr>
        <w:spacing w:after="32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64136E6" wp14:editId="1AA7D205">
            <wp:extent cx="4194048" cy="4434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2 or Figure S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0457" w14:textId="2A292842" w:rsidR="00DA23EC" w:rsidRDefault="00660F43" w:rsidP="00660F43">
      <w:pPr>
        <w:spacing w:line="480" w:lineRule="auto"/>
        <w:jc w:val="both"/>
      </w:pPr>
      <w:r w:rsidRPr="00851C86">
        <w:rPr>
          <w:b/>
          <w:bCs/>
        </w:rPr>
        <w:t xml:space="preserve">Fig. </w:t>
      </w:r>
      <w:r>
        <w:rPr>
          <w:b/>
          <w:bCs/>
        </w:rPr>
        <w:t>S1.</w:t>
      </w:r>
      <w:r w:rsidRPr="00851C86">
        <w:rPr>
          <w:b/>
          <w:bCs/>
        </w:rPr>
        <w:t xml:space="preserve"> </w:t>
      </w:r>
      <w:r w:rsidRPr="00FE3A6C">
        <w:rPr>
          <w:b/>
          <w:bCs/>
        </w:rPr>
        <w:t>Efficient encapsulation and sustained release of SARS-CoV-2 subunit proteins and immunomodulatory factors from cryogels.</w:t>
      </w:r>
      <w:r>
        <w:t xml:space="preserve"> (A) Confocal microscopy images showing co-encapsulation of Alexa Fluor 488-labeled RBD and Alexa Fluor 647-labeled N protein within the polymer walls of O</w:t>
      </w:r>
      <w:r>
        <w:rPr>
          <w:vertAlign w:val="subscript"/>
        </w:rPr>
        <w:t>2</w:t>
      </w:r>
      <w:r>
        <w:t>-Cryogel</w:t>
      </w:r>
      <w:r>
        <w:rPr>
          <w:vertAlign w:val="subscript"/>
        </w:rPr>
        <w:t>VAX</w:t>
      </w:r>
      <w:r>
        <w:t>. (B) Cumulative release and (C) Loading efficiency of CpG-ODN 1826, GM-CSF and RBD in Cryogel</w:t>
      </w:r>
      <w:r>
        <w:rPr>
          <w:vertAlign w:val="subscript"/>
        </w:rPr>
        <w:t>VAX</w:t>
      </w:r>
      <w:r>
        <w:t xml:space="preserve"> and O</w:t>
      </w:r>
      <w:r>
        <w:rPr>
          <w:vertAlign w:val="subscript"/>
        </w:rPr>
        <w:t>2</w:t>
      </w:r>
      <w:r>
        <w:t>-Cryogel</w:t>
      </w:r>
      <w:r>
        <w:rPr>
          <w:vertAlign w:val="subscript"/>
        </w:rPr>
        <w:t>V</w:t>
      </w:r>
      <w:r w:rsidRPr="00FE3A6C">
        <w:rPr>
          <w:vertAlign w:val="subscript"/>
        </w:rPr>
        <w:t>AX</w:t>
      </w:r>
      <w:r w:rsidRPr="00FE3A6C">
        <w:t>. (D) Calcium release from O</w:t>
      </w:r>
      <w:r w:rsidRPr="00F40931">
        <w:rPr>
          <w:vertAlign w:val="subscript"/>
        </w:rPr>
        <w:t>2</w:t>
      </w:r>
      <w:r w:rsidRPr="00F40931">
        <w:t>-Cryogels, incubated at 37</w:t>
      </w:r>
      <w:r w:rsidRPr="00BA039C">
        <w:rPr>
          <w:rFonts w:cstheme="minorHAnsi"/>
        </w:rPr>
        <w:t>°</w:t>
      </w:r>
      <w:r w:rsidRPr="00BA039C">
        <w:t>C in diH</w:t>
      </w:r>
      <w:r w:rsidRPr="00BA039C">
        <w:rPr>
          <w:vertAlign w:val="subscript"/>
        </w:rPr>
        <w:t>2</w:t>
      </w:r>
      <w:r w:rsidRPr="00BA039C">
        <w:t xml:space="preserve">O, </w:t>
      </w:r>
      <w:r w:rsidR="00F876B6">
        <w:t>and</w:t>
      </w:r>
      <w:r w:rsidRPr="00BA039C">
        <w:t xml:space="preserve"> quantified </w:t>
      </w:r>
      <w:r w:rsidRPr="00FE3A6C">
        <w:t>using a hardness test</w:t>
      </w:r>
      <w:r w:rsidRPr="00F40931">
        <w:t>. (</w:t>
      </w:r>
      <w:r w:rsidRPr="00FE3A6C">
        <w:t xml:space="preserve">E) </w:t>
      </w:r>
      <w:r w:rsidRPr="00F40931">
        <w:t>H</w:t>
      </w:r>
      <w:r w:rsidRPr="00F40931">
        <w:rPr>
          <w:vertAlign w:val="subscript"/>
        </w:rPr>
        <w:t>2</w:t>
      </w:r>
      <w:r w:rsidRPr="00BA039C">
        <w:t>O</w:t>
      </w:r>
      <w:r w:rsidRPr="00BA039C">
        <w:rPr>
          <w:vertAlign w:val="subscript"/>
        </w:rPr>
        <w:t>2</w:t>
      </w:r>
      <w:r w:rsidRPr="00BA039C">
        <w:t xml:space="preserve"> release from O</w:t>
      </w:r>
      <w:r w:rsidRPr="00BA039C">
        <w:rPr>
          <w:vertAlign w:val="subscript"/>
        </w:rPr>
        <w:t>2</w:t>
      </w:r>
      <w:r w:rsidRPr="00BA039C">
        <w:t>-Cryogels. Data is represented as mean</w:t>
      </w:r>
      <w:r w:rsidR="002C16E6">
        <w:t xml:space="preserve"> </w:t>
      </w:r>
      <w:r w:rsidRPr="00BA039C">
        <w:t>± S</w:t>
      </w:r>
      <w:r w:rsidR="002C16E6">
        <w:t xml:space="preserve">EM </w:t>
      </w:r>
      <w:r w:rsidR="002C16E6" w:rsidRPr="00F829A5">
        <w:t>(n=</w:t>
      </w:r>
      <w:r w:rsidR="00F829A5" w:rsidRPr="00F829A5">
        <w:t>3</w:t>
      </w:r>
      <w:r w:rsidR="00F829A5" w:rsidRPr="00F829A5">
        <w:rPr>
          <w:rFonts w:ascii="Calibri" w:hAnsi="Calibri" w:cs="Calibri"/>
        </w:rPr>
        <w:t>–</w:t>
      </w:r>
      <w:r w:rsidR="002C16E6" w:rsidRPr="00F829A5">
        <w:t>5).</w:t>
      </w:r>
    </w:p>
    <w:p w14:paraId="2B2399E4" w14:textId="77777777" w:rsidR="00660F43" w:rsidRPr="00BA039C" w:rsidRDefault="00660F43" w:rsidP="00660F43">
      <w:pPr>
        <w:jc w:val="both"/>
      </w:pPr>
    </w:p>
    <w:p w14:paraId="0FD38584" w14:textId="77777777" w:rsidR="00660F43" w:rsidRDefault="00660F43" w:rsidP="009322A7">
      <w:pPr>
        <w:spacing w:after="480"/>
        <w:jc w:val="center"/>
        <w:rPr>
          <w:b/>
          <w:bCs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FED4DF" wp14:editId="1521DAE5">
            <wp:extent cx="3012516" cy="393524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 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516" cy="39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C995" w14:textId="2424D954" w:rsidR="00660F43" w:rsidRDefault="00660F43" w:rsidP="00B4505E">
      <w:pPr>
        <w:spacing w:before="120" w:line="480" w:lineRule="auto"/>
        <w:jc w:val="both"/>
      </w:pPr>
      <w:r w:rsidRPr="00851C86">
        <w:rPr>
          <w:b/>
          <w:bCs/>
        </w:rPr>
        <w:t>Fig. S</w:t>
      </w:r>
      <w:r>
        <w:rPr>
          <w:b/>
          <w:bCs/>
        </w:rPr>
        <w:t>2</w:t>
      </w:r>
      <w:r w:rsidRPr="00851C86">
        <w:rPr>
          <w:b/>
          <w:bCs/>
        </w:rPr>
        <w:t>. O</w:t>
      </w:r>
      <w:r w:rsidRPr="00851C86">
        <w:rPr>
          <w:b/>
          <w:bCs/>
          <w:vertAlign w:val="subscript"/>
        </w:rPr>
        <w:t>2</w:t>
      </w:r>
      <w:r w:rsidRPr="00851C86">
        <w:rPr>
          <w:b/>
          <w:bCs/>
        </w:rPr>
        <w:t>-Cryogel</w:t>
      </w:r>
      <w:r w:rsidRPr="00851C86">
        <w:rPr>
          <w:b/>
          <w:bCs/>
          <w:vertAlign w:val="subscript"/>
        </w:rPr>
        <w:t>VAX</w:t>
      </w:r>
      <w:r w:rsidRPr="00851C86">
        <w:rPr>
          <w:b/>
          <w:bCs/>
        </w:rPr>
        <w:t xml:space="preserve"> enhances the humoral immune response against SARS-CoV-2.</w:t>
      </w:r>
      <w:r w:rsidRPr="00851C86">
        <w:t xml:space="preserve"> </w:t>
      </w:r>
      <w:r w:rsidR="00B4505E" w:rsidRPr="00851C86">
        <w:t>(A</w:t>
      </w:r>
      <w:r w:rsidR="00B4505E">
        <w:t xml:space="preserve">–B) </w:t>
      </w:r>
      <w:r w:rsidRPr="00851C86">
        <w:t>Endpoint titers of RBD- and N- specific IgM (A</w:t>
      </w:r>
      <w:r>
        <w:t xml:space="preserve"> – day 14 and 21</w:t>
      </w:r>
      <w:r w:rsidRPr="00851C86">
        <w:t>) and IgG (B</w:t>
      </w:r>
      <w:r>
        <w:t xml:space="preserve"> – day 21, 42 and 56</w:t>
      </w:r>
      <w:r w:rsidRPr="00851C86">
        <w:t>) antibody determined by ELISA. (C) Inhibition rate as the function of serum dilution of the SARS-CoV-2 surrogate virus neutralization test at day 21 and 56. Data points show individual serum sample and data is represented as mean ± SEM (n=5). *P &lt; 0.05, **P &lt; 0.01 and ***P &lt; 0.001.</w:t>
      </w:r>
    </w:p>
    <w:p w14:paraId="34B23206" w14:textId="3335E719" w:rsidR="00DA23EC" w:rsidRDefault="00DA23EC" w:rsidP="00B4505E">
      <w:pPr>
        <w:spacing w:before="120" w:line="480" w:lineRule="auto"/>
        <w:jc w:val="both"/>
      </w:pPr>
    </w:p>
    <w:p w14:paraId="35EF7888" w14:textId="3EEFDA10" w:rsidR="00DA23EC" w:rsidRDefault="00DA23EC" w:rsidP="00B4505E">
      <w:pPr>
        <w:spacing w:before="120" w:line="480" w:lineRule="auto"/>
        <w:jc w:val="both"/>
      </w:pPr>
    </w:p>
    <w:p w14:paraId="2AF31649" w14:textId="77777777" w:rsidR="00DA23EC" w:rsidRPr="00851C86" w:rsidRDefault="00DA23EC" w:rsidP="00B4505E">
      <w:pPr>
        <w:spacing w:before="120" w:line="480" w:lineRule="auto"/>
        <w:jc w:val="both"/>
      </w:pPr>
    </w:p>
    <w:p w14:paraId="4AC6420B" w14:textId="77777777" w:rsidR="00660F43" w:rsidRPr="00851C86" w:rsidRDefault="00660F43" w:rsidP="009322A7">
      <w:pPr>
        <w:spacing w:after="480"/>
        <w:jc w:val="center"/>
      </w:pPr>
      <w:r>
        <w:rPr>
          <w:noProof/>
        </w:rPr>
        <w:lastRenderedPageBreak/>
        <w:drawing>
          <wp:inline distT="0" distB="0" distL="0" distR="0" wp14:anchorId="778A7D70" wp14:editId="7A0CEADA">
            <wp:extent cx="4566882" cy="442849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882" cy="44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7E7B" w14:textId="23D9FA63" w:rsidR="00660F43" w:rsidRPr="00851C86" w:rsidRDefault="00660F43" w:rsidP="00660F43">
      <w:pPr>
        <w:spacing w:line="480" w:lineRule="auto"/>
        <w:jc w:val="both"/>
      </w:pPr>
      <w:r w:rsidRPr="00851C86">
        <w:rPr>
          <w:b/>
          <w:bCs/>
        </w:rPr>
        <w:t>Fig. S</w:t>
      </w:r>
      <w:r>
        <w:rPr>
          <w:b/>
          <w:bCs/>
        </w:rPr>
        <w:t>3</w:t>
      </w:r>
      <w:r w:rsidRPr="00851C86">
        <w:rPr>
          <w:b/>
          <w:bCs/>
        </w:rPr>
        <w:t xml:space="preserve">. Cryogels contain limited numbers of adaptive immune cells after 56 days. </w:t>
      </w:r>
      <w:r w:rsidRPr="00851C86">
        <w:t>(A) Flow cytometry gating strategy and (B) cell numbers in cryogels at day 21 and 56 post-vaccination.</w:t>
      </w:r>
      <w:r w:rsidR="009935AC">
        <w:t xml:space="preserve"> Arrows indicate corresponding gels with high numbers of T cells and MHCII+ B cells.</w:t>
      </w:r>
      <w:r w:rsidRPr="00851C86">
        <w:t xml:space="preserve"> Data points show individual cryogels and data is represented as mean ± SEM (n=5). *P &lt; 0.05, **P &lt; 0.01 and ***P &lt; 0.001.</w:t>
      </w:r>
    </w:p>
    <w:p w14:paraId="69611065" w14:textId="77777777" w:rsidR="00660F43" w:rsidRPr="00851C86" w:rsidRDefault="00660F43" w:rsidP="00660F43"/>
    <w:p w14:paraId="4BBED91E" w14:textId="77777777" w:rsidR="00660F43" w:rsidRPr="00851C86" w:rsidRDefault="00660F43" w:rsidP="00660F43"/>
    <w:p w14:paraId="739C3959" w14:textId="77777777" w:rsidR="00660F43" w:rsidRPr="00851C86" w:rsidRDefault="00660F43" w:rsidP="009322A7">
      <w:pPr>
        <w:spacing w:after="480"/>
        <w:jc w:val="center"/>
        <w:rPr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A407168" wp14:editId="554B866F">
            <wp:extent cx="4797992" cy="3651237"/>
            <wp:effectExtent l="0" t="0" r="317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92" cy="365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0949" w14:textId="77777777" w:rsidR="00660F43" w:rsidRDefault="00660F43" w:rsidP="00660F43">
      <w:pPr>
        <w:spacing w:line="480" w:lineRule="auto"/>
        <w:jc w:val="both"/>
      </w:pPr>
      <w:r w:rsidRPr="00851C86">
        <w:rPr>
          <w:b/>
          <w:bCs/>
        </w:rPr>
        <w:t>Fig. S</w:t>
      </w:r>
      <w:r>
        <w:rPr>
          <w:b/>
          <w:bCs/>
        </w:rPr>
        <w:t>4</w:t>
      </w:r>
      <w:r w:rsidRPr="00851C86">
        <w:rPr>
          <w:b/>
          <w:bCs/>
        </w:rPr>
        <w:t>. Vaccination with Cryogel</w:t>
      </w:r>
      <w:r w:rsidRPr="00851C86">
        <w:rPr>
          <w:b/>
          <w:bCs/>
          <w:vertAlign w:val="subscript"/>
        </w:rPr>
        <w:t>VAX</w:t>
      </w:r>
      <w:r w:rsidRPr="00851C86">
        <w:rPr>
          <w:b/>
          <w:bCs/>
        </w:rPr>
        <w:t xml:space="preserve"> and O</w:t>
      </w:r>
      <w:r w:rsidRPr="00851C86">
        <w:rPr>
          <w:b/>
          <w:bCs/>
          <w:vertAlign w:val="subscript"/>
        </w:rPr>
        <w:t>2</w:t>
      </w:r>
      <w:r w:rsidRPr="00851C86">
        <w:rPr>
          <w:b/>
          <w:bCs/>
        </w:rPr>
        <w:t>-Cryogel</w:t>
      </w:r>
      <w:r w:rsidRPr="00851C86">
        <w:rPr>
          <w:b/>
          <w:bCs/>
          <w:vertAlign w:val="subscript"/>
        </w:rPr>
        <w:t>VAX</w:t>
      </w:r>
      <w:r w:rsidRPr="00851C86">
        <w:rPr>
          <w:b/>
          <w:bCs/>
        </w:rPr>
        <w:t xml:space="preserve"> increases adaptive immune cell numbers in draining LNs.</w:t>
      </w:r>
      <w:r w:rsidRPr="00851C86">
        <w:t xml:space="preserve"> (A) Flow cytometry gating strategy and (B) cell numbers in LNs at day 21 and 56 post-vaccination. </w:t>
      </w:r>
      <w:r>
        <w:t xml:space="preserve">Two draining LNs were analyzed per animal. </w:t>
      </w:r>
      <w:r w:rsidRPr="00851C86">
        <w:t>Data points show individual LNs and data is represented as mean ± SEM. *P &lt; 0.05, **P &lt; 0.01 and ***P &lt; 0.001.</w:t>
      </w:r>
    </w:p>
    <w:p w14:paraId="7EDE1C64" w14:textId="77777777" w:rsidR="00660F43" w:rsidRDefault="00660F43" w:rsidP="00660F43">
      <w:r>
        <w:br w:type="page"/>
      </w:r>
    </w:p>
    <w:p w14:paraId="19058116" w14:textId="77777777" w:rsidR="00660F43" w:rsidRPr="00851C86" w:rsidRDefault="00660F43" w:rsidP="009322A7">
      <w:pPr>
        <w:spacing w:after="480"/>
        <w:jc w:val="center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71407E" wp14:editId="0CC3F865">
            <wp:extent cx="4977739" cy="26525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 S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39" cy="2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EBAF" w14:textId="0AEE46CB" w:rsidR="00660F43" w:rsidRPr="00851C86" w:rsidRDefault="00660F43" w:rsidP="00660F43">
      <w:pPr>
        <w:spacing w:line="480" w:lineRule="auto"/>
        <w:jc w:val="both"/>
      </w:pPr>
      <w:r w:rsidRPr="00851C86">
        <w:rPr>
          <w:b/>
          <w:bCs/>
        </w:rPr>
        <w:t>Fig. S</w:t>
      </w:r>
      <w:r>
        <w:rPr>
          <w:b/>
          <w:bCs/>
        </w:rPr>
        <w:t>5</w:t>
      </w:r>
      <w:r w:rsidRPr="00851C86">
        <w:rPr>
          <w:b/>
          <w:bCs/>
        </w:rPr>
        <w:t>. O</w:t>
      </w:r>
      <w:r w:rsidRPr="00851C86">
        <w:rPr>
          <w:b/>
          <w:bCs/>
          <w:vertAlign w:val="subscript"/>
        </w:rPr>
        <w:t>2</w:t>
      </w:r>
      <w:r w:rsidRPr="00851C86">
        <w:rPr>
          <w:b/>
          <w:bCs/>
        </w:rPr>
        <w:t>-Cryogel</w:t>
      </w:r>
      <w:r w:rsidRPr="00851C86">
        <w:rPr>
          <w:b/>
          <w:bCs/>
          <w:vertAlign w:val="subscript"/>
        </w:rPr>
        <w:t>VAX</w:t>
      </w:r>
      <w:r w:rsidRPr="00851C86">
        <w:rPr>
          <w:b/>
          <w:bCs/>
        </w:rPr>
        <w:t xml:space="preserve"> induces IL-5-producing N-specific CD8+ T cells. </w:t>
      </w:r>
      <w:r>
        <w:t>Gating and frequencies of c</w:t>
      </w:r>
      <w:r w:rsidRPr="00851C86">
        <w:t>ytokine</w:t>
      </w:r>
      <w:r>
        <w:t xml:space="preserve">-producing CD44-positive </w:t>
      </w:r>
      <w:r w:rsidRPr="00851C86">
        <w:t>CD</w:t>
      </w:r>
      <w:r>
        <w:t>8</w:t>
      </w:r>
      <w:r w:rsidRPr="00851C86">
        <w:t>+ T cells after S and N protein-derived peptide stimulation</w:t>
      </w:r>
      <w:r>
        <w:t xml:space="preserve"> of splenocytes isolated at day 21, as</w:t>
      </w:r>
      <w:r w:rsidRPr="00851C86">
        <w:t xml:space="preserve"> quantified by flow cytometry.</w:t>
      </w:r>
      <w:r>
        <w:t xml:space="preserve"> </w:t>
      </w:r>
      <w:r w:rsidRPr="00851C86">
        <w:t>Data is represented as mean ± SEM (n=5). *P &lt; 0.05, **P &lt; 0.01 and ***P &lt; 0.001.</w:t>
      </w:r>
    </w:p>
    <w:p w14:paraId="469F3F03" w14:textId="77777777" w:rsidR="00660F43" w:rsidRPr="00851C86" w:rsidRDefault="00660F43" w:rsidP="00660F43"/>
    <w:p w14:paraId="39270D15" w14:textId="77777777" w:rsidR="00F67E90" w:rsidRDefault="00F67E90"/>
    <w:sectPr w:rsidR="00F67E90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74D34" w14:textId="77777777" w:rsidR="002D01EA" w:rsidRDefault="002D01EA">
      <w:pPr>
        <w:spacing w:after="0" w:line="240" w:lineRule="auto"/>
      </w:pPr>
      <w:r>
        <w:separator/>
      </w:r>
    </w:p>
  </w:endnote>
  <w:endnote w:type="continuationSeparator" w:id="0">
    <w:p w14:paraId="08518EC3" w14:textId="77777777" w:rsidR="002D01EA" w:rsidRDefault="002D01EA">
      <w:pPr>
        <w:spacing w:after="0" w:line="240" w:lineRule="auto"/>
      </w:pPr>
      <w:r>
        <w:continuationSeparator/>
      </w:r>
    </w:p>
  </w:endnote>
  <w:endnote w:type="continuationNotice" w:id="1">
    <w:p w14:paraId="632BA43C" w14:textId="77777777" w:rsidR="002D01EA" w:rsidRDefault="002D01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521716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F6F0C3" w14:textId="77777777" w:rsidR="004E3BF0" w:rsidRDefault="004E3BF0" w:rsidP="004E3B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7F211D" w14:textId="77777777" w:rsidR="004E3BF0" w:rsidRDefault="004E3BF0" w:rsidP="004E3B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399456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930E79" w14:textId="77777777" w:rsidR="004E3BF0" w:rsidRDefault="004E3BF0" w:rsidP="004E3B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C9F1E3B" w14:textId="77777777" w:rsidR="004E3BF0" w:rsidRDefault="004E3BF0" w:rsidP="004E3B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A1668" w14:textId="77777777" w:rsidR="002D01EA" w:rsidRDefault="002D01EA">
      <w:pPr>
        <w:spacing w:after="0" w:line="240" w:lineRule="auto"/>
      </w:pPr>
      <w:r>
        <w:separator/>
      </w:r>
    </w:p>
  </w:footnote>
  <w:footnote w:type="continuationSeparator" w:id="0">
    <w:p w14:paraId="06201F6A" w14:textId="77777777" w:rsidR="002D01EA" w:rsidRDefault="002D01EA">
      <w:pPr>
        <w:spacing w:after="0" w:line="240" w:lineRule="auto"/>
      </w:pPr>
      <w:r>
        <w:continuationSeparator/>
      </w:r>
    </w:p>
  </w:footnote>
  <w:footnote w:type="continuationNotice" w:id="1">
    <w:p w14:paraId="5AF34007" w14:textId="77777777" w:rsidR="002D01EA" w:rsidRDefault="002D01E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14B4D"/>
    <w:multiLevelType w:val="hybridMultilevel"/>
    <w:tmpl w:val="5F92FC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43"/>
    <w:rsid w:val="00050D45"/>
    <w:rsid w:val="00051B45"/>
    <w:rsid w:val="000B7801"/>
    <w:rsid w:val="000C7E35"/>
    <w:rsid w:val="000D0FD1"/>
    <w:rsid w:val="00170485"/>
    <w:rsid w:val="00183F10"/>
    <w:rsid w:val="001A0F2F"/>
    <w:rsid w:val="001F51B2"/>
    <w:rsid w:val="00200CF9"/>
    <w:rsid w:val="00243F2B"/>
    <w:rsid w:val="002553EF"/>
    <w:rsid w:val="00271EC0"/>
    <w:rsid w:val="002C01FE"/>
    <w:rsid w:val="002C16E6"/>
    <w:rsid w:val="002D01EA"/>
    <w:rsid w:val="002D44DC"/>
    <w:rsid w:val="002D61E4"/>
    <w:rsid w:val="00312651"/>
    <w:rsid w:val="00313F28"/>
    <w:rsid w:val="00335454"/>
    <w:rsid w:val="0033675B"/>
    <w:rsid w:val="00343D74"/>
    <w:rsid w:val="0036493D"/>
    <w:rsid w:val="003C2D1A"/>
    <w:rsid w:val="003D0C45"/>
    <w:rsid w:val="00437CBF"/>
    <w:rsid w:val="00445D0D"/>
    <w:rsid w:val="00473AEA"/>
    <w:rsid w:val="004769DF"/>
    <w:rsid w:val="00487630"/>
    <w:rsid w:val="004E3BF0"/>
    <w:rsid w:val="0054149B"/>
    <w:rsid w:val="005612D5"/>
    <w:rsid w:val="005762E1"/>
    <w:rsid w:val="005A1B63"/>
    <w:rsid w:val="005B0FB4"/>
    <w:rsid w:val="005B2C61"/>
    <w:rsid w:val="005F56CD"/>
    <w:rsid w:val="00660F43"/>
    <w:rsid w:val="0066320B"/>
    <w:rsid w:val="006A0F72"/>
    <w:rsid w:val="006A4879"/>
    <w:rsid w:val="006F710A"/>
    <w:rsid w:val="00727F13"/>
    <w:rsid w:val="00756778"/>
    <w:rsid w:val="00790012"/>
    <w:rsid w:val="007B2BCA"/>
    <w:rsid w:val="007E2E86"/>
    <w:rsid w:val="00822EA9"/>
    <w:rsid w:val="00847873"/>
    <w:rsid w:val="008A0392"/>
    <w:rsid w:val="008A3132"/>
    <w:rsid w:val="00904B21"/>
    <w:rsid w:val="009322A7"/>
    <w:rsid w:val="009778F4"/>
    <w:rsid w:val="009935AC"/>
    <w:rsid w:val="009A15CD"/>
    <w:rsid w:val="009B2008"/>
    <w:rsid w:val="009F770C"/>
    <w:rsid w:val="00AE3A64"/>
    <w:rsid w:val="00B4505E"/>
    <w:rsid w:val="00B86674"/>
    <w:rsid w:val="00BA52C7"/>
    <w:rsid w:val="00BF69E6"/>
    <w:rsid w:val="00CA1919"/>
    <w:rsid w:val="00CC245B"/>
    <w:rsid w:val="00CE6783"/>
    <w:rsid w:val="00D37293"/>
    <w:rsid w:val="00D50946"/>
    <w:rsid w:val="00D92917"/>
    <w:rsid w:val="00DA23EC"/>
    <w:rsid w:val="00DA67EF"/>
    <w:rsid w:val="00DD3AA5"/>
    <w:rsid w:val="00DF4F08"/>
    <w:rsid w:val="00E469BD"/>
    <w:rsid w:val="00E71B34"/>
    <w:rsid w:val="00E7472D"/>
    <w:rsid w:val="00EB29A9"/>
    <w:rsid w:val="00EB73A6"/>
    <w:rsid w:val="00EC2FEC"/>
    <w:rsid w:val="00EE69D2"/>
    <w:rsid w:val="00F14C79"/>
    <w:rsid w:val="00F43DAA"/>
    <w:rsid w:val="00F67E90"/>
    <w:rsid w:val="00F829A5"/>
    <w:rsid w:val="00F876B6"/>
    <w:rsid w:val="00FA02D0"/>
    <w:rsid w:val="00FE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9E26C"/>
  <w15:chartTrackingRefBased/>
  <w15:docId w15:val="{2EF515EC-7D5F-445D-9370-45CEDB26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F43"/>
  </w:style>
  <w:style w:type="paragraph" w:styleId="Heading1">
    <w:name w:val="heading 1"/>
    <w:basedOn w:val="Normal"/>
    <w:link w:val="Heading1Char"/>
    <w:uiPriority w:val="9"/>
    <w:qFormat/>
    <w:rsid w:val="00660F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F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60F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F4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0F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0F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F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F43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660F43"/>
  </w:style>
  <w:style w:type="character" w:customStyle="1" w:styleId="eop">
    <w:name w:val="eop"/>
    <w:basedOn w:val="DefaultParagraphFont"/>
    <w:rsid w:val="00660F43"/>
  </w:style>
  <w:style w:type="table" w:styleId="TableGrid">
    <w:name w:val="Table Grid"/>
    <w:basedOn w:val="TableNormal"/>
    <w:uiPriority w:val="59"/>
    <w:rsid w:val="00660F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60F4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0F4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0F43"/>
    <w:pPr>
      <w:ind w:left="720"/>
      <w:contextualSpacing/>
    </w:pPr>
  </w:style>
  <w:style w:type="paragraph" w:customStyle="1" w:styleId="mb15">
    <w:name w:val="mb15"/>
    <w:basedOn w:val="Normal"/>
    <w:rsid w:val="0066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0">
    <w:name w:val="mb0"/>
    <w:basedOn w:val="Normal"/>
    <w:rsid w:val="0066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60F4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60F4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60F4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60F43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660F43"/>
    <w:pPr>
      <w:spacing w:after="0" w:line="240" w:lineRule="auto"/>
    </w:pPr>
  </w:style>
  <w:style w:type="table" w:styleId="GridTable4">
    <w:name w:val="Grid Table 4"/>
    <w:basedOn w:val="TableNormal"/>
    <w:uiPriority w:val="49"/>
    <w:rsid w:val="00660F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60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F43"/>
  </w:style>
  <w:style w:type="paragraph" w:styleId="Footer">
    <w:name w:val="footer"/>
    <w:basedOn w:val="Normal"/>
    <w:link w:val="FooterChar"/>
    <w:uiPriority w:val="99"/>
    <w:unhideWhenUsed/>
    <w:rsid w:val="00660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F43"/>
  </w:style>
  <w:style w:type="character" w:styleId="PageNumber">
    <w:name w:val="page number"/>
    <w:basedOn w:val="DefaultParagraphFont"/>
    <w:uiPriority w:val="99"/>
    <w:semiHidden/>
    <w:unhideWhenUsed/>
    <w:rsid w:val="00660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17B0724EBE74EA5207502E37C2141" ma:contentTypeVersion="9" ma:contentTypeDescription="Create a new document." ma:contentTypeScope="" ma:versionID="dc206e3b761eab694f673a43e9775408">
  <xsd:schema xmlns:xsd="http://www.w3.org/2001/XMLSchema" xmlns:xs="http://www.w3.org/2001/XMLSchema" xmlns:p="http://schemas.microsoft.com/office/2006/metadata/properties" xmlns:ns2="c76546fc-2918-4026-9a84-2f5e5097152e" targetNamespace="http://schemas.microsoft.com/office/2006/metadata/properties" ma:root="true" ma:fieldsID="1a6da4c0789052776444799b2b72bf09" ns2:_="">
    <xsd:import namespace="c76546fc-2918-4026-9a84-2f5e50971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546fc-2918-4026-9a84-2f5e509715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DFEC7-3A2E-4002-9F02-3DC512435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546fc-2918-4026-9a84-2f5e50971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37BF5C-928D-46B4-A993-B83F93F8CB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620250-FC3C-42DC-89E8-859F12A5E3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E7E3CD-367D-47F7-B816-598BC176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1906</Characters>
  <Application>Microsoft Office Word</Application>
  <DocSecurity>0</DocSecurity>
  <Lines>50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Loek Eggermont</dc:creator>
  <cp:keywords/>
  <dc:description/>
  <cp:lastModifiedBy>Loek Eggermont</cp:lastModifiedBy>
  <cp:revision>2</cp:revision>
  <dcterms:created xsi:type="dcterms:W3CDTF">2020-10-22T20:47:00Z</dcterms:created>
  <dcterms:modified xsi:type="dcterms:W3CDTF">2020-10-22T20:47:00Z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http://www.zotero.org/styles/american-association-for-cancer-research</vt:lpwstr>
  </property>
  <property fmtid="{D5CDD505-2E9C-101B-9397-08002B2CF9AE}" pid="3" name="Mendeley Recent Style Name 0_1">
    <vt:lpwstr>American Association for Cancer Research</vt:lpwstr>
  </property>
  <property fmtid="{D5CDD505-2E9C-101B-9397-08002B2CF9AE}" pid="4" name="Mendeley Recent Style Id 1_1">
    <vt:lpwstr>https://csl.mendeley.com/styles/27034561/american-chemical-society-short</vt:lpwstr>
  </property>
  <property fmtid="{D5CDD505-2E9C-101B-9397-08002B2CF9AE}" pid="5" name="Mendeley Recent Style Name 1_1">
    <vt:lpwstr>American Chemical Society - Loek - Short2</vt:lpwstr>
  </property>
  <property fmtid="{D5CDD505-2E9C-101B-9397-08002B2CF9AE}" pid="6" name="Mendeley Recent Style Id 2_1">
    <vt:lpwstr>http://csl.mendeley.com/styles/27034561/american-chemical-society-5LE</vt:lpwstr>
  </property>
  <property fmtid="{D5CDD505-2E9C-101B-9397-08002B2CF9AE}" pid="7" name="Mendeley Recent Style Name 2_1">
    <vt:lpwstr>American Chemical Society - Loek Eggermont4</vt:lpwstr>
  </property>
  <property fmtid="{D5CDD505-2E9C-101B-9397-08002B2CF9AE}" pid="8" name="Mendeley Recent Style Id 3_1">
    <vt:lpwstr>http://csl.mendeley.com/styles/27034561/american-chemical-society-5LE-10</vt:lpwstr>
  </property>
  <property fmtid="{D5CDD505-2E9C-101B-9397-08002B2CF9AE}" pid="9" name="Mendeley Recent Style Name 3_1">
    <vt:lpwstr>American Chemical Society - Loek Eggermont6 - Loek Eggermont</vt:lpwstr>
  </property>
  <property fmtid="{D5CDD505-2E9C-101B-9397-08002B2CF9AE}" pid="10" name="Mendeley Recent Style Id 4_1">
    <vt:lpwstr>http://csl.mendeley.com/styles/27034561/american-chemical-society-5LE-7</vt:lpwstr>
  </property>
  <property fmtid="{D5CDD505-2E9C-101B-9397-08002B2CF9AE}" pid="11" name="Mendeley Recent Style Name 4_1">
    <vt:lpwstr>American Chemical Society - Loek Eggermont6 - Loek Eggermont</vt:lpwstr>
  </property>
  <property fmtid="{D5CDD505-2E9C-101B-9397-08002B2CF9AE}" pid="12" name="Mendeley Recent Style Id 5_1">
    <vt:lpwstr>http://csl.mendeley.com/styles/27034561/american-chemical-society-5LE-9</vt:lpwstr>
  </property>
  <property fmtid="{D5CDD505-2E9C-101B-9397-08002B2CF9AE}" pid="13" name="Mendeley Recent Style Name 5_1">
    <vt:lpwstr>American Chemical Society - Loek Eggermont6 - Loek Eggermont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http://www.zotero.org/styles/national-library-of-medicine</vt:lpwstr>
  </property>
  <property fmtid="{D5CDD505-2E9C-101B-9397-08002B2CF9AE}" pid="17" name="Mendeley Recent Style Name 7_1">
    <vt:lpwstr>National Library of Medicine</vt:lpwstr>
  </property>
  <property fmtid="{D5CDD505-2E9C-101B-9397-08002B2CF9AE}" pid="18" name="Mendeley Recent Style Id 8_1">
    <vt:lpwstr>http://www.zotero.org/styles/science</vt:lpwstr>
  </property>
  <property fmtid="{D5CDD505-2E9C-101B-9397-08002B2CF9AE}" pid="19" name="Mendeley Recent Style Name 8_1">
    <vt:lpwstr>Science</vt:lpwstr>
  </property>
  <property fmtid="{D5CDD505-2E9C-101B-9397-08002B2CF9AE}" pid="20" name="Mendeley Recent Style Id 9_1">
    <vt:lpwstr>http://www.zotero.org/styles/science-translational-medicine</vt:lpwstr>
  </property>
  <property fmtid="{D5CDD505-2E9C-101B-9397-08002B2CF9AE}" pid="21" name="Mendeley Recent Style Name 9_1">
    <vt:lpwstr>Science Translational Medicine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6b9c0921-5a26-3d28-a6cf-ad646e12ace1</vt:lpwstr>
  </property>
  <property fmtid="{D5CDD505-2E9C-101B-9397-08002B2CF9AE}" pid="24" name="Mendeley Citation Style_1">
    <vt:lpwstr>http://www.zotero.org/styles/science</vt:lpwstr>
  </property>
  <property fmtid="{D5CDD505-2E9C-101B-9397-08002B2CF9AE}" pid="25" name="ContentTypeId">
    <vt:lpwstr>0x0101009F917B0724EBE74EA5207502E37C2141</vt:lpwstr>
  </property>
</Properties>
</file>