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05F4F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/>
          <w:color w:val="000000"/>
          <w:sz w:val="21"/>
        </w:rPr>
        <w:t>Supplementary Information</w:t>
      </w:r>
    </w:p>
    <w:p w14:paraId="289EB2AF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>Supplementary Figures</w:t>
      </w:r>
    </w:p>
    <w:p w14:paraId="185E229C">
      <w:pPr>
        <w:spacing w:before="0" w:after="0" w:line="360" w:lineRule="auto"/>
        <w:ind w:firstLine="420"/>
        <w:jc w:val="center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Times New Roman"/>
          <w:color w:val="000000"/>
          <w:sz w:val="21"/>
          <w:lang w:eastAsia="zh-CN"/>
        </w:rPr>
        <w:drawing>
          <wp:inline distT="0" distB="0" distL="114300" distR="114300">
            <wp:extent cx="6153785" cy="4277360"/>
            <wp:effectExtent l="0" t="0" r="18415" b="8890"/>
            <wp:docPr id="12" name="图片 1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3785" cy="427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4400C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color w:val="000000"/>
          <w:sz w:val="21"/>
        </w:rPr>
        <w:t>Supplementary Figure S1. Cohort-level data completeness and repeated-measure availability across the six ageing cohorts. A, Heatmap of cohort-specific missingness for key harmonized variables in the 5-year mortality modelling cohort. B, Distribution of the number of available follow-up waves by cohort. C, Proportion of participants with at least two ADL, IADL, and cognitive assessments by cohort.</w:t>
      </w:r>
    </w:p>
    <w:p w14:paraId="1C072542">
      <w:pPr>
        <w:spacing w:before="0" w:after="0" w:line="360" w:lineRule="auto"/>
        <w:ind w:firstLine="420"/>
        <w:jc w:val="center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Times New Roman"/>
          <w:color w:val="000000"/>
          <w:sz w:val="21"/>
          <w:lang w:eastAsia="zh-CN"/>
        </w:rPr>
        <w:drawing>
          <wp:inline distT="0" distB="0" distL="114300" distR="114300">
            <wp:extent cx="6807835" cy="4735195"/>
            <wp:effectExtent l="0" t="0" r="12065" b="8255"/>
            <wp:docPr id="7" name="图片 7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07835" cy="473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82621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color w:val="000000"/>
          <w:sz w:val="21"/>
        </w:rPr>
        <w:t>Supplementary Figure S2. Supplementary analyses of functional trajectory classes. A, Distribution of participants across the four functional trajectory classes. B, Cohort-specific 5-year mortality across functional trajectory classes. C, Odds ratios for 5-year mortality by functional trajectory class under unadjusted, demographic-adjusted, and mutual-domain-adjusted models.</w:t>
      </w:r>
    </w:p>
    <w:p w14:paraId="13C83063">
      <w:pPr>
        <w:spacing w:before="0" w:after="0" w:line="360" w:lineRule="auto"/>
        <w:ind w:firstLine="420"/>
        <w:jc w:val="center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Times New Roman"/>
          <w:color w:val="000000"/>
          <w:sz w:val="21"/>
          <w:lang w:eastAsia="zh-CN"/>
        </w:rPr>
        <w:drawing>
          <wp:inline distT="0" distB="0" distL="114300" distR="114300">
            <wp:extent cx="6864985" cy="4775200"/>
            <wp:effectExtent l="0" t="0" r="12065" b="6350"/>
            <wp:docPr id="8" name="图片 8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64985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23D14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color w:val="000000"/>
          <w:sz w:val="21"/>
        </w:rPr>
        <w:t>Supplementary Figure S3. Supplementary analyses of cognitive trajectory classes. A, Distribution of participants across the four cognitive trajectory classes. B, Mean annual cognitive z-score slope within each cognitive trajectory class. C, Odds ratios for 5-year mortality by cognitive trajectory class under unadjusted, demographic-adjusted, and mutual-domain-adjusted models.</w:t>
      </w:r>
    </w:p>
    <w:p w14:paraId="5748C20B">
      <w:pPr>
        <w:spacing w:before="0" w:after="0" w:line="360" w:lineRule="auto"/>
        <w:ind w:firstLine="420"/>
        <w:jc w:val="center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Times New Roman"/>
          <w:color w:val="000000"/>
          <w:sz w:val="21"/>
          <w:lang w:eastAsia="zh-CN"/>
        </w:rPr>
        <w:drawing>
          <wp:inline distT="0" distB="0" distL="114300" distR="114300">
            <wp:extent cx="6417310" cy="4460240"/>
            <wp:effectExtent l="0" t="0" r="2540" b="16510"/>
            <wp:docPr id="9" name="图片 9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7310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B099C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color w:val="000000"/>
          <w:sz w:val="21"/>
        </w:rPr>
        <w:t>Supplementary Figure S4. Cohort-level calibration curves comparing the portable core model and enriched prototype model under leave-one-cohort-out validation. A, CHARLS. B, ELSA. C, HRS. D, KLoSA. E, MHAS. F, SHARE. Decile-level observed mortality is plotted against mean predicted risk within each held-out cohort. The diagonal line indicates ideal calibration.</w:t>
      </w:r>
    </w:p>
    <w:p w14:paraId="3BAFD099">
      <w:pPr>
        <w:spacing w:before="0" w:after="0" w:line="360" w:lineRule="auto"/>
        <w:ind w:firstLine="420"/>
        <w:jc w:val="center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Times New Roman"/>
          <w:color w:val="000000"/>
          <w:sz w:val="21"/>
          <w:lang w:eastAsia="zh-CN"/>
        </w:rPr>
        <w:drawing>
          <wp:inline distT="0" distB="0" distL="114300" distR="114300">
            <wp:extent cx="6772910" cy="4707255"/>
            <wp:effectExtent l="0" t="0" r="8890" b="17145"/>
            <wp:docPr id="10" name="图片 10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S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2910" cy="47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7EBD2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color w:val="000000"/>
          <w:sz w:val="21"/>
        </w:rPr>
        <w:t>Supplementary Figure S5. Cohort-specific decision-curve analysis for trajectory-enhanced prediction. A, CHARLS. B, ELSA. C, HRS. D, KLoSA. E, MHAS. F, SHARE. Each panel compares the landmark current clinical model and the trajectory-enhanced model within a held-out cohort from the leave-one-cohort-out validation framework.</w:t>
      </w:r>
    </w:p>
    <w:p w14:paraId="38AAAC61">
      <w:pPr>
        <w:spacing w:before="0" w:after="0" w:line="360" w:lineRule="auto"/>
        <w:ind w:firstLine="420"/>
        <w:jc w:val="center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Times New Roman"/>
          <w:color w:val="000000"/>
          <w:sz w:val="21"/>
          <w:lang w:eastAsia="zh-CN"/>
        </w:rPr>
        <w:drawing>
          <wp:inline distT="0" distB="0" distL="114300" distR="114300">
            <wp:extent cx="6697980" cy="4492625"/>
            <wp:effectExtent l="0" t="0" r="7620" b="3175"/>
            <wp:docPr id="11" name="图片 11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ure S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97980" cy="449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9439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color w:val="000000"/>
          <w:sz w:val="21"/>
        </w:rPr>
        <w:t>Supplementary Figure S6. Cohort-specific contribution patterns for the portable core model. Cell values show gain-based feature contribution percentages for the leading portable-core predictors across held-out cohort training runs. Rows represent predictors and columns represent held-out cohort training runs; darker cells indicate lower contribution and brighter cells indicate higher contribution.</w:t>
      </w:r>
    </w:p>
    <w:p w14:paraId="427E3442">
      <w:pPr>
        <w:spacing w:before="0" w:after="0" w:line="360" w:lineRule="auto"/>
        <w:ind w:firstLine="0"/>
        <w:rPr>
          <w:rFonts w:ascii="Times New Roman" w:hAnsi="Times New Roman" w:eastAsia="Times New Roman"/>
          <w:b/>
          <w:color w:val="000000"/>
          <w:sz w:val="21"/>
        </w:rPr>
      </w:pPr>
    </w:p>
    <w:p w14:paraId="178EF1EB">
      <w:pPr>
        <w:spacing w:before="0" w:after="0" w:line="360" w:lineRule="auto"/>
        <w:ind w:firstLine="0"/>
        <w:rPr>
          <w:rFonts w:ascii="Times New Roman" w:hAnsi="Times New Roman" w:eastAsia="Times New Roman"/>
          <w:b/>
          <w:color w:val="000000"/>
          <w:sz w:val="21"/>
        </w:rPr>
      </w:pPr>
    </w:p>
    <w:p w14:paraId="39BE7D8D">
      <w:pPr>
        <w:spacing w:before="0" w:after="0" w:line="360" w:lineRule="auto"/>
        <w:ind w:firstLine="0"/>
      </w:pPr>
      <w:bookmarkStart w:id="0" w:name="_GoBack"/>
      <w:bookmarkEnd w:id="0"/>
      <w:r>
        <w:rPr>
          <w:rFonts w:ascii="Times New Roman" w:hAnsi="Times New Roman" w:eastAsia="Times New Roman"/>
          <w:b/>
          <w:i w:val="0"/>
          <w:color w:val="000000"/>
          <w:sz w:val="21"/>
        </w:rPr>
        <w:t>Supplementary Tables</w:t>
      </w:r>
    </w:p>
    <w:p w14:paraId="34B8D590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S1. Cohort construction, analytical sample sizes, and sample-flow clarification across six ageing cohorts.</w:t>
      </w:r>
    </w:p>
    <w:p w14:paraId="7AEF37AB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Values are counts and percentages unless otherwise stated. The first table summarises cohort construction and the major analytical datasets; the second table clarifies the relationship among the key sample sizes used across the manuscript.</w:t>
      </w:r>
    </w:p>
    <w:tbl>
      <w:tblPr>
        <w:tblStyle w:val="3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365"/>
        <w:gridCol w:w="1246"/>
        <w:gridCol w:w="957"/>
        <w:gridCol w:w="1174"/>
        <w:gridCol w:w="1148"/>
        <w:gridCol w:w="1157"/>
        <w:gridCol w:w="856"/>
        <w:gridCol w:w="1310"/>
        <w:gridCol w:w="950"/>
        <w:gridCol w:w="1369"/>
        <w:gridCol w:w="1593"/>
      </w:tblGrid>
      <w:tr w14:paraId="11DE3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CA8143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Cohort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CC251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Harmonized long-format records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8E4C0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Unique participants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724B8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Any death records, n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765B8D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Any death records, %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2B39A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Older adults aged ≥60 years at baseline, n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09355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5-year mortality modeling cohort, n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96EDB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5-year deaths, n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B6CFA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5-year mortality, %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F60C1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Median follow-up, years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F9C6E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Trajectory-eligible participants, n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EC288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Trajectory-eligible participants, %</w:t>
            </w:r>
          </w:p>
        </w:tc>
      </w:tr>
      <w:tr w14:paraId="4F27D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2C7EB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Overall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5B5BE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843416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69B31D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255124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DCE29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44867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4A44D2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17.59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D81E7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186134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722894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107805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5B902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17064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50F73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15.83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3137DF">
            <w:pPr>
              <w:snapToGrid w:val="0"/>
              <w:spacing w:before="0" w:after="0" w:line="360" w:lineRule="auto"/>
              <w:ind w:firstLine="0"/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E687B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130318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D61913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70</w:t>
            </w:r>
          </w:p>
        </w:tc>
      </w:tr>
      <w:tr w14:paraId="740BA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CB7F1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MHAS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5FE7E6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76506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EB556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26839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1A7F6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5564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3E43D6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20.73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429653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17031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BF075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12632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72C6F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1617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2556E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F9DEE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6.08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47458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13784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65ECD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80.93</w:t>
            </w:r>
          </w:p>
        </w:tc>
      </w:tr>
      <w:tr w14:paraId="0B090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43275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CHARLS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C5776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96628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EC28E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25873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056E1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2841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17B719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10.98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608F1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15264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B79B7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10760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C7079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1732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25F764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16.1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7154E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5.08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2DD18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12813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CC256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83.94</w:t>
            </w:r>
          </w:p>
        </w:tc>
      </w:tr>
      <w:tr w14:paraId="2C1F0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1B30D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SHARE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D7C01E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327266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C4068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136843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68B563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20489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7FAC6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14.97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694321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102570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0DC6C9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46319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269CE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8760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8D1559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18.91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D6EC94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3.42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084EB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60241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4A1391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58.73</w:t>
            </w:r>
          </w:p>
        </w:tc>
      </w:tr>
      <w:tr w14:paraId="7B74F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B74113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KLoSA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6F576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44273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760CF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9238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7AE9E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09E1E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18.58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BD1DE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7876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B4C239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76C773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762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7572C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12.76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FD5FA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F1B6D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6797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B83874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86.3</w:t>
            </w:r>
          </w:p>
        </w:tc>
      </w:tr>
      <w:tr w14:paraId="54656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EFE06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HRS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40D04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208674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39510E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36529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6B044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13408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E7239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36.71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04466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28678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C58213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87BE2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3752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E93BC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16.24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EEE481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8.5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26CAB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24624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43EB3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85.86</w:t>
            </w:r>
          </w:p>
        </w:tc>
      </w:tr>
      <w:tr w14:paraId="6FF69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75101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ELSA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92C2A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90069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7F1F8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19802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B329F6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849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89E233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4.29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4EF59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14715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933EB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B42B3D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A7F856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4.89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2B3EE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6.25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93C33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12059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660F1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81.95</w:t>
            </w:r>
          </w:p>
        </w:tc>
      </w:tr>
      <w:tr w14:paraId="7CE6B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12755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Stage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45089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F4884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Definition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99C2F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Relationship to analysis</w:t>
            </w:r>
          </w:p>
        </w:tc>
      </w:tr>
      <w:tr w14:paraId="1D893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CA540D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Harmonized long-format records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AEB37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843416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943D71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All harmonized person-wave records before baseline-age restriction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6E985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Source data for harmonization</w:t>
            </w:r>
          </w:p>
        </w:tc>
      </w:tr>
      <w:tr w14:paraId="41B47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9B5A61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Unique participants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71894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255124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C9DC8E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Unique individuals identified across the six cohorts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276A7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Initial participant-level pool</w:t>
            </w:r>
          </w:p>
        </w:tc>
      </w:tr>
      <w:tr w14:paraId="1E15F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5816F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Older adults aged ≥60 years at baseline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7FAB91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186134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0F4E9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 aged ≥60 years at first eligible baseline record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F171FD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Descriptive and repeated-measure availability population</w:t>
            </w:r>
          </w:p>
        </w:tc>
      </w:tr>
      <w:tr w14:paraId="2B491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24B5DF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Trajectory-eligible longitudinal cohort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B1FA8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130318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8893A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≥2 age-eligible observations for ADL, IADL, or cognition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EAF64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Maximum longitudinal trajectory-eligible population</w:t>
            </w:r>
          </w:p>
        </w:tc>
      </w:tr>
      <w:tr w14:paraId="5A550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03725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trajectory dataset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4CC40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75199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FDABC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Data structure sufficient for landmark functional trajectory estimation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7713C4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trajectory derivation population</w:t>
            </w:r>
          </w:p>
        </w:tc>
      </w:tr>
      <w:tr w14:paraId="51A07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FBC5B6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trajectory analytic sample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C511D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74895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3BD7D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Non-missing combined functional trajectory class assignment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9E7711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Figure 2/Table 2 analysis population</w:t>
            </w:r>
          </w:p>
        </w:tc>
      </w:tr>
      <w:tr w14:paraId="613ED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7369D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Cognitive trajectory analytic sample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56F975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62133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F99706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Assigned cognitive trajectory class in harmonized landmark output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792BC6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Figure 3 analysis population</w:t>
            </w:r>
          </w:p>
        </w:tc>
      </w:tr>
      <w:tr w14:paraId="3B759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6F612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Joint functional-cognitive phenotype sample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931844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62084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C2987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Both functional and cognitive trajectory information available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67E70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Figure 4/Table 3 analysis population</w:t>
            </w:r>
          </w:p>
        </w:tc>
      </w:tr>
      <w:tr w14:paraId="1F11A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10F08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5-year mortality modelling cohort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14478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107805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5CB5EA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Complete 5-year mortality labels among age-eligible participants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9BB7F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Model development and validation population</w:t>
            </w:r>
          </w:p>
        </w:tc>
      </w:tr>
      <w:tr w14:paraId="15932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A49DCB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Internal model training partition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42AD990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64683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737E9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60% stratified random partition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EB9397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Model fitting</w:t>
            </w:r>
          </w:p>
        </w:tc>
      </w:tr>
      <w:tr w14:paraId="38D82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33653E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Internal calibration partition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4C54D48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21561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E201F6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20% stratified random partition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3F399C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Isotonic probability calibration</w:t>
            </w:r>
          </w:p>
        </w:tc>
      </w:tr>
      <w:tr w14:paraId="02395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9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B4C724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Independent internal test partition</w:t>
            </w:r>
          </w:p>
        </w:tc>
        <w:tc>
          <w:tcPr>
            <w:tcW w:w="11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63DF44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21561</w:t>
            </w:r>
          </w:p>
        </w:tc>
        <w:tc>
          <w:tcPr>
            <w:tcW w:w="117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B42F02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20% stratified random partition not used for fitting or calibration</w:t>
            </w:r>
          </w:p>
        </w:tc>
        <w:tc>
          <w:tcPr>
            <w:tcW w:w="13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D23BC9">
            <w:pPr>
              <w:snapToGrid w:val="0"/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Figure 7/Supplementary Fig. S6 internal test population</w:t>
            </w:r>
          </w:p>
        </w:tc>
      </w:tr>
    </w:tbl>
    <w:p w14:paraId="21C739D4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0802F954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1F2872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0"/>
        <w:textAlignment w:val="auto"/>
        <w:rPr>
          <w:lang w:val="en-US" w:eastAsia="en-US"/>
        </w:r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S2. Variable availability for portable-core variables and optional enriched-model variables by cohort.</w:t>
      </w:r>
    </w:p>
    <w:tbl>
      <w:tblPr>
        <w:tblStyle w:val="3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061"/>
        <w:gridCol w:w="806"/>
        <w:gridCol w:w="902"/>
        <w:gridCol w:w="806"/>
        <w:gridCol w:w="902"/>
        <w:gridCol w:w="861"/>
        <w:gridCol w:w="902"/>
        <w:gridCol w:w="806"/>
        <w:gridCol w:w="902"/>
        <w:gridCol w:w="806"/>
        <w:gridCol w:w="902"/>
        <w:gridCol w:w="806"/>
        <w:gridCol w:w="902"/>
        <w:gridCol w:w="806"/>
        <w:gridCol w:w="903"/>
      </w:tblGrid>
      <w:tr w14:paraId="05F95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65A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Variable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C97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Harmonized field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DD2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Overall available n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79B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Overall missing %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C63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MHAS available n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1F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MHAS missing %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A91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CHARLS available n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B22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CHARLS missing %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4C8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SHARE available n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D8F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SHARE missing %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A3B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KLoSA available n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68E6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KLoSA missing %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C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HRS available n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5C0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HRS missing %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608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ELSA available n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1C1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ELSA missing %</w:t>
            </w:r>
          </w:p>
        </w:tc>
      </w:tr>
      <w:tr w14:paraId="41E0A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DB0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Age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A35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age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25C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107805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49F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18D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7FF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B46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DC5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8F1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46319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428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83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C43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7AF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E02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A5E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298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31940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A01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Sex Raw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AC8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sex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raw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299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107805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800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AB2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765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CFF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2D0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E52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46319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16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676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180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C48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F4E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BDA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E19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5EAA8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785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Education Years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461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education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years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258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90821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ACF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15.80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050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12569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880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F7E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E4D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5A6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46319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F2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8D6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945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15E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23064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89C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AC9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8869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652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1.700</w:t>
            </w:r>
          </w:p>
        </w:tc>
      </w:tr>
      <w:tr w14:paraId="35629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394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Education Level Raw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9A4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education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level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raw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19D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106961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7D8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5F5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12569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A5E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018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10758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9A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A3A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46319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9C7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1B9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C43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A98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425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AF3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8246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339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8.600</w:t>
            </w:r>
          </w:p>
        </w:tc>
      </w:tr>
      <w:tr w14:paraId="3FD62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9D1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Marital Raw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D84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marital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raw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E39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96709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E37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10.30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DE8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12611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687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A4F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1EE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C4D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46004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AD8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216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F64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D4A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C0B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5C9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8E7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4C3BE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398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Residence Raw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974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residence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raw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36F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98639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D02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1CB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12492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829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399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F92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A46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46319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B9E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8C6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7A4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A3E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B6B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6E5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7F6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</w:tr>
      <w:tr w14:paraId="39A1C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966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Self Rated Health Raw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EAF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self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rated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health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raw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87C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107225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42C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75E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12333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0E0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2.400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ED1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10657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286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7DC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46268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4B7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6B1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3FC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669C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B5B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072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8897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80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1.400</w:t>
            </w:r>
          </w:p>
        </w:tc>
      </w:tr>
      <w:tr w14:paraId="1EA10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6A8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Bmi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724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bmi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1BD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103895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A0E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AF4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11939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0EC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5.500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EEB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9626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423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10.50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900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45614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863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C9A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5905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F88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10C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23040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600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772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7771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89F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13.90</w:t>
            </w:r>
          </w:p>
        </w:tc>
      </w:tr>
      <w:tr w14:paraId="3E032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8CB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Hypertension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A40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hypertension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3AC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107675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1F7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DB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854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B96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10690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A12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F35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46270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61A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08C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3DE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2EB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DE4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663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BDD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3C3A6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7D7D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Dyslipidemia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513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dyslipidemia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CB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79217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3B3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26.50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257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861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984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10653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623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E3F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46268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02D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ABD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08B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759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13452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904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41.80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CDE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8844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8D5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2.000</w:t>
            </w:r>
          </w:p>
        </w:tc>
      </w:tr>
      <w:tr w14:paraId="37D67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8E3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Diabetes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851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diabetes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3C4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107663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F99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61E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A59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0DA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10677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ACA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297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46269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D61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63C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34F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9D8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368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11E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8A6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0E973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950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Cancer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421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cancer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DFD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107664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8EF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BC8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A6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829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10679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547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F2D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46268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4AD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312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872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73D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595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50F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DCB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02978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296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Lung Disease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C44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lung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disease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77C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95046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6B9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11.80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D6A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C20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033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10685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624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807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46268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E9F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F1D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2D0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3E6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90F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10E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6D7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5C598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E74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Heart Disease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2FD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heart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disease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B70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107666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64C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16C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329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C07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10682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693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724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46268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754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ABE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D27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3EC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9B3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354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3A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62B24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5E4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Stroke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A96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stroke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A64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107593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1E1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8F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78B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6BA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10606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52F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1.400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902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46268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760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C1D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D58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476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80C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E3D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A01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5F429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E7D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Arthritis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B11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arthritis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A42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107674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751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42C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D30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326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10688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C81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4EF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46270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2DD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356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16D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1DC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EA4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453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7F7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3D3DF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076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Psychiatric Problem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0A6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psychiatric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problem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E0B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93425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4EE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13.30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15B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561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59D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10681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450D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7C4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44651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854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CE0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98E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C31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EA6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9BE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103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40A17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F3B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Dementia Alzheimer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8ED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dementia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alzheimer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D3B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32163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DFF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70.20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323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71E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7D6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640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A7D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097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F00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3440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749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42.40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F92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19702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2CE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14.70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56F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E95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64843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003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Chronic Count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211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chronic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count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69C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107693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04D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941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7AB1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5E8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54F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C7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46274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66E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9A6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693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DA9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4A2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E2F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C1F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</w:tr>
      <w:tr w14:paraId="5247D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99B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 Score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98A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score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418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107716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39F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1B9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3E5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E11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F4A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53E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46270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16E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DB9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8EF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5BD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958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42E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9009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083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</w:tr>
      <w:tr w14:paraId="19EEE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B42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 Score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6973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score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DED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AA6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D97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12336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C0F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2.300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A7C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174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EAC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46270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9D3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EF3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9DD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B7B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1CF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94B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9009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419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</w:tr>
      <w:tr w14:paraId="0D3FD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E87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Cognition Score Raw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961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cognition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score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raw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A8C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101207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DD3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0CD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8101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21D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35.90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25A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10360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0AB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453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46086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602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FF1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5850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F92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C4A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21820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A22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0BE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8990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242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0.400</w:t>
            </w:r>
          </w:p>
        </w:tc>
      </w:tr>
      <w:tr w14:paraId="4BB1F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269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Memory Immediate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1AB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memory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immediate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9D6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92196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9F8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14.50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790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38E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260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10126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56E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5.900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C95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45511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FF6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BDA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5850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3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520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21820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7E0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A48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8889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646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1.500</w:t>
            </w:r>
          </w:p>
        </w:tc>
      </w:tr>
      <w:tr w14:paraId="63938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455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Memory Delayed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311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memory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delayed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E63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92132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F8F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14.50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29F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A0B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7D5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10095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D80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6.200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749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45474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C64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1.800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4FB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5850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3A1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C3B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21820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00E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5DE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8893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8AF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1.400</w:t>
            </w:r>
          </w:p>
        </w:tc>
      </w:tr>
      <w:tr w14:paraId="7B76E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B33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Depression Score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E02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depression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score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973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59385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779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44.90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6B6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12323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D30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2.400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FE9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10402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94B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3.300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41A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9F6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A0E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5965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12B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051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21808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F28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3D3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8887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C9B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1.500</w:t>
            </w:r>
          </w:p>
        </w:tc>
      </w:tr>
      <w:tr w14:paraId="2891A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CA6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Smoke Ever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6D3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smoke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ever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002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107184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369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AF2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782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3E9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34C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B1F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45943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3D3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796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898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79A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22927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FD3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CA5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8966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039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0.600</w:t>
            </w:r>
          </w:p>
        </w:tc>
      </w:tr>
      <w:tr w14:paraId="44EEF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BF8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Smoke Current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D3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smoke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current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6C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107390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FB1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174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B88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FBC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10684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094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B99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46030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8EB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244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AD9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9D2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23067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FA8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FC5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9006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F32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</w:tr>
      <w:tr w14:paraId="491E8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3C0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Drink Current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014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drink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current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861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107504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216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5E8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F3C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F3B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92D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1D8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46203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204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A3A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431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435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034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34B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8853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F19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1.900</w:t>
            </w:r>
          </w:p>
        </w:tc>
      </w:tr>
      <w:tr w14:paraId="52E15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EF0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Hospital Any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9AA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hospital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any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478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98671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75B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C35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062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7AD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71B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3C0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46244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B09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804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5969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87A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02E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23085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214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18E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E34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</w:tr>
      <w:tr w14:paraId="1315B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5C2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Doctor Any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9C6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doctor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any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E40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98489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F91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B56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CEF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1F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55D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A30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46062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B5F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1C6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5967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5AB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849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BAB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61B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00E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</w:tr>
      <w:tr w14:paraId="63E57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E34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Cognition Z By Cohort Wave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636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cognition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z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cohort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wave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8A6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101207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EE3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25B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8101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9FD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35.90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100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10360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65A9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AB8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46086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BB4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C13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5850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2E6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D38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21820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38F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5.500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4A2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8990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124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0.400</w:t>
            </w:r>
          </w:p>
        </w:tc>
      </w:tr>
      <w:tr w14:paraId="6DAAD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FC1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 Z By Cohort Wave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4F8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z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cohort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wave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2C1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107716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1DF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C9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FA2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685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5E2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805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46270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A4C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DAE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3B6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24D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2B8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534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9009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401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</w:tr>
      <w:tr w14:paraId="5BD41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550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 Z By Cohort Wave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E0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z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cohort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wave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744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107422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5BA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E66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12336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14C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2.300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A18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5E1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3D3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46270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A1C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0AB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CA2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F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23091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DCB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9DB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9009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6E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</w:tr>
      <w:tr w14:paraId="1CC91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EB6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Depression Z By Cohort Wave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CDA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depression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z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cohort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wave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44A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59385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ACE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44.90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6DF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12323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EDD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2.400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A96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10402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CC6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3.300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CC0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5C7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4F3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5965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4D0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DAA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21808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540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5.600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12D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8887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CC5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1.500</w:t>
            </w:r>
          </w:p>
        </w:tc>
      </w:tr>
      <w:tr w14:paraId="45619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9DD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Physical Activity Raw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125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physical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activity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raw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A04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66646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98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38.20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29B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06A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92B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3BD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7AF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46204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693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641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FAA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15E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20442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AD7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11.50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0C3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1B7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</w:tr>
      <w:tr w14:paraId="0376F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62B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Frailty Index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ADA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frailty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index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6A7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82492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59A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23.50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B70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3DB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B79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10742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D82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67D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42012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AB8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9.300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8AF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30C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11B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38E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B08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6638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103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26.40</w:t>
            </w:r>
          </w:p>
        </w:tc>
      </w:tr>
      <w:tr w14:paraId="7A624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3DD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Grip Sum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4483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grip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sum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A68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23042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75F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78.60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B46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6E7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CE8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9644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60F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10.40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365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6AB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480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5531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5F2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7.400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7EE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3F4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EE0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7867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D50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12.80</w:t>
            </w:r>
          </w:p>
        </w:tc>
      </w:tr>
      <w:tr w14:paraId="56BC1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3F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Walk Speed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9A3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walk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speed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3D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37297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481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65.40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BB0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1058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780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91.60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C7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9338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213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13.20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D1C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4465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6A2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90.40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77E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880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4F4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13739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417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40.50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DE0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8697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1D1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3.600</w:t>
            </w:r>
          </w:p>
        </w:tc>
      </w:tr>
      <w:tr w14:paraId="6D89F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22D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Systolic Bp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1C9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systolic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bp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52F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34338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EA3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68.10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417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7FA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91.50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37E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9716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9C2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0E9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E74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753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6B6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DD7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15641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16B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32.30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B12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7903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37D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12.40</w:t>
            </w:r>
          </w:p>
        </w:tc>
      </w:tr>
      <w:tr w14:paraId="473CC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87D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Diastolic Bp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761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diastolic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bp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F60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34331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48D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68.20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28F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6EB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91.50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45C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9716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CAD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B6D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518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7B7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6AD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12E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15634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D2F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32.30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DDF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7903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58B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12.40</w:t>
            </w:r>
          </w:p>
        </w:tc>
      </w:tr>
      <w:tr w14:paraId="0A520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B5B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Pulse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B2A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pulse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481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34338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395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68.10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E10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383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91.50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74F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9713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C98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9.700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F56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82B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D5E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1BD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59C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15642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2EA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32.30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60B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7905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923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12.40</w:t>
            </w:r>
          </w:p>
        </w:tc>
      </w:tr>
      <w:tr w14:paraId="053E9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AC7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Proxy Raw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E0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proxy</w:t>
            </w:r>
            <w:r>
              <w:rPr>
                <w:rFonts w:hint="eastAsia" w:eastAsia="宋体"/>
                <w:b w:val="0"/>
                <w:i w:val="0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raw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198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35732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BF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66.90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52C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6D9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573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C94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831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F2D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E60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201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17A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FF6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0.000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862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9F1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</w:t>
            </w:r>
          </w:p>
        </w:tc>
      </w:tr>
    </w:tbl>
    <w:p w14:paraId="50980B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420"/>
        <w:textAlignment w:val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Available n and missing percentages were calculated within the 5-year mortality modelling cohort. This table is intended to clarify why the portable core model was selected as the primary cross-cohort model and why the enriched prototype was retained only as a secondary exploratory specification.</w:t>
      </w:r>
    </w:p>
    <w:p w14:paraId="78AEED91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S3. Follow-up wave distribution and repeated-measure availability by cohort.</w:t>
      </w:r>
    </w:p>
    <w:p w14:paraId="1CAF4BD1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Wave categories were calculated among participants aged 60 years or older at baseline. Repeated-measure availability refers to the proportion with at least two observations for the specified longitudinal domain.</w:t>
      </w:r>
    </w:p>
    <w:tbl>
      <w:tblPr>
        <w:tblStyle w:val="3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069"/>
        <w:gridCol w:w="1112"/>
        <w:gridCol w:w="1112"/>
        <w:gridCol w:w="1163"/>
        <w:gridCol w:w="2065"/>
        <w:gridCol w:w="2099"/>
        <w:gridCol w:w="2255"/>
        <w:gridCol w:w="2250"/>
      </w:tblGrid>
      <w:tr w14:paraId="4389D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87E14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Cohort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CAC69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 wave, n (%)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E543C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 waves, n (%)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6C94C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 waves, n (%)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4DDA0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≥4 waves, n (%)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9C924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 ≥2 measurements, n (%)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01312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 ≥2 measurements, n (%)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CD7F7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Cognition ≥2 measurements, n (%)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6E60A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Trajectory-eligible participants, n (%)</w:t>
            </w:r>
          </w:p>
        </w:tc>
      </w:tr>
      <w:tr w14:paraId="7DEE2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28AA4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Overall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0F30B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55,544 (29.8)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1F9CD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37,771 (20.3)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8BE6B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31,321 (16.8)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26D6C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61,498 (33.0)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401DA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130,266 (70.0)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A205E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129,288 (69.5)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0821F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118,950 (63.9)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EA0AE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130,318 (70.0)</w:t>
            </w:r>
          </w:p>
        </w:tc>
      </w:tr>
      <w:tr w14:paraId="4329A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D29FE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MHAS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59AD8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3,226 (18.9)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EE1DC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4,806 (28.2)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E04E5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4,938 (29.0)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A7B55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4,061 (23.8)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E3DCF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13,781 (80.9)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E6004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12,801 (75.2)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30A60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7,310 (42.9)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81DE3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13,784 (80.9)</w:t>
            </w:r>
          </w:p>
        </w:tc>
      </w:tr>
      <w:tr w14:paraId="02105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3116B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CHARLS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6692E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2,387 (15.6)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161DF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3,120 (20.4)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5166A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2,911 (19.1)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38C97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6,846 (44.9)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11CC9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12,807 (83.9)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277AF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12,810 (83.9)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8D137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11,840 (77.6)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40DF4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12,813 (83.9)</w:t>
            </w:r>
          </w:p>
        </w:tc>
      </w:tr>
      <w:tr w14:paraId="1E0AD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B3F26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SHARE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56D40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42,172 (41.1)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38BF6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23,311 (22.7)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C6362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17,378 (16.9)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8D65E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19,709 (19.2)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CE973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60,211 (58.7)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3735A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60,211 (58.7)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FCDC0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58,913 (57.4)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E4F41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60,241 (58.7)</w:t>
            </w:r>
          </w:p>
        </w:tc>
      </w:tr>
      <w:tr w14:paraId="3858A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3CFE2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KLoSA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1ECFC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1,079 (13.7)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9D087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986 (12.5)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C537A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905 (11.5)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1E6EA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4,906 (62.3)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05C8C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6,797 (86.3)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D67CC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6,797 (86.3)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EBDAE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5,928 (75.3)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AB003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6,797 (86.3)</w:t>
            </w:r>
          </w:p>
        </w:tc>
      </w:tr>
      <w:tr w14:paraId="08127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A4B1A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HRS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DC1FB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4,050 (14.1)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40A55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3,413 (11.9)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798507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3,323 (11.6)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1CF66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17,892 (62.4)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14F02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24,613 (85.8)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5F95D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24,612 (85.8)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9A340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23,025 (80.3)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4E6AA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24,624 (85.9)</w:t>
            </w:r>
          </w:p>
        </w:tc>
      </w:tr>
      <w:tr w14:paraId="4EA66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E5CF0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ELSA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F851A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2,630 (17.9)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168F0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2,135 (14.5)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A27FA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1,866 (12.7)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C8A12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8,084 (54.9)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44C8B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12,057 (81.9)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4C84D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12,057 (81.9)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10574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11,934 (81.1)</w:t>
            </w:r>
          </w:p>
        </w:tc>
        <w:tc>
          <w:tcPr>
            <w:tcW w:w="7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8F005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12,059 (82.0)</w:t>
            </w:r>
          </w:p>
        </w:tc>
      </w:tr>
    </w:tbl>
    <w:p w14:paraId="7B6C0BDF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1D50D245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2354E34A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0DA19158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284F21BB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S4. Functional trajectory profiles and class-specific mortality.</w:t>
      </w:r>
    </w:p>
    <w:p w14:paraId="116F266E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Values are class-level counts, percentages, mean trajectory summaries, and observed 5-year mortality percentages.</w:t>
      </w:r>
    </w:p>
    <w:tbl>
      <w:tblPr>
        <w:tblStyle w:val="3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944"/>
        <w:gridCol w:w="608"/>
        <w:gridCol w:w="763"/>
        <w:gridCol w:w="719"/>
        <w:gridCol w:w="790"/>
        <w:gridCol w:w="596"/>
        <w:gridCol w:w="719"/>
        <w:gridCol w:w="790"/>
        <w:gridCol w:w="596"/>
        <w:gridCol w:w="616"/>
        <w:gridCol w:w="929"/>
        <w:gridCol w:w="929"/>
        <w:gridCol w:w="929"/>
        <w:gridCol w:w="929"/>
        <w:gridCol w:w="929"/>
        <w:gridCol w:w="929"/>
        <w:gridCol w:w="929"/>
      </w:tblGrid>
      <w:tr w14:paraId="423E6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B2C49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Class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D9567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Trajectory label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D6E11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n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111B3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% of trajectory sample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7A8BF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ADL baseline, mean (SD)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505B6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ADL landmark, mean (SD)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F74F1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ADL annual slope, mean (SD)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F811F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IADL baseline, mean (SD)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3FF4C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IADL landmark, mean (SD)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CE41E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IADL annual slope, mean (SD)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7CC279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5-year deaths, n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0B526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5-year mortality, %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35FE6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MHAS mortality, %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8EFFB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CHARLS mortality, %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5EEC3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SHARE mortality, %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54E41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KLoSA mortality, %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65BE6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HRS mortality, %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3B42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Times New Roman"/>
                <w:b w:val="0"/>
                <w:bCs/>
                <w:i w:val="0"/>
                <w:color w:val="000000"/>
                <w:sz w:val="21"/>
              </w:rPr>
              <w:t>ELSA mortality, %</w:t>
            </w:r>
          </w:p>
        </w:tc>
      </w:tr>
      <w:tr w14:paraId="45D0F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DC618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1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E8B55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1: stable low impairment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101AA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48,366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65295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64.6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DC249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 (0.00)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D0E9B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 (0.00)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B9428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 (0.00)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F88BC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 (0.00)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53B4B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 (0.00)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424BB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 (0.00)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115B1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5,279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E2F14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10.9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A58AE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13.2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97DC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10.4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116C3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13.4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43361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9.5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FB0D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10.2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B019F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2.9</w:t>
            </w:r>
          </w:p>
        </w:tc>
      </w:tr>
      <w:tr w14:paraId="122BC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4876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2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30032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2: mild gradual decline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7F9E1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12,201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16268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16.3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F0039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0.27 (0.51)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CF619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0.31 (0.52)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7C92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0.02 (0.36)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031E5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0.35 (0.56)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D038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0.41 (0.56)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B4D4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0.03 (0.41)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1ADD3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2,335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B38CB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19.1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AC9D5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22.1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8709F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13.3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A63FD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23.1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7A959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15.4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07A0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20.6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D38FB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8.2</w:t>
            </w:r>
          </w:p>
        </w:tc>
      </w:tr>
      <w:tr w14:paraId="66AE7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1FF9F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3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E1491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3: moderate impairment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9233E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8,458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4CDC7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11.3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23DC5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0.84 (1.05)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5C59A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1.05 (1.10)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F95D1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0.09 (0.71)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78BA8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(1.12)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C0C51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1.46 (1.27)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1D7AB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0.19 (0.82)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FA48F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2,651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1EDB9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31.3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1EEC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35.6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1999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21.0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E1FF8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39.2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FBE9B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27.5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0A36C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33.3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080DA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12.0</w:t>
            </w:r>
          </w:p>
        </w:tc>
      </w:tr>
      <w:tr w14:paraId="3E5B9C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38F9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4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145FD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4: rapid functional deterioration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60F13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5,870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10122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7.8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11D0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2.37 (2.09)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FCE5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3.42 (2.02)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B3FCA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0.41 (1.30)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7D8FC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2.88 (2.32)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ADB6D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4.19 (2.36)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AE2D2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0.49 (1.41)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7C7C4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3,334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ADEA6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56.8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8A1AB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59.4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16AAC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42.4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207D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66.3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FB132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51.5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21EFB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59.2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50A06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20.7</w:t>
            </w:r>
          </w:p>
        </w:tc>
      </w:tr>
    </w:tbl>
    <w:p w14:paraId="2B433D8A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3220858B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0833CEDB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1459BCCD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S5. Joint ADL/IADL trajectory distribution.</w:t>
      </w:r>
    </w:p>
    <w:p w14:paraId="03495831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Values are n (%) based on the cross-classification of ADL and IADL trajectory classes. Percentages are calculated within the functional trajectory sample.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0"/>
        <w:gridCol w:w="2361"/>
        <w:gridCol w:w="2351"/>
        <w:gridCol w:w="2351"/>
        <w:gridCol w:w="2351"/>
        <w:gridCol w:w="2366"/>
      </w:tblGrid>
      <w:tr w14:paraId="6C293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C5B7E6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 trajectory class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A643C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 Class 1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3DF441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 Class 2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CCA7ED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 Class 3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404045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IADL Class 4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5736AC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Row total</w:t>
            </w:r>
          </w:p>
        </w:tc>
      </w:tr>
      <w:tr w14:paraId="00BF0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A57A40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 Class 1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143716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57,039 (77.3)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914B90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1,676 (2.3)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C778C8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1,797 (2.4)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DC5D04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219 (0.3)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D0F96C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60,731 (82.3)</w:t>
            </w:r>
          </w:p>
        </w:tc>
      </w:tr>
      <w:tr w14:paraId="6B1509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702090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 Class 2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FC6D22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4,263 (5.8)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E029C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1,593 (2.2)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7A7F9B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593 (0.8)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AA2192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327 (0.4)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58D8FF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6,776 (9.2)</w:t>
            </w:r>
          </w:p>
        </w:tc>
      </w:tr>
      <w:tr w14:paraId="14133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7F6546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 Class 3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F79C3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1,422 (1.9)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C280DD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329 (0.4)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45ACB0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1,435 (1.9)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A455B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513 (0.7)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77E86D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3,699 (5.0)</w:t>
            </w:r>
          </w:p>
        </w:tc>
      </w:tr>
      <w:tr w14:paraId="18934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77F4E0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ADL Class 4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58377F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318 (0.4)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44E3C7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1,186 (1.6)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9BC430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239 (0.3)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479F25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859 (1.2)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6D7797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2,602 (3.5)</w:t>
            </w:r>
          </w:p>
        </w:tc>
      </w:tr>
      <w:tr w14:paraId="314D4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978B5D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Column total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476D67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63,042 (85.4)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7AF39C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4,784 (6.5)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58866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4,064 (5.5)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07C087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1,918 (2.6)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6D06A2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73,808 (100.0)</w:t>
            </w:r>
          </w:p>
        </w:tc>
      </w:tr>
    </w:tbl>
    <w:p w14:paraId="381B70A4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7BD31937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S6. Extended baseline characteristics not shown in main-text Table 2.</w:t>
      </w:r>
    </w:p>
    <w:p w14:paraId="53ABED6A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Values are mean (standard deviation) for continuous variables and n (%) for categorical variables.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3"/>
        <w:gridCol w:w="2836"/>
        <w:gridCol w:w="2827"/>
        <w:gridCol w:w="2827"/>
        <w:gridCol w:w="2827"/>
      </w:tblGrid>
      <w:tr w14:paraId="401AD2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9FA30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Variable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7CA6D2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1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FD2E80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2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EF3D18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3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311435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4</w:t>
            </w:r>
          </w:p>
        </w:tc>
      </w:tr>
      <w:tr w14:paraId="3D031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5601F7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Self-rated health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5F3787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3.12 (1.04)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8FB156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2.73 (1.06)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32B10D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2.36 (1.14)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19ECFC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1.92 (1.15)</w:t>
            </w:r>
          </w:p>
        </w:tc>
      </w:tr>
      <w:tr w14:paraId="633AE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A18F42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Body mass index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25294A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26.33 (4.68)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AB0415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26.98 (6.10)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BCC112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27.20 (6.45)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7B7A0C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26.22 (7.27)</w:t>
            </w:r>
          </w:p>
        </w:tc>
      </w:tr>
      <w:tr w14:paraId="62805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12A41F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Cancer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54198A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4,007 (8.3)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245CBC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1,191 (9.8)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FBF858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967 (11.5)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C3B6FC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652 (11.2)</w:t>
            </w:r>
          </w:p>
        </w:tc>
      </w:tr>
      <w:tr w14:paraId="0044F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28125D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Lung disease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F062C7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2,883 (6.7)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DFCB82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1,393 (12.6)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C98A4D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1,332 (17.2)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2B9912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1,043 (19.3)</w:t>
            </w:r>
          </w:p>
        </w:tc>
      </w:tr>
      <w:tr w14:paraId="4FF71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F6DD06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Arthritis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1F7A89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16,952 (35.1)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A29596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6,423 (52.9)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58ACB4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5,232 (62.1)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CA9F9A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3,467 (59.3)</w:t>
            </w:r>
          </w:p>
        </w:tc>
      </w:tr>
      <w:tr w14:paraId="3F8D5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52B48D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Ever smoking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3F859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23,877 (49.7)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E370AC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5,976 (49.3)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F3108B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3,971 (47.2)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91F6B6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2,419 (41.6)</w:t>
            </w:r>
          </w:p>
        </w:tc>
      </w:tr>
      <w:tr w14:paraId="6E480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4B88C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Current smoking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076E25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6,603 (14.2)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BC740A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1,570 (13.7)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D07D3E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1,058 (13.5)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708C7A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515 (9.9)</w:t>
            </w:r>
          </w:p>
        </w:tc>
      </w:tr>
      <w:tr w14:paraId="1D657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AE74B1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Current drinking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A7C71F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23,458 (49.0)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5850A0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4,776 (39.7)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0B86C1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2,565 (31.0)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956BCF">
            <w:pPr>
              <w:spacing w:before="0" w:after="0" w:line="36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933 (16.5)</w:t>
            </w:r>
          </w:p>
        </w:tc>
      </w:tr>
    </w:tbl>
    <w:p w14:paraId="1ADA6DE9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7170B224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3D2234ED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0A12576F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21FD1099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S7. Cognitive trajectory profiles and class-specific mortality.</w:t>
      </w:r>
    </w:p>
    <w:p w14:paraId="757C40F2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Values are n, percentages, mean values, annual slopes, and observed 5-year mortality percentages. The class with apparent improvement should be interpreted conservatively as a relative maintenance/recovery pattern rather than as a causal gain in cognitive capacity.</w:t>
      </w:r>
    </w:p>
    <w:tbl>
      <w:tblPr>
        <w:tblStyle w:val="3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707"/>
        <w:gridCol w:w="900"/>
        <w:gridCol w:w="536"/>
        <w:gridCol w:w="707"/>
        <w:gridCol w:w="729"/>
        <w:gridCol w:w="743"/>
        <w:gridCol w:w="701"/>
        <w:gridCol w:w="508"/>
        <w:gridCol w:w="807"/>
        <w:gridCol w:w="765"/>
        <w:gridCol w:w="575"/>
        <w:gridCol w:w="857"/>
        <w:gridCol w:w="857"/>
        <w:gridCol w:w="857"/>
        <w:gridCol w:w="857"/>
        <w:gridCol w:w="857"/>
        <w:gridCol w:w="857"/>
        <w:gridCol w:w="857"/>
      </w:tblGrid>
      <w:tr w14:paraId="1370A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369AE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DBC77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Original trajectory class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BA9E7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 label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1BA16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FBAE4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% of cognitive trajectory sample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1882C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Estimated baseline cognition z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6CDD6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Landmark cognition z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B23FC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Annual cognition slope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87246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age, years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52748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impairment at landmark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81E00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slope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05BB5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5-year deaths, n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E7750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5-year mortality, %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7C911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MHAS mortality, %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84228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CHARLS mortality, %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31A10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SHARE mortality, %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FED6D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KLoSA mortality, %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2428C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HRS mortality, %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713FE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ELSA mortality, %</w:t>
            </w:r>
          </w:p>
        </w:tc>
      </w:tr>
      <w:tr w14:paraId="20DDD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06EA2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1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C2435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DD919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Preserved high cognition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7C570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34200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9281A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55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E5F48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0.462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831F6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56D50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-0.059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4D0D0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69.05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F5D67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0.204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16550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0.016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A957C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3594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1C4EC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4DBDC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NA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832EF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10.7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9B06D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12.8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6D9E8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7.7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F691E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11.1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35D20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3.2</w:t>
            </w:r>
          </w:p>
        </w:tc>
      </w:tr>
      <w:tr w14:paraId="3CCE6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04D80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2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5E564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CCBC8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Apparent cognitive improvement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906EA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7128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D4981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11.5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AB8FB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-0.609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6071C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456D8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0.553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6D196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69.23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2F22A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0.326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4B119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0.002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6C648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924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2AA88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ACB36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NA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59D5E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11.5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01F72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17.5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0D380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13.9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0A6FF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12.1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7DA4B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4.9</w:t>
            </w:r>
          </w:p>
        </w:tc>
      </w:tr>
      <w:tr w14:paraId="5748B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FC2C6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3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E84E7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40BDE8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Persistently low cognition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A8A68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14322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35F73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23.1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7CB04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-0.972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1AC4F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-1.126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411DA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-0.077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3240D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73.8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75E23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0.659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89C91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0.058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57347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3565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15AEE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24.9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91730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NA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0D0F9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386A6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30.1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62727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20.1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5EA5F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22.7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AAE9B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12.2</w:t>
            </w:r>
          </w:p>
        </w:tc>
      </w:tr>
      <w:tr w14:paraId="27E5A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8B975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4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4293E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6B431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Low and declining cognition</w:t>
            </w:r>
          </w:p>
        </w:tc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79BEA5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6483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C0D58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10.4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22430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-0.237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C9543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-1.659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C2CE8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-0.711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4FF3A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73.78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281F1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1.082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B5408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0.183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AB855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2020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0E614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31.2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D29D2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NA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34C35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20.8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A1952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39.6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73C91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32.9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1103F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27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D442E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10.3</w:t>
            </w:r>
          </w:p>
        </w:tc>
      </w:tr>
    </w:tbl>
    <w:p w14:paraId="116C4C9B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41522E6F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3AEB96B7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500F4EED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5BF28119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386FE12C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55AED151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0EAEE3C1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416D480D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60EDAA41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1E66AEC1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59F1AE76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S8. Associations of functional and cognitive trajectory classes with 5-year mortality.</w:t>
      </w:r>
    </w:p>
    <w:p w14:paraId="3837AC0D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Odds ratios were estimated using logistic regression with Class 1 as the reference group within each trajectory domain.</w:t>
      </w:r>
    </w:p>
    <w:tbl>
      <w:tblPr>
        <w:tblStyle w:val="3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26"/>
        <w:gridCol w:w="978"/>
        <w:gridCol w:w="573"/>
        <w:gridCol w:w="614"/>
        <w:gridCol w:w="931"/>
        <w:gridCol w:w="867"/>
        <w:gridCol w:w="867"/>
        <w:gridCol w:w="1042"/>
        <w:gridCol w:w="1042"/>
        <w:gridCol w:w="843"/>
        <w:gridCol w:w="725"/>
        <w:gridCol w:w="1399"/>
        <w:gridCol w:w="1399"/>
        <w:gridCol w:w="843"/>
        <w:gridCol w:w="693"/>
      </w:tblGrid>
      <w:tr w14:paraId="09B17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4F859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Domain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EC502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2BB08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 label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7BF46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8163C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E7EE9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5-year mortality, %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B785E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Unadjusted OR (95% CI)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74668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Unadjusted P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53DFC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Demographic-adjusted OR (95% CI)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5C948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Demographic-adjusted P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206AE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Chronic-disease-adjusted OR (95% CI)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F5F3B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Chronic-disease-adjusted P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69040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Lifestyle/healthcare-adjusted OR (95% CI)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8590D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Lifestyle/healthcare-adjusted P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3705E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Mutual domain-adjusted OR (95% CI)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74AC1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Mutual domain-adjusted P</w:t>
            </w:r>
          </w:p>
        </w:tc>
      </w:tr>
      <w:tr w14:paraId="1BC9E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C9867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trajectory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E673B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1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AB5DB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1: stable low impairment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5A8B2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40866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682E0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4295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6F62A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10.5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80C68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0B284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8BC95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B9819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8FA28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846A8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2B46C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939A4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E73B4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F94D3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</w:tr>
      <w:tr w14:paraId="0E971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BA8F2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trajectory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8E5CC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2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0D070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2: mild gradual decline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190A8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10499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D543B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1940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2CF43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18.5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EF9C6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1.93 (1.82-2.05)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A1D2A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51D46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1.66 (1.56-1.77)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6DA1E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EF5DF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1.47 (1.38-1.56)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6E314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14D12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1.39 (1.29-1.50)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E0349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45C84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1.41 (1.32-1.51)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5AC67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</w:tr>
      <w:tr w14:paraId="5FD74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6939E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trajectory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C024D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3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73D72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3: moderate impairment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85C39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6970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FC995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2036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CFA19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29.2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6F14B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3.51 (3.31-3.73)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C9626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11510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2.71 (2.54-2.90)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9F151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2185F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2.19 (2.04-2.34)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7F4C4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69600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2.06 (1.91-2.23)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DB87C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64B20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2.02 (1.88-2.17)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BA880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</w:tr>
      <w:tr w14:paraId="2DC2E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92110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trajectory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4A250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4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019A6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4: rapid functional deterioration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39F8F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3749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7CD42F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1819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DDB4F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48.5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BC398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8.03 (7.47-8.62)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94ACB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0790A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5.51 (5.08-5.97)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7F0F9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4F3FD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4.15 (3.81-4.51)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42272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58694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3.82 (3.48-4.20)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C4E23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C861C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3.50 (3.21-3.82)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9FA94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</w:tr>
      <w:tr w14:paraId="3028E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5845E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Cognitive trajectory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AC227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1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13C53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1: preserved high cognition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F51D7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34185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F975D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3592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B5990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10.5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D027A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981CB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B0A37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B06CF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AF3F7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296A2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64C64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CEA4E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E9059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C9D6A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</w:p>
        </w:tc>
      </w:tr>
      <w:tr w14:paraId="19650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65B52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Cognitive trajectory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3CA3C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2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10FAC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2: apparent cognitive improvement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BA1FC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7120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62C6B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923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877E5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730BB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1.27 (1.17-1.37)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E01B9C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B41C69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1.31 (1.20-1.42)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04F37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550F4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1.28 (1.18-1.39)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F73A4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7CDC9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1.24 (1.13-1.37)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CDD51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4D3EF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1.19 (1.10-1.30)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A7860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</w:tr>
      <w:tr w14:paraId="23C46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04AC4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Cognitive trajectory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24B12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3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FA370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3: persistently low cognition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7ACCB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14308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D4F3B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3561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C7B8B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24.9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AC02A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2.82 (2.68-2.97)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EAE23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642B2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1.79 (1.69-1.89)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12002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E84F1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1.64 (1.55-1.73)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49279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DDFF0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1.61 (1.51-1.71)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8CA2F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9F2274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1.43 (1.35-1.51)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A2F3A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</w:tr>
      <w:tr w14:paraId="54D0C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31C38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Cognitive trajectory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2D8A2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4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D4E23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Class 4: low and declining cognition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4E775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6471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C79B6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2014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11FFD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31.1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B50E5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3.85 (3.61-4.10)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2F619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4B247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2.61 (2.43-2.79)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8EE9E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37D5A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2.38 (2.22-2.55)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89038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FDCE6B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2.31 (2.14-2.50)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2693F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9FEC47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1.91 (1.78-2.06)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D87EB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&lt;0.001</w:t>
            </w:r>
          </w:p>
        </w:tc>
      </w:tr>
    </w:tbl>
    <w:p w14:paraId="527C04BA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39B50C86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454C4254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292CAA6E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0281EE60">
      <w:pPr>
        <w:spacing w:before="0" w:after="0" w:line="360" w:lineRule="auto"/>
        <w:ind w:firstLine="420"/>
        <w:rPr>
          <w:rFonts w:ascii="Times New Roman" w:hAnsi="Times New Roman" w:eastAsia="Times New Roman"/>
          <w:b/>
          <w:color w:val="000000"/>
          <w:sz w:val="21"/>
        </w:rPr>
      </w:pPr>
    </w:p>
    <w:p w14:paraId="7F61CA6A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S9. Joint functional-cognitive phenotypes and mortality risk.</w:t>
      </w:r>
    </w:p>
    <w:p w14:paraId="276C1D94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Joint phenotypes were derived by combining functional and cognitive trajectory information into four clinically interpretable categories. Odds ratios use the dual stable phenotype as the reference group.</w:t>
      </w:r>
    </w:p>
    <w:tbl>
      <w:tblPr>
        <w:tblStyle w:val="3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188"/>
        <w:gridCol w:w="961"/>
        <w:gridCol w:w="1681"/>
        <w:gridCol w:w="2007"/>
        <w:gridCol w:w="2821"/>
        <w:gridCol w:w="3286"/>
      </w:tblGrid>
      <w:tr w14:paraId="69BD6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BA55B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Joint phenotype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089B5F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 (%)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8A677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Deaths, n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AE710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5-year mortality, %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85A0BA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Unadjusted OR (95% CI)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D9CD9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Chronic-disease-adjusted OR (95% CI)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67AD0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Lifestyle/healthcare-adjusted OR (95% CI)</w:t>
            </w:r>
          </w:p>
        </w:tc>
      </w:tr>
      <w:tr w14:paraId="7E701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62610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Dual stable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B941F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30,513 (49.1)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A8080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2,538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AEFEA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8.3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6718E8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4DE83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8BEED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1.00 (reference)</w:t>
            </w:r>
          </w:p>
        </w:tc>
      </w:tr>
      <w:tr w14:paraId="703F6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5B497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Functional decline dominant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5FD10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10,792 (17.4)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4CF99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1,977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BF6C2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18.3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402F85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2.47 (2.32-2.63)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E98DCD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1.82 (1.70-1.95)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657F9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1.74 (1.61-1.89)</w:t>
            </w:r>
          </w:p>
        </w:tc>
      </w:tr>
      <w:tr w14:paraId="5A8FE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680FB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Cognitive decline dominant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29C267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10,353 (16.7)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8F365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1,757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DDE75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17.0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B29CBE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2.25 (2.11-2.41)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BA8972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1.55 (1.45-1.67)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1CD823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1.57 (1.45-1.69)</w:t>
            </w:r>
          </w:p>
        </w:tc>
      </w:tr>
      <w:tr w14:paraId="126B5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5AA000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Dual deterioration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71574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10,426 (16.8)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3D1C11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3,818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BB53A4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36.6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0E293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6.37 (6.02-6.74)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EB059C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3.03 (2.83-3.24)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C62866">
            <w:pPr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2.84 (2.63-3.06)</w:t>
            </w:r>
          </w:p>
        </w:tc>
      </w:tr>
    </w:tbl>
    <w:p w14:paraId="0ECCEFD9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2F438B53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1D8D63C8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730BF833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6043E072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6A2D4313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315E7B19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7139A0E5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31A55753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1B00B13F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07F41971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4B850DCC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31BE28F3">
      <w:pPr>
        <w:spacing w:before="0" w:after="0" w:line="360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S10. Internal validation of candidate algorithms for the portable core model and the enriched prototype model.</w:t>
      </w:r>
    </w:p>
    <w:tbl>
      <w:tblPr>
        <w:tblStyle w:val="33"/>
        <w:tblpPr w:leftFromText="180" w:rightFromText="180" w:vertAnchor="text" w:horzAnchor="page" w:tblpX="1849" w:tblpY="918"/>
        <w:tblOverlap w:val="never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218"/>
        <w:gridCol w:w="795"/>
        <w:gridCol w:w="823"/>
        <w:gridCol w:w="985"/>
        <w:gridCol w:w="951"/>
        <w:gridCol w:w="695"/>
        <w:gridCol w:w="1255"/>
        <w:gridCol w:w="1255"/>
        <w:gridCol w:w="1195"/>
        <w:gridCol w:w="1189"/>
        <w:gridCol w:w="940"/>
        <w:gridCol w:w="1683"/>
      </w:tblGrid>
      <w:tr w14:paraId="26C96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DA765F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Feature set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226D86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Model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76A749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734108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Events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AE2F1D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AUROC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95B21B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AUPRC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48E085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Brier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984975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Calibration intercept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951CD7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Calibration slope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99F6B2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Sensitivity at 20%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681988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Specificity at 20%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B5EC15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 features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AD8074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Remarks</w:t>
            </w:r>
          </w:p>
        </w:tc>
      </w:tr>
      <w:tr w14:paraId="22885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8CB771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959D65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LightGBM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FFCCBF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21,561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9024D0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3,413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F8FFCC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0.832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B23709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0.537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0E20E5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0.099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C883F9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-0.051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AD307B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0.981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188BD9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68.3% deaths captured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070568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73.9% not flagged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6792D3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3666BC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Primary model used for all downstream analyses</w:t>
            </w:r>
          </w:p>
        </w:tc>
      </w:tr>
      <w:tr w14:paraId="6A090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EC0E03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60A180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LightGBM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93EBE9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21561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96CB62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3413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5FD4AF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0.911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56A125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0.692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1213CC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0.078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CDFCB9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-0.038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9BCAC0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0.967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7BBB07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0.838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DCFC8E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0.820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1813E1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F8068A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Secondary exploratory specification</w:t>
            </w:r>
          </w:p>
        </w:tc>
      </w:tr>
      <w:tr w14:paraId="7B69A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DBAF35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8EC74B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XGBoost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B3F21A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21561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D4BA88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3413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8176C1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0.910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A8A78B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0.688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81F38C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0.078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996064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-0.043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63873A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0.960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B27C9C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0.838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8BE1F0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0.815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A41BD7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4C82BC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Secondary exploratory specification</w:t>
            </w:r>
          </w:p>
        </w:tc>
      </w:tr>
      <w:tr w14:paraId="1AB76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A26517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E60F4C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Random forest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E07B7B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21561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BC50F3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3413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F2FF31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0.868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7B3786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0.571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439793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0.094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FF1A19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-0.066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62B12D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0.953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0C0198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0.804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EA0593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0.762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0880A8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2306D2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Secondary exploratory specification</w:t>
            </w:r>
          </w:p>
        </w:tc>
      </w:tr>
      <w:tr w14:paraId="414C4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814EE6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28E9B0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Logistic regression</w:t>
            </w: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3055A6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21561</w:t>
            </w:r>
          </w:p>
        </w:tc>
        <w:tc>
          <w:tcPr>
            <w:tcW w:w="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34C3F9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3413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F9C93A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0.819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4A2458B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0.508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5ACBD2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0.102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02AB83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-0.102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FC7D41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0.932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EF72AC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0.691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57AF93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0.796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6C35D7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08DECE">
            <w:pPr>
              <w:keepNext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Secondary exploratory specification</w:t>
            </w:r>
          </w:p>
        </w:tc>
      </w:tr>
    </w:tbl>
    <w:p w14:paraId="61A74BBA">
      <w:pPr>
        <w:spacing w:before="0" w:after="0" w:line="360" w:lineRule="auto"/>
        <w:ind w:firstLine="420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Internal validation used the same 60/20/20 split described in the main text. The portable core model is the primary model; the enriched prototype is shown to document the trade-off between stronger internal discrimination and weaker external transportability.</w:t>
      </w:r>
    </w:p>
    <w:p w14:paraId="75BF4994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4F1AB0D7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637C9284">
      <w:pPr>
        <w:spacing w:before="0" w:after="0" w:line="360" w:lineRule="auto"/>
        <w:ind w:firstLine="0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6B1AAB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textAlignment w:val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S11. Leave-one-cohort-out external validation, calibration, and decision-curve analysis for the portable core model and the enriched prototype model.</w:t>
      </w:r>
    </w:p>
    <w:tbl>
      <w:tblPr>
        <w:tblStyle w:val="33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532"/>
        <w:gridCol w:w="1166"/>
        <w:gridCol w:w="1129"/>
        <w:gridCol w:w="1410"/>
        <w:gridCol w:w="511"/>
        <w:gridCol w:w="724"/>
        <w:gridCol w:w="1129"/>
        <w:gridCol w:w="1419"/>
        <w:gridCol w:w="1240"/>
        <w:gridCol w:w="1129"/>
        <w:gridCol w:w="1550"/>
      </w:tblGrid>
      <w:tr w14:paraId="4E3F1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FB1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Held-out cohort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6E6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78B1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1CA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Events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948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Event rate, %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970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predicted risk, 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55B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AUROC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A90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AUPRC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880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Brier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DEE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Calibration slope</w:t>
            </w:r>
          </w:p>
        </w:tc>
      </w:tr>
      <w:tr w14:paraId="54AD9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21B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CHARLS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745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1CF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557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1732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FF4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16.1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B6A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15.1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493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0.792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45E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0.497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357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0.107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B7E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0.891</w:t>
            </w:r>
          </w:p>
        </w:tc>
      </w:tr>
      <w:tr w14:paraId="40515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19E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CHARLS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B06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464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10760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63D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1732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5F04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16.1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66D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DEE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0.745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876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0.399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A62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0.136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1AA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0.307</w:t>
            </w:r>
          </w:p>
        </w:tc>
      </w:tr>
      <w:tr w14:paraId="26589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689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ELSA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8FC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D49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8B4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441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A3B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4.9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E42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BCA6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0.863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005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0.368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1AA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0.048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2EE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1.219</w:t>
            </w:r>
          </w:p>
        </w:tc>
      </w:tr>
      <w:tr w14:paraId="32759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ED7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ELSA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712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999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9022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E54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441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EF1B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4.9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32B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10.3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928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0.894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715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0.383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705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0.046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DA4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0.886</w:t>
            </w:r>
          </w:p>
        </w:tc>
      </w:tr>
      <w:tr w14:paraId="3206B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9A0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HRS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0BA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7CF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0F2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3752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79E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16.2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B3B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6D07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0.839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494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0.548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9A4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0E4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1.020</w:t>
            </w:r>
          </w:p>
        </w:tc>
      </w:tr>
      <w:tr w14:paraId="5CAFE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42D9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HRS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E03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9DA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23100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DAF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3752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2A6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16.2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724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9.2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7A5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0.867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5DE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0.598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397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0.102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8AF3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0.852</w:t>
            </w:r>
          </w:p>
        </w:tc>
      </w:tr>
      <w:tr w14:paraId="6F064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D4B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KLoSA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0F0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09E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7FE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762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90E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12.8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0AC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19.1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954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0.831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DB4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0.487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04D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0.092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543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0.888</w:t>
            </w:r>
          </w:p>
        </w:tc>
      </w:tr>
      <w:tr w14:paraId="09293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E0E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KLoSA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5A7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ED7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5972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B91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762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DDD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12.8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D17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34.2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DF0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0.824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5A6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0.472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C58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0.141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7C1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1.116</w:t>
            </w:r>
          </w:p>
        </w:tc>
      </w:tr>
      <w:tr w14:paraId="7D731D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577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MHAS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90D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57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0AA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1617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CE0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12.8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623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15.9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4AA3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0.835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D3D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0.431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877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0.093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B7F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0.869</w:t>
            </w:r>
          </w:p>
        </w:tc>
      </w:tr>
      <w:tr w14:paraId="1A4F1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5F2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MHAS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705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E6D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12632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3B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1617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D666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12.8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5B4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87.5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729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0.763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073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0.327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C1E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0.662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AB3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0.234</w:t>
            </w:r>
          </w:p>
        </w:tc>
      </w:tr>
      <w:tr w14:paraId="34A45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4880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SHARE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DA8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908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46319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58F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8760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D48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18.9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F6D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13.6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A72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0.809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3CF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0.533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A86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0.122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7FC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0.927</w:t>
            </w:r>
          </w:p>
        </w:tc>
      </w:tr>
      <w:tr w14:paraId="36F6E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8D9B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SHARE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2E4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683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46319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05C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8760</w:t>
            </w:r>
          </w:p>
        </w:tc>
        <w:tc>
          <w:tcPr>
            <w:tcW w:w="6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E19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18.9</w:t>
            </w:r>
          </w:p>
        </w:tc>
        <w:tc>
          <w:tcPr>
            <w:tcW w:w="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4C1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18.9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8DF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0.790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3FA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0.506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BCB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0.122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52B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0.809</w:t>
            </w:r>
          </w:p>
        </w:tc>
      </w:tr>
      <w:tr w14:paraId="496D5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D86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Held-out cohort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E24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2CA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 at 10%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465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Flagged at 10%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703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 captured at 10%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D72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 at 20%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F24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Flagged at 20%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07B5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 captured at 20%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96A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 at 30%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994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Flagged at 30%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C9B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 captured at 30%</w:t>
            </w:r>
          </w:p>
        </w:tc>
      </w:tr>
      <w:tr w14:paraId="7E2FC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B2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CHARLS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BD8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9AA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0.092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0DB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39.7%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ED9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76.1%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9F2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0.061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8D2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25.8%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807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62.4%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880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0.041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D3C0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12.9%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7FA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41.6%</w:t>
            </w:r>
          </w:p>
        </w:tc>
      </w:tr>
      <w:tr w14:paraId="3D0B5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1E3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CHARLS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ECC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CA2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0.039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E65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12.3%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39A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29.3%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65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0.027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41B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9.7%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0EF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25.5%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35F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0.018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DCD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7.2%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E3C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21.2%</w:t>
            </w:r>
          </w:p>
        </w:tc>
      </w:tr>
      <w:tr w14:paraId="412E2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438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ELSA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330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9DB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EC7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37.2%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4A2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87.8%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0BEF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-0.007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70F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21.4%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CE0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76.2%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3BA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-0.006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DA9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10.9%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BB8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58.5%</w:t>
            </w:r>
          </w:p>
        </w:tc>
      </w:tr>
      <w:tr w14:paraId="29A18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5FA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ELSA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C77D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D5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0.018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5BD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24.7%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311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84.4%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166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0.006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6E6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14.8%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6DA3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71.0%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19B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-0.006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913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11.9%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FB2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64.4%</w:t>
            </w:r>
          </w:p>
        </w:tc>
      </w:tr>
      <w:tr w14:paraId="667A1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906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HRS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853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7441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B5E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36.6%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275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79.1%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802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0.073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698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22.2%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2415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63.4%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828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0.052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55C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12.4%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0C22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45.3%</w:t>
            </w:r>
          </w:p>
        </w:tc>
      </w:tr>
      <w:tr w14:paraId="32D9A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4B4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HRS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FCD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DDB2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0.097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960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21.9%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016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67.5%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947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0.074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A62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14.8%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4AA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54.5%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9A3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0.053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6BC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9.4%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E2C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40.5%</w:t>
            </w:r>
          </w:p>
        </w:tc>
      </w:tr>
      <w:tr w14:paraId="68D8A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1AE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KLoSA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798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E80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0.068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8BBE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53.7%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9E6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89.9%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B92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0.043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DCD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32.2%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480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77.6%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600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0.030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27F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18.4%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CEC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59.7%</w:t>
            </w:r>
          </w:p>
        </w:tc>
      </w:tr>
      <w:tr w14:paraId="39EE1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CF1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KLoSA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560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9BA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0.038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47B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92.7%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FC7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99.2%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00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-0.017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FBA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66.3%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CD0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93.2%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A34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-0.033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797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43.7%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ABA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84.6%</w:t>
            </w:r>
          </w:p>
        </w:tc>
      </w:tr>
      <w:tr w14:paraId="59832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FEE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MHAS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040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60B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0.079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4E7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43.3%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3AC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89.4%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522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0.044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710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26.2%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449C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68.3%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FEF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0.022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B6C9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15.5%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FB3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48.5%</w:t>
            </w:r>
          </w:p>
        </w:tc>
      </w:tr>
      <w:tr w14:paraId="2E918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BDB2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MHAS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6B2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C9B3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0.031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E0DA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886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C92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-0.090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E8E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03D7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105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-0.246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B83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FE7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100.0%</w:t>
            </w:r>
          </w:p>
        </w:tc>
      </w:tr>
      <w:tr w14:paraId="432A0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564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SHARE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47A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B2B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0.118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F5F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40.4%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77F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77.6%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FC4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0.080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9F1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22.3%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0C9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57.5%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4567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0.055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7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12.9%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859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40.8%</w:t>
            </w:r>
          </w:p>
        </w:tc>
      </w:tr>
      <w:tr w14:paraId="1374C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1D64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SHARE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AAAC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EBC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0.118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516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53.2%</w:t>
            </w:r>
          </w:p>
        </w:tc>
        <w:tc>
          <w:tcPr>
            <w:tcW w:w="4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851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84.0%</w:t>
            </w:r>
          </w:p>
        </w:tc>
        <w:tc>
          <w:tcPr>
            <w:tcW w:w="4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371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0.081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8F8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26.4%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AEA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62.1%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2A29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0.057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3B89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20.6%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5AB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firstLine="0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53.9%</w:t>
            </w:r>
          </w:p>
        </w:tc>
      </w:tr>
    </w:tbl>
    <w:p w14:paraId="595591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420"/>
        <w:textAlignment w:val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Each row represents one held-out cohort. Positive net benefit indicates clinical utility relative to a treat-none strategy at the given threshold. This table also documents the marked instability of the enriched prototype in some external settings, especially MHAS.</w:t>
      </w:r>
    </w:p>
    <w:p w14:paraId="51891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0"/>
        <w:textAlignment w:val="auto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3FCC99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0"/>
        <w:textAlignment w:val="auto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18255A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0"/>
        <w:textAlignment w:val="auto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6A5340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0"/>
        <w:textAlignment w:val="auto"/>
        <w:rPr>
          <w:rFonts w:ascii="Times New Roman" w:hAnsi="Times New Roman" w:eastAsia="Times New Roman"/>
          <w:b w:val="0"/>
          <w:i w:val="0"/>
          <w:color w:val="000000"/>
          <w:sz w:val="21"/>
        </w:rPr>
      </w:pPr>
    </w:p>
    <w:p w14:paraId="581B2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0"/>
        <w:textAlignment w:val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Supplementary Table S12. Trajectory-model increment, portable-core risk stratification, threshold yield, and enriched-prototype sensitivity summary.</w:t>
      </w:r>
    </w:p>
    <w:tbl>
      <w:tblPr>
        <w:tblStyle w:val="33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2008"/>
        <w:gridCol w:w="846"/>
        <w:gridCol w:w="789"/>
        <w:gridCol w:w="1367"/>
        <w:gridCol w:w="947"/>
        <w:gridCol w:w="1208"/>
        <w:gridCol w:w="999"/>
        <w:gridCol w:w="1427"/>
        <w:gridCol w:w="999"/>
        <w:gridCol w:w="2119"/>
      </w:tblGrid>
      <w:tr w14:paraId="7EB83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C2F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Analysis domain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23C8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Comparison / subgroup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377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7DB1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Events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BD4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Metric 1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837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Value 1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2A5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Metric 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BBC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Value 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D1D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Metric 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5D5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Value 3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11E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</w:rPr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Interpretation</w:t>
            </w:r>
          </w:p>
        </w:tc>
      </w:tr>
      <w:tr w14:paraId="1AD58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686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 increment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BB58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Baseline vs trajectory-enhanced model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759F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DDA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F1A4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AUROC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606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0.800 vs 0.803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363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AUPRC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6D2B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0.535 vs 0.539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249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Brier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BB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0.1151 vs 0.1146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2A6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Modest global gain</w:t>
            </w:r>
          </w:p>
        </w:tc>
      </w:tr>
      <w:tr w14:paraId="502F6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11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 increment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7A5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Reclassification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13BE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4576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311B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Categorical NRI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D7EE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0.047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D71D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Event NRI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B039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-0.053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C0C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Non-event NRI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7C7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605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Gain driven mainly by non-events</w:t>
            </w:r>
          </w:p>
        </w:tc>
      </w:tr>
      <w:tr w14:paraId="465E5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9E9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Trajectory increment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83B7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Integrated discrimination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1FC7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37F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FCE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IDI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E7D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-0.0012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9D73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 at 10%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30B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0.1128 vs 0.1131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1FD1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 at 20%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B32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0.0783 vs 0.0787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AD5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No material clinical separation</w:t>
            </w:r>
          </w:p>
        </w:tc>
      </w:tr>
      <w:tr w14:paraId="06FE7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BC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risk strata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5F1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&lt;5%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2A5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6856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FE15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192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91B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Observed mortality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407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2.8%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399A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predicted risk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AFA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2.5%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A64F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B4E4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31.8%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6E72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Monotonic internal risk gradient</w:t>
            </w:r>
          </w:p>
        </w:tc>
      </w:tr>
      <w:tr w14:paraId="5588A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085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risk strata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61D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5-&lt;10%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920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4830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5C15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292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324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Observed mortality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829A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6.0%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8254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predicted risk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7AD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6.7%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1FD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1C8F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22.4%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DB7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Monotonic internal risk gradient</w:t>
            </w:r>
          </w:p>
        </w:tc>
      </w:tr>
      <w:tr w14:paraId="3A585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D36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risk strata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791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10-&lt;20%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C78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4254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3E98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598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D14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Observed mortality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1BA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14.1%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353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predicted risk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F3B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14.4%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A04F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F6F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19.7%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E580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Monotonic internal risk gradient</w:t>
            </w:r>
          </w:p>
        </w:tc>
      </w:tr>
      <w:tr w14:paraId="5B8C5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5589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risk strata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9A6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20-&lt;30%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61EE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2194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E6C1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535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46E7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Observed mortality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708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24.4%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0B8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predicted risk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894B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24.7%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C83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98D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10.2%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3DE5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Monotonic internal risk gradient</w:t>
            </w:r>
          </w:p>
        </w:tc>
      </w:tr>
      <w:tr w14:paraId="5C94E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055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risk strata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E093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≥30%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9446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3427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B556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1796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2D8D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Observed mortality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30F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52.4%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1DB1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predicted risk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383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53.2%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91E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2ED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15.9%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3678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Monotonic internal risk gradient</w:t>
            </w:r>
          </w:p>
        </w:tc>
      </w:tr>
      <w:tr w14:paraId="68C27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6023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threshold yield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6C31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Threshold 5%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0C2D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14705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2FE0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3221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E0A8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 flagged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630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68.2%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677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 captured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0966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94.4%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F71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13D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0.121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4A24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Operational trade-off across cut points</w:t>
            </w:r>
          </w:p>
        </w:tc>
      </w:tr>
      <w:tr w14:paraId="1ACFF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61A0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threshold yield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1234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Threshold 10%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E4E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9875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F40A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2929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9DB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 flagged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C1CF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45.8%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7644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 captured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225C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85.8%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357D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C31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0.100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92D8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Operational trade-off across cut points</w:t>
            </w:r>
          </w:p>
        </w:tc>
      </w:tr>
      <w:tr w14:paraId="6DD6D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5051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threshold yield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A512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Threshold 20%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3C42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5621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C5C7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2331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7549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 flagged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9F09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26.1%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C30C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 captured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802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68.3%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1C29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A47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0.070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777B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Operational trade-off across cut points</w:t>
            </w:r>
          </w:p>
        </w:tc>
      </w:tr>
      <w:tr w14:paraId="536F5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919F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threshold yield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2AD2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Threshold 30%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A92D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3427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D2A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1796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627D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Participants flagged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A413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15.9%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A44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Deaths captured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D851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52.6%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15665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Net benefit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6E83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0.051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740D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Operational trade-off across cut points</w:t>
            </w:r>
          </w:p>
        </w:tc>
      </w:tr>
      <w:tr w14:paraId="626D1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F717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External sensitivity summary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800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Portable core model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C8AA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107805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FD23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17064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D7C5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AUROC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0C54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0.828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5374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Brier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DC1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0.094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DBAB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calibration slope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FC06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0.969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E27B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External stability</w:t>
            </w:r>
          </w:p>
        </w:tc>
      </w:tr>
      <w:tr w14:paraId="74F3A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51B9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External sensitivity summary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004D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Enriched prototype model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07A5C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107805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758F4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17064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AF42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AUROC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6CFC5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0.814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3F9B4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Brier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4A87D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0.202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B214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Mean calibration slope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2232F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right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0.701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insideV w:val="single" w:sz="4" w:space="0"/>
            </w:tcBorders>
            <w:vAlign w:val="center"/>
          </w:tcPr>
          <w:p w14:paraId="5C8C3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Higher apparent fit but weaker transportability</w:t>
            </w:r>
          </w:p>
        </w:tc>
      </w:tr>
    </w:tbl>
    <w:p w14:paraId="43920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360" w:lineRule="auto"/>
        <w:ind w:firstLine="420"/>
        <w:textAlignment w:val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This consolidated table combines the key downstream analyses used in the Results section. Risk categories are unified as &lt;5%, 5-&lt;10%, 10-&lt;20%, 20-&lt;30%, and ≥30% throughout the manuscript.</w:t>
      </w:r>
    </w:p>
    <w:p w14:paraId="2C0E3A22">
      <w:pPr>
        <w:spacing w:before="0" w:after="0" w:line="360" w:lineRule="auto"/>
      </w:pPr>
    </w:p>
    <w:sectPr>
      <w:pgSz w:w="16834" w:h="11909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516345"/>
    <w:rsid w:val="4C286E40"/>
    <w:rsid w:val="7620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Times New Roman" w:hAnsi="Times New Roman" w:eastAsia="Times New Roman"/>
      <w:b/>
      <w:bCs/>
      <w:sz w:val="21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  <w:rPr>
      <w:rFonts w:ascii="Times New Roman" w:hAnsi="Times New Roman" w:eastAsia="Times New Roman"/>
      <w:sz w:val="21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rPr>
      <w:rFonts w:ascii="Times New Roman" w:hAnsi="Times New Roman" w:eastAsia="Times New Roman"/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879</Words>
  <Characters>5785</Characters>
  <Lines>0</Lines>
  <Paragraphs>0</Paragraphs>
  <TotalTime>24</TotalTime>
  <ScaleCrop>false</ScaleCrop>
  <LinksUpToDate>false</LinksUpToDate>
  <CharactersWithSpaces>6406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灬特种兵灬</cp:lastModifiedBy>
  <dcterms:modified xsi:type="dcterms:W3CDTF">2026-06-20T14:04:21Z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eyJoZGlkIjoiMmE5MWUxNGI5MDUzZGM4N2ZmZjdiNDFkMTc0YmE0MjgiLCJ1c2VySWQiOiI1NjA5Mzc1MTkifQ==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212A214FEC2745F6A4B20E0D79600627_13</vt:lpwstr>
  </property>
</Properties>
</file>