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4662C" w14:textId="0E9FD8EA" w:rsidR="00B77A11" w:rsidRPr="009239F8" w:rsidRDefault="009E55A6" w:rsidP="009A5B48">
      <w:pPr>
        <w:pStyle w:val="Heading1"/>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 xml:space="preserve">Supplementary </w:t>
      </w:r>
    </w:p>
    <w:p w14:paraId="43FD1443" w14:textId="6B105512" w:rsidR="00B77A11" w:rsidRPr="009239F8" w:rsidRDefault="00B77A11"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S1: Pipeline verification</w:t>
      </w:r>
      <w:r w:rsidR="00552A10" w:rsidRPr="009239F8">
        <w:rPr>
          <w:rFonts w:ascii="Times New Roman" w:hAnsi="Times New Roman" w:cs="Times New Roman"/>
          <w:color w:val="auto"/>
          <w:lang w:val="en-US"/>
        </w:rPr>
        <w:t xml:space="preserve"> results</w:t>
      </w:r>
    </w:p>
    <w:p w14:paraId="7BFA924C" w14:textId="51EDC2F8" w:rsidR="00B77A11" w:rsidRPr="009239F8" w:rsidRDefault="00B77A11"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 xml:space="preserve">A systematic bias was observed between apparent </w:t>
      </w:r>
      <m:oMath>
        <m:r>
          <w:rPr>
            <w:rFonts w:ascii="Cambria Math" w:hAnsi="Cambria Math" w:cs="Times New Roman"/>
            <w:lang w:val="en-US"/>
          </w:rPr>
          <m:t>C</m:t>
        </m:r>
        <m:sSub>
          <m:sSubPr>
            <m:ctrlPr>
              <w:rPr>
                <w:rFonts w:ascii="Cambria Math" w:hAnsi="Cambria Math" w:cs="Times New Roman"/>
                <w:lang w:val="en-US"/>
              </w:rPr>
            </m:ctrlPr>
          </m:sSubPr>
          <m:e>
            <m:r>
              <w:rPr>
                <w:rFonts w:ascii="Cambria Math" w:hAnsi="Cambria Math" w:cs="Times New Roman"/>
                <w:lang w:val="en-US"/>
              </w:rPr>
              <m:t>V</m:t>
            </m:r>
          </m:e>
          <m:sub>
            <m:r>
              <w:rPr>
                <w:rFonts w:ascii="Cambria Math" w:hAnsi="Cambria Math" w:cs="Times New Roman"/>
                <w:lang w:val="en-US"/>
              </w:rPr>
              <m:t>input</m:t>
            </m:r>
          </m:sub>
        </m:sSub>
      </m:oMath>
      <w:r w:rsidRPr="009239F8">
        <w:rPr>
          <w:rFonts w:ascii="Times New Roman" w:hAnsi="Times New Roman" w:cs="Times New Roman"/>
          <w:lang w:val="en-US"/>
        </w:rPr>
        <w:t xml:space="preserve"> and </w:t>
      </w:r>
      <m:oMath>
        <m:r>
          <w:rPr>
            <w:rFonts w:ascii="Cambria Math" w:hAnsi="Cambria Math" w:cs="Times New Roman"/>
            <w:lang w:val="en-US"/>
          </w:rPr>
          <m:t>C</m:t>
        </m:r>
        <m:sSub>
          <m:sSubPr>
            <m:ctrlPr>
              <w:rPr>
                <w:rFonts w:ascii="Cambria Math" w:hAnsi="Cambria Math" w:cs="Times New Roman"/>
                <w:lang w:val="en-US"/>
              </w:rPr>
            </m:ctrlPr>
          </m:sSubPr>
          <m:e>
            <m:r>
              <w:rPr>
                <w:rFonts w:ascii="Cambria Math" w:hAnsi="Cambria Math" w:cs="Times New Roman"/>
                <w:lang w:val="en-US"/>
              </w:rPr>
              <m:t>V</m:t>
            </m:r>
          </m:e>
          <m:sub>
            <m:r>
              <w:rPr>
                <w:rFonts w:ascii="Cambria Math" w:hAnsi="Cambria Math" w:cs="Times New Roman"/>
                <w:lang w:val="en-US"/>
              </w:rPr>
              <m:t>GT</m:t>
            </m:r>
          </m:sub>
        </m:sSub>
      </m:oMath>
      <w:r w:rsidRPr="009239F8">
        <w:rPr>
          <w:rFonts w:ascii="Times New Roman" w:hAnsi="Times New Roman" w:cs="Times New Roman"/>
          <w:lang w:val="en-US"/>
        </w:rPr>
        <w:t xml:space="preserve"> prior to any simulation, inherent to the ECGI-derived CV estimation, dependent on the activation sequence used (Durrer-based: CV-RE: −29.23 ± 2.</w:t>
      </w:r>
      <w:r w:rsidR="00945690" w:rsidRPr="009239F8">
        <w:rPr>
          <w:rFonts w:ascii="Times New Roman" w:hAnsi="Times New Roman" w:cs="Times New Roman"/>
          <w:lang w:val="en-US"/>
        </w:rPr>
        <w:t>29</w:t>
      </w:r>
      <w:r w:rsidRPr="009239F8">
        <w:rPr>
          <w:rFonts w:ascii="Times New Roman" w:hAnsi="Times New Roman" w:cs="Times New Roman"/>
          <w:lang w:val="en-US"/>
        </w:rPr>
        <w:t>%; Purkinje-based: CV-RE: 10.09 ± 1.</w:t>
      </w:r>
      <w:r w:rsidR="009135A5" w:rsidRPr="009239F8">
        <w:rPr>
          <w:rFonts w:ascii="Times New Roman" w:hAnsi="Times New Roman" w:cs="Times New Roman"/>
          <w:lang w:val="en-US"/>
        </w:rPr>
        <w:t>70</w:t>
      </w:r>
      <w:r w:rsidRPr="009239F8">
        <w:rPr>
          <w:rFonts w:ascii="Times New Roman" w:hAnsi="Times New Roman" w:cs="Times New Roman"/>
          <w:lang w:val="en-US"/>
        </w:rPr>
        <w:t xml:space="preserve">%). Given this input-level discrepancy, </w:t>
      </w:r>
      <m:oMath>
        <m:r>
          <w:rPr>
            <w:rFonts w:ascii="Cambria Math" w:hAnsi="Cambria Math" w:cs="Times New Roman"/>
            <w:lang w:val="en-US"/>
          </w:rPr>
          <m:t>C</m:t>
        </m:r>
        <m:sSub>
          <m:sSubPr>
            <m:ctrlPr>
              <w:rPr>
                <w:rFonts w:ascii="Cambria Math" w:hAnsi="Cambria Math" w:cs="Times New Roman"/>
                <w:lang w:val="en-US"/>
              </w:rPr>
            </m:ctrlPr>
          </m:sSubPr>
          <m:e>
            <m:r>
              <w:rPr>
                <w:rFonts w:ascii="Cambria Math" w:hAnsi="Cambria Math" w:cs="Times New Roman"/>
                <w:lang w:val="en-US"/>
              </w:rPr>
              <m:t>V</m:t>
            </m:r>
          </m:e>
          <m:sub>
            <m:r>
              <w:rPr>
                <w:rFonts w:ascii="Cambria Math" w:hAnsi="Cambria Math" w:cs="Times New Roman"/>
                <w:lang w:val="en-US"/>
              </w:rPr>
              <m:t>in silico</m:t>
            </m:r>
          </m:sub>
        </m:sSub>
      </m:oMath>
      <w:r w:rsidRPr="009239F8">
        <w:rPr>
          <w:rFonts w:ascii="Times New Roman" w:hAnsi="Times New Roman" w:cs="Times New Roman"/>
          <w:lang w:val="en-US"/>
        </w:rPr>
        <w:t xml:space="preserve"> was compared directly against </w:t>
      </w:r>
      <m:oMath>
        <m:r>
          <w:rPr>
            <w:rFonts w:ascii="Cambria Math" w:hAnsi="Cambria Math" w:cs="Times New Roman"/>
            <w:lang w:val="en-US"/>
          </w:rPr>
          <m:t>C</m:t>
        </m:r>
        <m:sSub>
          <m:sSubPr>
            <m:ctrlPr>
              <w:rPr>
                <w:rFonts w:ascii="Cambria Math" w:hAnsi="Cambria Math" w:cs="Times New Roman"/>
                <w:lang w:val="en-US"/>
              </w:rPr>
            </m:ctrlPr>
          </m:sSubPr>
          <m:e>
            <m:r>
              <w:rPr>
                <w:rFonts w:ascii="Cambria Math" w:hAnsi="Cambria Math" w:cs="Times New Roman"/>
                <w:lang w:val="en-US"/>
              </w:rPr>
              <m:t>V</m:t>
            </m:r>
          </m:e>
          <m:sub>
            <m:r>
              <w:rPr>
                <w:rFonts w:ascii="Cambria Math" w:hAnsi="Cambria Math" w:cs="Times New Roman"/>
                <w:lang w:val="en-US"/>
              </w:rPr>
              <m:t>GT</m:t>
            </m:r>
          </m:sub>
        </m:sSub>
      </m:oMath>
      <w:r w:rsidRPr="009239F8">
        <w:rPr>
          <w:rFonts w:ascii="Times New Roman" w:hAnsi="Times New Roman" w:cs="Times New Roman"/>
          <w:lang w:val="en-US"/>
        </w:rPr>
        <w:t xml:space="preserve"> rather than </w:t>
      </w:r>
      <m:oMath>
        <m:r>
          <w:rPr>
            <w:rFonts w:ascii="Cambria Math" w:hAnsi="Cambria Math" w:cs="Times New Roman"/>
            <w:lang w:val="en-US"/>
          </w:rPr>
          <m:t>C</m:t>
        </m:r>
        <m:sSub>
          <m:sSubPr>
            <m:ctrlPr>
              <w:rPr>
                <w:rFonts w:ascii="Cambria Math" w:hAnsi="Cambria Math" w:cs="Times New Roman"/>
                <w:lang w:val="en-US"/>
              </w:rPr>
            </m:ctrlPr>
          </m:sSubPr>
          <m:e>
            <m:r>
              <w:rPr>
                <w:rFonts w:ascii="Cambria Math" w:hAnsi="Cambria Math" w:cs="Times New Roman"/>
                <w:lang w:val="en-US"/>
              </w:rPr>
              <m:t>V</m:t>
            </m:r>
          </m:e>
          <m:sub>
            <m:r>
              <w:rPr>
                <w:rFonts w:ascii="Cambria Math" w:hAnsi="Cambria Math" w:cs="Times New Roman"/>
                <w:lang w:val="en-US"/>
              </w:rPr>
              <m:t>input</m:t>
            </m:r>
          </m:sub>
        </m:sSub>
      </m:oMath>
      <w:r w:rsidRPr="009239F8">
        <w:rPr>
          <w:rFonts w:ascii="Times New Roman" w:hAnsi="Times New Roman" w:cs="Times New Roman"/>
          <w:lang w:val="en-US"/>
        </w:rPr>
        <w:t xml:space="preserve"> to avoid compounding the initial bias, with both activation sequences reporting persistent biases (Purkinje-based: CV-RE: </w:t>
      </w:r>
      <w:r w:rsidR="00884C7C" w:rsidRPr="009239F8">
        <w:rPr>
          <w:rFonts w:ascii="Times New Roman" w:hAnsi="Times New Roman" w:cs="Times New Roman"/>
          <w:lang w:val="en-US"/>
        </w:rPr>
        <w:t>-</w:t>
      </w:r>
      <w:r w:rsidR="00C363C4" w:rsidRPr="009239F8">
        <w:rPr>
          <w:rFonts w:ascii="Times New Roman" w:hAnsi="Times New Roman" w:cs="Times New Roman"/>
          <w:lang w:val="en-US"/>
        </w:rPr>
        <w:t>8.50</w:t>
      </w:r>
      <w:r w:rsidRPr="009239F8">
        <w:rPr>
          <w:rFonts w:ascii="Times New Roman" w:hAnsi="Times New Roman" w:cs="Times New Roman"/>
          <w:lang w:val="en-US"/>
        </w:rPr>
        <w:t xml:space="preserve"> ± </w:t>
      </w:r>
      <w:r w:rsidR="00812A37" w:rsidRPr="009239F8">
        <w:rPr>
          <w:rFonts w:ascii="Times New Roman" w:hAnsi="Times New Roman" w:cs="Times New Roman"/>
          <w:lang w:val="en-US"/>
        </w:rPr>
        <w:t>3.78</w:t>
      </w:r>
      <w:r w:rsidRPr="009239F8">
        <w:rPr>
          <w:rFonts w:ascii="Times New Roman" w:hAnsi="Times New Roman" w:cs="Times New Roman"/>
          <w:lang w:val="en-US"/>
        </w:rPr>
        <w:t>%; Durrer-based: CV-RE: −32.08 ± 1.25%).</w:t>
      </w:r>
    </w:p>
    <w:p w14:paraId="58D4AE44" w14:textId="77777777" w:rsidR="00A47B63" w:rsidRPr="009239F8" w:rsidRDefault="00A47B63" w:rsidP="009A5B48">
      <w:pPr>
        <w:keepNext/>
        <w:spacing w:line="480" w:lineRule="auto"/>
        <w:jc w:val="both"/>
        <w:rPr>
          <w:rFonts w:ascii="Times New Roman" w:hAnsi="Times New Roman" w:cs="Times New Roman"/>
          <w:lang w:val="en-US"/>
        </w:rPr>
      </w:pPr>
      <w:r w:rsidRPr="009239F8">
        <w:rPr>
          <w:rFonts w:ascii="Times New Roman" w:hAnsi="Times New Roman" w:cs="Times New Roman"/>
          <w:noProof/>
          <w:lang w:val="en-US"/>
        </w:rPr>
        <w:lastRenderedPageBreak/>
        <w:drawing>
          <wp:inline distT="0" distB="0" distL="0" distR="0" wp14:anchorId="476D5596" wp14:editId="60B10F23">
            <wp:extent cx="5729894" cy="4755514"/>
            <wp:effectExtent l="0" t="0" r="0" b="7620"/>
            <wp:docPr id="3810573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57382"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29894" cy="4755514"/>
                    </a:xfrm>
                    <a:prstGeom prst="rect">
                      <a:avLst/>
                    </a:prstGeom>
                    <a:noFill/>
                    <a:ln>
                      <a:noFill/>
                    </a:ln>
                  </pic:spPr>
                </pic:pic>
              </a:graphicData>
            </a:graphic>
          </wp:inline>
        </w:drawing>
      </w:r>
    </w:p>
    <w:p w14:paraId="01508C7B" w14:textId="14D23089" w:rsidR="00AB6D63" w:rsidRPr="009239F8" w:rsidRDefault="00A47B63" w:rsidP="009A5B48">
      <w:pPr>
        <w:pStyle w:val="Caption"/>
        <w:spacing w:line="480" w:lineRule="auto"/>
        <w:jc w:val="both"/>
        <w:rPr>
          <w:rFonts w:cs="Times New Roman"/>
          <w:color w:val="auto"/>
          <w:lang w:val="en-US"/>
        </w:rPr>
      </w:pPr>
      <w:bookmarkStart w:id="0" w:name="_Ref231908645"/>
      <w:r w:rsidRPr="009239F8">
        <w:rPr>
          <w:rFonts w:cs="Times New Roman"/>
          <w:b/>
          <w:color w:val="auto"/>
          <w:lang w:val="en-US"/>
        </w:rPr>
        <w:t xml:space="preserve">Figure S </w:t>
      </w:r>
      <w:r w:rsidRPr="009239F8">
        <w:rPr>
          <w:rFonts w:cs="Times New Roman"/>
          <w:b/>
          <w:color w:val="auto"/>
          <w:lang w:val="en-US"/>
        </w:rPr>
        <w:fldChar w:fldCharType="begin"/>
      </w:r>
      <w:r w:rsidRPr="009239F8">
        <w:rPr>
          <w:rFonts w:cs="Times New Roman"/>
          <w:b/>
          <w:color w:val="auto"/>
          <w:lang w:val="en-US"/>
        </w:rPr>
        <w:instrText xml:space="preserve"> SEQ Figure_S \* ARABIC </w:instrText>
      </w:r>
      <w:r w:rsidRPr="009239F8">
        <w:rPr>
          <w:rFonts w:cs="Times New Roman"/>
          <w:b/>
          <w:color w:val="auto"/>
          <w:lang w:val="en-US"/>
        </w:rPr>
        <w:fldChar w:fldCharType="separate"/>
      </w:r>
      <w:r w:rsidR="00890076" w:rsidRPr="009239F8">
        <w:rPr>
          <w:rFonts w:cs="Times New Roman"/>
          <w:b/>
          <w:color w:val="auto"/>
          <w:lang w:val="en-US"/>
        </w:rPr>
        <w:t>1</w:t>
      </w:r>
      <w:r w:rsidRPr="009239F8">
        <w:rPr>
          <w:rFonts w:cs="Times New Roman"/>
          <w:b/>
          <w:color w:val="auto"/>
          <w:lang w:val="en-US"/>
        </w:rPr>
        <w:fldChar w:fldCharType="end"/>
      </w:r>
      <w:bookmarkEnd w:id="0"/>
      <w:r w:rsidRPr="009239F8">
        <w:rPr>
          <w:rFonts w:cs="Times New Roman"/>
          <w:b/>
          <w:color w:val="auto"/>
          <w:lang w:val="en-US"/>
        </w:rPr>
        <w:t>.</w:t>
      </w:r>
      <w:r w:rsidRPr="009239F8">
        <w:rPr>
          <w:rFonts w:cs="Times New Roman"/>
          <w:color w:val="auto"/>
          <w:lang w:val="en-US"/>
        </w:rPr>
        <w:t xml:space="preserve"> </w:t>
      </w:r>
      <w:r w:rsidRPr="009239F8">
        <w:rPr>
          <w:rFonts w:cs="Times New Roman"/>
          <w:b/>
          <w:color w:val="auto"/>
          <w:lang w:val="en-US"/>
        </w:rPr>
        <w:t xml:space="preserve">Endocardial </w:t>
      </w:r>
      <w:r w:rsidR="003A1194" w:rsidRPr="009239F8">
        <w:rPr>
          <w:rFonts w:cs="Times New Roman"/>
          <w:b/>
          <w:color w:val="auto"/>
          <w:lang w:val="en-US"/>
        </w:rPr>
        <w:t>maps</w:t>
      </w:r>
      <w:r w:rsidR="00F6535A" w:rsidRPr="009239F8">
        <w:rPr>
          <w:rFonts w:cs="Times New Roman"/>
          <w:b/>
          <w:color w:val="auto"/>
          <w:lang w:val="en-US"/>
        </w:rPr>
        <w:t xml:space="preserve"> replication and </w:t>
      </w:r>
      <w:r w:rsidR="00A80233" w:rsidRPr="009239F8">
        <w:rPr>
          <w:rFonts w:cs="Times New Roman"/>
          <w:b/>
          <w:color w:val="auto"/>
          <w:lang w:val="en-US"/>
        </w:rPr>
        <w:t>Purkinje-Myocardial junction (PM</w:t>
      </w:r>
      <w:r w:rsidR="009E4388" w:rsidRPr="009239F8">
        <w:rPr>
          <w:rFonts w:cs="Times New Roman"/>
          <w:b/>
          <w:color w:val="auto"/>
          <w:lang w:val="en-US"/>
        </w:rPr>
        <w:t>J)</w:t>
      </w:r>
      <w:r w:rsidR="00F6535A" w:rsidRPr="009239F8">
        <w:rPr>
          <w:rFonts w:cs="Times New Roman"/>
          <w:b/>
          <w:color w:val="auto"/>
          <w:lang w:val="en-US"/>
        </w:rPr>
        <w:t xml:space="preserve"> identification</w:t>
      </w:r>
      <w:r w:rsidR="00F6535A" w:rsidRPr="009239F8">
        <w:rPr>
          <w:rFonts w:cs="Times New Roman"/>
          <w:color w:val="auto"/>
          <w:lang w:val="en-US"/>
        </w:rPr>
        <w:t>.</w:t>
      </w:r>
      <w:r w:rsidR="001726D3" w:rsidRPr="009239F8">
        <w:rPr>
          <w:rFonts w:cs="Times New Roman"/>
          <w:color w:val="auto"/>
          <w:lang w:val="en-US"/>
        </w:rPr>
        <w:t xml:space="preserve"> All tests endocardial results showing</w:t>
      </w:r>
      <w:r w:rsidR="00C2522F" w:rsidRPr="009239F8">
        <w:rPr>
          <w:rFonts w:cs="Times New Roman"/>
          <w:color w:val="auto"/>
          <w:lang w:val="en-US"/>
        </w:rPr>
        <w:t xml:space="preserve"> </w:t>
      </w:r>
      <w:r w:rsidR="00C2522F" w:rsidRPr="009239F8">
        <w:rPr>
          <w:rFonts w:cs="Times New Roman"/>
          <w:b/>
          <w:color w:val="auto"/>
          <w:lang w:val="en-US"/>
        </w:rPr>
        <w:t xml:space="preserve">(left) </w:t>
      </w:r>
      <w:r w:rsidR="00EC3E5C" w:rsidRPr="009239F8">
        <w:rPr>
          <w:rFonts w:cs="Times New Roman"/>
          <w:color w:val="auto"/>
          <w:lang w:val="en-US"/>
        </w:rPr>
        <w:t xml:space="preserve">the absolute </w:t>
      </w:r>
      <w:r w:rsidR="0081095F" w:rsidRPr="009239F8">
        <w:rPr>
          <w:rFonts w:cs="Times New Roman"/>
          <w:color w:val="auto"/>
          <w:lang w:val="en-US"/>
        </w:rPr>
        <w:t xml:space="preserve">difference between the endocardial </w:t>
      </w:r>
      <w:r w:rsidR="00213490" w:rsidRPr="009239F8">
        <w:rPr>
          <w:rFonts w:cs="Times New Roman"/>
          <w:color w:val="auto"/>
          <w:lang w:val="en-US"/>
        </w:rPr>
        <w:t xml:space="preserve">activation map </w:t>
      </w:r>
      <w:r w:rsidR="00C74EE5" w:rsidRPr="009239F8">
        <w:rPr>
          <w:rFonts w:cs="Times New Roman"/>
          <w:color w:val="auto"/>
          <w:lang w:val="en-US"/>
        </w:rPr>
        <w:t>estimat</w:t>
      </w:r>
      <w:r w:rsidR="00213490" w:rsidRPr="009239F8">
        <w:rPr>
          <w:rFonts w:cs="Times New Roman"/>
          <w:color w:val="auto"/>
          <w:lang w:val="en-US"/>
        </w:rPr>
        <w:t>ed</w:t>
      </w:r>
      <w:r w:rsidR="00C74EE5" w:rsidRPr="009239F8">
        <w:rPr>
          <w:rFonts w:cs="Times New Roman"/>
          <w:color w:val="auto"/>
          <w:lang w:val="en-US"/>
        </w:rPr>
        <w:t xml:space="preserve"> after backwards propagation minus ground truth endocardial activation map</w:t>
      </w:r>
      <w:r w:rsidR="00C2522F" w:rsidRPr="009239F8">
        <w:rPr>
          <w:rFonts w:cs="Times New Roman"/>
          <w:color w:val="auto"/>
          <w:lang w:val="en-US"/>
        </w:rPr>
        <w:t xml:space="preserve"> (ΔAT)</w:t>
      </w:r>
      <w:r w:rsidR="00213490" w:rsidRPr="009239F8">
        <w:rPr>
          <w:rFonts w:cs="Times New Roman"/>
          <w:color w:val="auto"/>
          <w:lang w:val="en-US"/>
        </w:rPr>
        <w:t xml:space="preserve"> and</w:t>
      </w:r>
      <w:r w:rsidR="00C2522F" w:rsidRPr="009239F8">
        <w:rPr>
          <w:rFonts w:cs="Times New Roman"/>
          <w:color w:val="auto"/>
          <w:lang w:val="en-US"/>
        </w:rPr>
        <w:t xml:space="preserve"> </w:t>
      </w:r>
      <w:r w:rsidR="00C2522F" w:rsidRPr="009239F8">
        <w:rPr>
          <w:rFonts w:cs="Times New Roman"/>
          <w:b/>
          <w:color w:val="auto"/>
          <w:lang w:val="en-US"/>
        </w:rPr>
        <w:t>(right)</w:t>
      </w:r>
      <w:r w:rsidR="00213490" w:rsidRPr="009239F8">
        <w:rPr>
          <w:rFonts w:cs="Times New Roman"/>
          <w:color w:val="auto"/>
          <w:lang w:val="en-US"/>
        </w:rPr>
        <w:t xml:space="preserve"> the </w:t>
      </w:r>
      <w:r w:rsidR="006901EE" w:rsidRPr="009239F8">
        <w:rPr>
          <w:rFonts w:cs="Times New Roman"/>
          <w:color w:val="auto"/>
          <w:lang w:val="en-US"/>
        </w:rPr>
        <w:t xml:space="preserve">endocardium with mapped </w:t>
      </w:r>
      <w:r w:rsidR="00C2522F" w:rsidRPr="009239F8">
        <w:rPr>
          <w:rFonts w:cs="Times New Roman"/>
          <w:color w:val="auto"/>
          <w:lang w:val="en-US"/>
        </w:rPr>
        <w:t>ground truth PMJs (GT-PMJ) and estimated ones, classified by supplementary (S-PMJ) and non-supplementary (NS-PMJ)</w:t>
      </w:r>
      <w:r w:rsidR="00C74EE5" w:rsidRPr="009239F8">
        <w:rPr>
          <w:rFonts w:cs="Times New Roman"/>
          <w:color w:val="auto"/>
          <w:lang w:val="en-US"/>
        </w:rPr>
        <w:t>.</w:t>
      </w:r>
      <w:r w:rsidR="00132949" w:rsidRPr="009239F8">
        <w:rPr>
          <w:rFonts w:cs="Times New Roman"/>
          <w:color w:val="auto"/>
          <w:lang w:val="en-US"/>
        </w:rPr>
        <w:t xml:space="preserve"> Supplementary PMJs were predominantly located on the endocardial borders coinciding with the missing septum.</w:t>
      </w:r>
      <w:r w:rsidR="00C74EE5" w:rsidRPr="009239F8">
        <w:rPr>
          <w:rFonts w:cs="Times New Roman"/>
          <w:color w:val="auto"/>
          <w:lang w:val="en-US"/>
        </w:rPr>
        <w:t xml:space="preserve"> </w:t>
      </w:r>
      <w:r w:rsidR="009E4388" w:rsidRPr="009239F8">
        <w:rPr>
          <w:rFonts w:cs="Times New Roman"/>
          <w:color w:val="auto"/>
          <w:lang w:val="en-US"/>
        </w:rPr>
        <w:t>AT: activation time; CV: conduction velocity</w:t>
      </w:r>
      <w:r w:rsidR="00CA1BE7" w:rsidRPr="009239F8">
        <w:rPr>
          <w:rFonts w:cs="Times New Roman"/>
          <w:color w:val="auto"/>
          <w:lang w:val="en-US"/>
        </w:rPr>
        <w:t>.</w:t>
      </w:r>
    </w:p>
    <w:p w14:paraId="4B0A4F52" w14:textId="61AB92A7" w:rsidR="007B4B8E" w:rsidRPr="009239F8" w:rsidRDefault="00B77A11" w:rsidP="009A5B48">
      <w:pPr>
        <w:pStyle w:val="NormalWeb"/>
        <w:spacing w:line="480" w:lineRule="auto"/>
        <w:jc w:val="both"/>
        <w:rPr>
          <w:sz w:val="22"/>
          <w:szCs w:val="22"/>
          <w:lang w:val="en-US"/>
        </w:rPr>
      </w:pPr>
      <w:r w:rsidRPr="009239F8">
        <w:rPr>
          <w:sz w:val="22"/>
          <w:szCs w:val="22"/>
          <w:lang w:val="en-US"/>
        </w:rPr>
        <w:t>Regarding the estimation of endocardial activation maps</w:t>
      </w:r>
      <w:r w:rsidR="005648D9" w:rsidRPr="009239F8">
        <w:rPr>
          <w:sz w:val="22"/>
          <w:szCs w:val="22"/>
          <w:lang w:val="en-US"/>
        </w:rPr>
        <w:t>, on</w:t>
      </w:r>
      <w:r w:rsidR="00413FF5" w:rsidRPr="009239F8">
        <w:rPr>
          <w:sz w:val="22"/>
          <w:szCs w:val="22"/>
          <w:lang w:val="en-US"/>
        </w:rPr>
        <w:t xml:space="preserve"> </w:t>
      </w:r>
      <w:r w:rsidR="00413FF5" w:rsidRPr="009239F8">
        <w:rPr>
          <w:b/>
          <w:bCs/>
          <w:sz w:val="22"/>
          <w:szCs w:val="22"/>
          <w:lang w:val="en-US"/>
        </w:rPr>
        <w:fldChar w:fldCharType="begin"/>
      </w:r>
      <w:r w:rsidR="00413FF5" w:rsidRPr="009239F8">
        <w:rPr>
          <w:b/>
          <w:bCs/>
          <w:sz w:val="22"/>
          <w:szCs w:val="22"/>
          <w:lang w:val="en-US"/>
        </w:rPr>
        <w:instrText xml:space="preserve"> REF _Ref231908645 \h  \* MERGEFORMAT </w:instrText>
      </w:r>
      <w:r w:rsidR="00413FF5" w:rsidRPr="009239F8">
        <w:rPr>
          <w:b/>
          <w:bCs/>
          <w:sz w:val="22"/>
          <w:szCs w:val="22"/>
          <w:lang w:val="en-US"/>
        </w:rPr>
      </w:r>
      <w:r w:rsidR="00413FF5" w:rsidRPr="009239F8">
        <w:rPr>
          <w:b/>
          <w:bCs/>
          <w:sz w:val="22"/>
          <w:szCs w:val="22"/>
          <w:lang w:val="en-US"/>
        </w:rPr>
        <w:fldChar w:fldCharType="separate"/>
      </w:r>
      <w:r w:rsidR="00890076" w:rsidRPr="009239F8">
        <w:rPr>
          <w:b/>
          <w:bCs/>
          <w:sz w:val="22"/>
          <w:szCs w:val="22"/>
          <w:lang w:val="en-US"/>
        </w:rPr>
        <w:t xml:space="preserve">Figure S </w:t>
      </w:r>
      <w:r w:rsidR="00890076" w:rsidRPr="009239F8">
        <w:rPr>
          <w:b/>
          <w:bCs/>
          <w:noProof/>
          <w:sz w:val="22"/>
          <w:szCs w:val="22"/>
          <w:lang w:val="en-US"/>
        </w:rPr>
        <w:t>1</w:t>
      </w:r>
      <w:r w:rsidR="00413FF5" w:rsidRPr="009239F8">
        <w:rPr>
          <w:b/>
          <w:bCs/>
          <w:sz w:val="22"/>
          <w:szCs w:val="22"/>
          <w:lang w:val="en-US"/>
        </w:rPr>
        <w:fldChar w:fldCharType="end"/>
      </w:r>
      <w:r w:rsidR="005648D9" w:rsidRPr="009239F8">
        <w:rPr>
          <w:sz w:val="22"/>
          <w:szCs w:val="22"/>
          <w:lang w:val="en-US"/>
        </w:rPr>
        <w:t xml:space="preserve">, the </w:t>
      </w:r>
      <w:r w:rsidR="00DD44FF" w:rsidRPr="009239F8">
        <w:rPr>
          <w:sz w:val="22"/>
          <w:szCs w:val="22"/>
          <w:lang w:val="en-US"/>
        </w:rPr>
        <w:t>absolute</w:t>
      </w:r>
      <w:r w:rsidR="005648D9" w:rsidRPr="009239F8">
        <w:rPr>
          <w:sz w:val="22"/>
          <w:szCs w:val="22"/>
          <w:lang w:val="en-US"/>
        </w:rPr>
        <w:t xml:space="preserve"> differences between estimated endocardial activation map and the gro</w:t>
      </w:r>
      <w:r w:rsidR="00DD44FF" w:rsidRPr="009239F8">
        <w:rPr>
          <w:sz w:val="22"/>
          <w:szCs w:val="22"/>
          <w:lang w:val="en-US"/>
        </w:rPr>
        <w:t xml:space="preserve">und truth maps and the </w:t>
      </w:r>
      <w:r w:rsidR="001726D3" w:rsidRPr="009239F8">
        <w:rPr>
          <w:sz w:val="22"/>
          <w:szCs w:val="22"/>
          <w:lang w:val="en-US"/>
        </w:rPr>
        <w:t xml:space="preserve">estimated PMJs are shown </w:t>
      </w:r>
      <w:r w:rsidR="001379D5" w:rsidRPr="009239F8">
        <w:rPr>
          <w:sz w:val="22"/>
          <w:szCs w:val="22"/>
          <w:lang w:val="en-US"/>
        </w:rPr>
        <w:t>per</w:t>
      </w:r>
      <w:r w:rsidR="001726D3" w:rsidRPr="009239F8">
        <w:rPr>
          <w:sz w:val="22"/>
          <w:szCs w:val="22"/>
          <w:lang w:val="en-US"/>
        </w:rPr>
        <w:t xml:space="preserve"> case. T</w:t>
      </w:r>
      <w:r w:rsidRPr="009239F8">
        <w:rPr>
          <w:sz w:val="22"/>
          <w:szCs w:val="22"/>
          <w:lang w:val="en-US"/>
        </w:rPr>
        <w:t>ests using Durrer-based activation exhibited an AT-RMSE of 8.7</w:t>
      </w:r>
      <w:r w:rsidR="003F2ED2" w:rsidRPr="009239F8">
        <w:rPr>
          <w:sz w:val="22"/>
          <w:szCs w:val="22"/>
          <w:lang w:val="en-US"/>
        </w:rPr>
        <w:t>3</w:t>
      </w:r>
      <w:r w:rsidRPr="009239F8">
        <w:rPr>
          <w:sz w:val="22"/>
          <w:szCs w:val="22"/>
          <w:lang w:val="en-US"/>
        </w:rPr>
        <w:t xml:space="preserve"> ± 1.35 ms, while Purkinje-based activation cases showed a slightly higher AT-RMSE of 9.75 ± 0.9</w:t>
      </w:r>
      <w:r w:rsidR="004D6DB8" w:rsidRPr="009239F8">
        <w:rPr>
          <w:sz w:val="22"/>
          <w:szCs w:val="22"/>
          <w:lang w:val="en-US"/>
        </w:rPr>
        <w:t>8</w:t>
      </w:r>
      <w:r w:rsidRPr="009239F8">
        <w:rPr>
          <w:sz w:val="22"/>
          <w:szCs w:val="22"/>
          <w:lang w:val="en-US"/>
        </w:rPr>
        <w:t xml:space="preserve"> ms (</w:t>
      </w:r>
      <w:r w:rsidR="008B77B6" w:rsidRPr="009239F8">
        <w:rPr>
          <w:b/>
          <w:bCs/>
          <w:sz w:val="22"/>
          <w:szCs w:val="22"/>
          <w:lang w:val="en-US"/>
        </w:rPr>
        <w:t xml:space="preserve">Table S </w:t>
      </w:r>
      <w:r w:rsidR="008B77B6" w:rsidRPr="009239F8">
        <w:rPr>
          <w:b/>
          <w:bCs/>
          <w:noProof/>
          <w:sz w:val="22"/>
          <w:szCs w:val="22"/>
          <w:lang w:val="en-US"/>
        </w:rPr>
        <w:t>1</w:t>
      </w:r>
      <w:r w:rsidRPr="009239F8">
        <w:rPr>
          <w:sz w:val="22"/>
          <w:szCs w:val="22"/>
          <w:lang w:val="en-US"/>
        </w:rPr>
        <w:t xml:space="preserve">). In Durrer-activated cases, AT-RMSE tended to increase within the LV, resulting in faster activation toward the basal regions and comparatively slower activation in the RV (12.67 ms vs 3.97 ms). In </w:t>
      </w:r>
      <w:r w:rsidRPr="009239F8">
        <w:rPr>
          <w:sz w:val="22"/>
          <w:szCs w:val="22"/>
          <w:lang w:val="en-US"/>
        </w:rPr>
        <w:lastRenderedPageBreak/>
        <w:t xml:space="preserve">contrast, Purkinje-based activation generated generally faster ventricular activation, with more uniform timing across regions and comparable AT-RMSE values in the LV and RV (10.06 ms vs. 9.57 ms), both biased toward earlier-than-ground-truth activation. PMJ identification also </w:t>
      </w:r>
      <w:r w:rsidR="00E33088" w:rsidRPr="009239F8">
        <w:rPr>
          <w:sz w:val="22"/>
          <w:szCs w:val="22"/>
          <w:lang w:val="en-US"/>
        </w:rPr>
        <w:t>varies</w:t>
      </w:r>
      <w:r w:rsidRPr="009239F8">
        <w:rPr>
          <w:sz w:val="22"/>
          <w:szCs w:val="22"/>
          <w:lang w:val="en-US"/>
        </w:rPr>
        <w:t xml:space="preserve"> by activation strategy (</w:t>
      </w:r>
      <w:r w:rsidR="00FC09FD" w:rsidRPr="009239F8">
        <w:rPr>
          <w:b/>
          <w:bCs/>
          <w:sz w:val="22"/>
          <w:szCs w:val="22"/>
          <w:lang w:val="en-US"/>
        </w:rPr>
        <w:t xml:space="preserve">Table S </w:t>
      </w:r>
      <w:r w:rsidR="00FC09FD" w:rsidRPr="009239F8">
        <w:rPr>
          <w:b/>
          <w:bCs/>
          <w:noProof/>
          <w:sz w:val="22"/>
          <w:szCs w:val="22"/>
          <w:lang w:val="en-US"/>
        </w:rPr>
        <w:t>1</w:t>
      </w:r>
      <w:r w:rsidRPr="009239F8">
        <w:rPr>
          <w:sz w:val="22"/>
          <w:szCs w:val="22"/>
          <w:lang w:val="en-US"/>
        </w:rPr>
        <w:t xml:space="preserve">). </w:t>
      </w:r>
    </w:p>
    <w:p w14:paraId="56CB5BD4" w14:textId="6AC39D57" w:rsidR="00B77A11" w:rsidRPr="009239F8" w:rsidRDefault="00B77A11" w:rsidP="009A5B48">
      <w:pPr>
        <w:pStyle w:val="NormalWeb"/>
        <w:spacing w:line="480" w:lineRule="auto"/>
        <w:jc w:val="both"/>
        <w:rPr>
          <w:b/>
          <w:sz w:val="22"/>
          <w:szCs w:val="22"/>
          <w:lang w:val="en-US"/>
        </w:rPr>
      </w:pPr>
      <w:r w:rsidRPr="009239F8">
        <w:rPr>
          <w:sz w:val="22"/>
          <w:szCs w:val="22"/>
          <w:lang w:val="en-US"/>
        </w:rPr>
        <w:t xml:space="preserve">Durrer-based cases identified </w:t>
      </w:r>
      <w:r w:rsidR="00D0496E" w:rsidRPr="009239F8">
        <w:rPr>
          <w:sz w:val="22"/>
          <w:szCs w:val="22"/>
          <w:lang w:val="en-US"/>
        </w:rPr>
        <w:t>fewer</w:t>
      </w:r>
      <w:r w:rsidRPr="009239F8">
        <w:rPr>
          <w:sz w:val="22"/>
          <w:szCs w:val="22"/>
          <w:lang w:val="en-US"/>
        </w:rPr>
        <w:t xml:space="preserve"> PMJs (mean: 8.7 vs. 5 ground-truth), with larger spatial and temporal errors compared to Purkinje-based cases (Durrer-based: PMJ-DE: 5.98 ± 1.06 mm; PMJ-AE: 28.59 ± 5.40 ms).</w:t>
      </w:r>
      <w:r w:rsidR="007B4B8E" w:rsidRPr="009239F8">
        <w:rPr>
          <w:sz w:val="22"/>
          <w:szCs w:val="22"/>
          <w:lang w:val="en-US"/>
        </w:rPr>
        <w:t xml:space="preserve"> In Durrer-based cases, anterior PMJs were captured accurately, whereas those on the septum and the basal inferolateral LV wall were not identified.</w:t>
      </w:r>
      <w:r w:rsidRPr="009239F8">
        <w:rPr>
          <w:sz w:val="22"/>
          <w:szCs w:val="22"/>
          <w:lang w:val="en-US"/>
        </w:rPr>
        <w:t xml:space="preserve"> In contrast, Purkinje-based cases </w:t>
      </w:r>
      <w:r w:rsidR="00F160E4" w:rsidRPr="009239F8">
        <w:rPr>
          <w:sz w:val="22"/>
          <w:szCs w:val="22"/>
          <w:lang w:val="en-US"/>
        </w:rPr>
        <w:t xml:space="preserve">identified a subset of the denser ground-truth network </w:t>
      </w:r>
      <w:r w:rsidRPr="009239F8">
        <w:rPr>
          <w:sz w:val="22"/>
          <w:szCs w:val="22"/>
          <w:lang w:val="en-US"/>
        </w:rPr>
        <w:t xml:space="preserve">(mean: </w:t>
      </w:r>
      <w:r w:rsidR="004A6FC9" w:rsidRPr="009239F8">
        <w:rPr>
          <w:sz w:val="22"/>
          <w:szCs w:val="22"/>
          <w:lang w:val="en-US"/>
        </w:rPr>
        <w:t>54.33</w:t>
      </w:r>
      <w:r w:rsidRPr="009239F8">
        <w:rPr>
          <w:sz w:val="22"/>
          <w:szCs w:val="22"/>
          <w:lang w:val="en-US"/>
        </w:rPr>
        <w:t xml:space="preserve"> vs. 558 ground-truth), achieving lower spatial and temporal errors (Purkinje based: PMJ-DE: </w:t>
      </w:r>
      <w:r w:rsidR="00EF1625" w:rsidRPr="009239F8">
        <w:rPr>
          <w:sz w:val="22"/>
          <w:szCs w:val="22"/>
          <w:lang w:val="en-US"/>
        </w:rPr>
        <w:t>1.61</w:t>
      </w:r>
      <w:r w:rsidRPr="009239F8">
        <w:rPr>
          <w:sz w:val="22"/>
          <w:szCs w:val="22"/>
          <w:lang w:val="en-US"/>
        </w:rPr>
        <w:t xml:space="preserve"> ± 0.</w:t>
      </w:r>
      <w:r w:rsidR="001A4582" w:rsidRPr="009239F8">
        <w:rPr>
          <w:sz w:val="22"/>
          <w:szCs w:val="22"/>
          <w:lang w:val="en-US"/>
        </w:rPr>
        <w:t>18</w:t>
      </w:r>
      <w:r w:rsidRPr="009239F8">
        <w:rPr>
          <w:sz w:val="22"/>
          <w:szCs w:val="22"/>
          <w:lang w:val="en-US"/>
        </w:rPr>
        <w:t xml:space="preserve"> mm; PMJ-AE: 5.</w:t>
      </w:r>
      <w:r w:rsidR="00BC0876" w:rsidRPr="009239F8">
        <w:rPr>
          <w:sz w:val="22"/>
          <w:szCs w:val="22"/>
          <w:lang w:val="en-US"/>
        </w:rPr>
        <w:t>82</w:t>
      </w:r>
      <w:r w:rsidRPr="009239F8">
        <w:rPr>
          <w:sz w:val="22"/>
          <w:szCs w:val="22"/>
          <w:lang w:val="en-US"/>
        </w:rPr>
        <w:t xml:space="preserve"> ± </w:t>
      </w:r>
      <w:r w:rsidR="00B97BD2" w:rsidRPr="009239F8">
        <w:rPr>
          <w:sz w:val="22"/>
          <w:szCs w:val="22"/>
          <w:lang w:val="en-US"/>
        </w:rPr>
        <w:t>2.</w:t>
      </w:r>
      <w:r w:rsidR="00BC0876" w:rsidRPr="009239F8">
        <w:rPr>
          <w:sz w:val="22"/>
          <w:szCs w:val="22"/>
          <w:lang w:val="en-US"/>
        </w:rPr>
        <w:t>50</w:t>
      </w:r>
      <w:r w:rsidRPr="009239F8">
        <w:rPr>
          <w:sz w:val="22"/>
          <w:szCs w:val="22"/>
          <w:lang w:val="en-US"/>
        </w:rPr>
        <w:t xml:space="preserve"> ms).</w:t>
      </w:r>
      <w:r w:rsidR="00132949" w:rsidRPr="009239F8">
        <w:rPr>
          <w:sz w:val="22"/>
          <w:szCs w:val="22"/>
          <w:lang w:val="en-US"/>
        </w:rPr>
        <w:t xml:space="preserve"> The spatial distribution of identified PMJs was homogeneous across cases, but their number decreased as CV increased.</w:t>
      </w:r>
      <w:r w:rsidR="007B4B8E" w:rsidRPr="009239F8">
        <w:rPr>
          <w:sz w:val="22"/>
          <w:szCs w:val="22"/>
          <w:lang w:val="en-US"/>
        </w:rPr>
        <w:t xml:space="preserve"> </w:t>
      </w:r>
    </w:p>
    <w:p w14:paraId="528EB559" w14:textId="72108683" w:rsidR="00B77A11" w:rsidRPr="009239F8" w:rsidRDefault="00B77A11" w:rsidP="009A5B48">
      <w:pPr>
        <w:pStyle w:val="Caption"/>
        <w:spacing w:line="480" w:lineRule="auto"/>
        <w:jc w:val="both"/>
        <w:rPr>
          <w:rFonts w:cs="Times New Roman"/>
          <w:color w:val="auto"/>
          <w:sz w:val="22"/>
          <w:szCs w:val="22"/>
          <w:lang w:val="en-US"/>
        </w:rPr>
      </w:pPr>
      <w:bookmarkStart w:id="1" w:name="_Ref230191791"/>
      <w:r w:rsidRPr="009239F8">
        <w:rPr>
          <w:rFonts w:cs="Times New Roman"/>
          <w:b/>
          <w:color w:val="auto"/>
          <w:lang w:val="en-US"/>
        </w:rPr>
        <w:t xml:space="preserve">Table S </w:t>
      </w:r>
      <w:r w:rsidR="00005911" w:rsidRPr="009239F8">
        <w:rPr>
          <w:rFonts w:cs="Times New Roman"/>
          <w:b/>
          <w:color w:val="auto"/>
          <w:lang w:val="en-US"/>
        </w:rPr>
        <w:fldChar w:fldCharType="begin"/>
      </w:r>
      <w:r w:rsidR="00005911" w:rsidRPr="009239F8">
        <w:rPr>
          <w:rFonts w:cs="Times New Roman"/>
          <w:b/>
          <w:color w:val="auto"/>
          <w:lang w:val="en-US"/>
        </w:rPr>
        <w:instrText xml:space="preserve"> SEQ Table_S \* ARABIC </w:instrText>
      </w:r>
      <w:r w:rsidR="00005911" w:rsidRPr="009239F8">
        <w:rPr>
          <w:rFonts w:cs="Times New Roman"/>
          <w:b/>
          <w:color w:val="auto"/>
          <w:lang w:val="en-US"/>
        </w:rPr>
        <w:fldChar w:fldCharType="separate"/>
      </w:r>
      <w:r w:rsidR="00890076" w:rsidRPr="009239F8">
        <w:rPr>
          <w:rFonts w:cs="Times New Roman"/>
          <w:b/>
          <w:color w:val="auto"/>
          <w:lang w:val="en-US"/>
        </w:rPr>
        <w:t>1</w:t>
      </w:r>
      <w:r w:rsidR="00005911" w:rsidRPr="009239F8">
        <w:rPr>
          <w:rFonts w:cs="Times New Roman"/>
          <w:b/>
          <w:color w:val="auto"/>
          <w:lang w:val="en-US"/>
        </w:rPr>
        <w:fldChar w:fldCharType="end"/>
      </w:r>
      <w:bookmarkEnd w:id="1"/>
      <w:r w:rsidRPr="009239F8">
        <w:rPr>
          <w:rFonts w:cs="Times New Roman"/>
          <w:b/>
          <w:color w:val="auto"/>
          <w:lang w:val="en-US"/>
        </w:rPr>
        <w:t>.</w:t>
      </w:r>
      <w:r w:rsidRPr="009239F8">
        <w:rPr>
          <w:rFonts w:cs="Times New Roman"/>
          <w:color w:val="auto"/>
          <w:lang w:val="en-US"/>
        </w:rPr>
        <w:t xml:space="preserve"> </w:t>
      </w:r>
      <w:r w:rsidRPr="009239F8">
        <w:rPr>
          <w:rFonts w:cs="Times New Roman"/>
          <w:b/>
          <w:color w:val="auto"/>
          <w:lang w:val="en-US"/>
        </w:rPr>
        <w:t xml:space="preserve">Verification test results for six synthetic cases combining two activation strategies (Durrer-based: </w:t>
      </w:r>
      <w:r w:rsidR="00CF76AC" w:rsidRPr="009239F8">
        <w:rPr>
          <w:rFonts w:cs="Times New Roman"/>
          <w:b/>
          <w:color w:val="auto"/>
          <w:lang w:val="en-US"/>
        </w:rPr>
        <w:t>#</w:t>
      </w:r>
      <w:r w:rsidRPr="009239F8">
        <w:rPr>
          <w:rFonts w:cs="Times New Roman"/>
          <w:b/>
          <w:color w:val="auto"/>
          <w:lang w:val="en-US"/>
        </w:rPr>
        <w:t>1, #3, #5; Purkinje-based: #2, #4, #6) and three repolarization patterns (apex-to-base, Voronoi, and mixed)</w:t>
      </w:r>
      <w:r w:rsidRPr="009239F8">
        <w:rPr>
          <w:rFonts w:cs="Times New Roman"/>
          <w:color w:val="auto"/>
          <w:lang w:val="en-US"/>
        </w:rPr>
        <w:t xml:space="preserve">. Endocardial metrics: number of identified </w:t>
      </w:r>
      <w:r w:rsidR="007460B4" w:rsidRPr="009239F8">
        <w:rPr>
          <w:rFonts w:cs="Times New Roman"/>
          <w:color w:val="auto"/>
          <w:lang w:val="en-US"/>
        </w:rPr>
        <w:t>Purkinje-Myocardial junctions (PMJs)</w:t>
      </w:r>
      <w:r w:rsidRPr="009239F8">
        <w:rPr>
          <w:rFonts w:cs="Times New Roman"/>
          <w:color w:val="auto"/>
          <w:lang w:val="en-US"/>
        </w:rPr>
        <w:t>, spatial (PMJ-DE) and temporal (PMJ-AE) localization errors, and activation time error (AT-RMSE) over non-septal regions. Epicardial metrics: activation (AT-RMSE) and repolarization (RT-RMSE) time errors, and conductance scaling factor errors for g</w:t>
      </w:r>
      <w:r w:rsidRPr="009239F8">
        <w:rPr>
          <w:rFonts w:cs="Times New Roman"/>
          <w:color w:val="auto"/>
          <w:vertAlign w:val="subscript"/>
          <w:lang w:val="en-US"/>
        </w:rPr>
        <w:t>Ks</w:t>
      </w:r>
      <w:r w:rsidRPr="009239F8">
        <w:rPr>
          <w:rFonts w:cs="Times New Roman"/>
          <w:color w:val="auto"/>
          <w:lang w:val="en-US"/>
        </w:rPr>
        <w:t xml:space="preserve"> and g</w:t>
      </w:r>
      <w:r w:rsidRPr="009239F8">
        <w:rPr>
          <w:rFonts w:cs="Times New Roman"/>
          <w:color w:val="auto"/>
          <w:vertAlign w:val="subscript"/>
          <w:lang w:val="en-US"/>
        </w:rPr>
        <w:t>Kr</w:t>
      </w:r>
      <w:r w:rsidRPr="009239F8">
        <w:rPr>
          <w:rFonts w:cs="Times New Roman"/>
          <w:color w:val="auto"/>
          <w:lang w:val="en-US"/>
        </w:rPr>
        <w:t>. Values represent mean ± standard deviation.  g</w:t>
      </w:r>
      <w:r w:rsidRPr="009239F8">
        <w:rPr>
          <w:rFonts w:cs="Times New Roman"/>
          <w:color w:val="auto"/>
          <w:vertAlign w:val="subscript"/>
          <w:lang w:val="en-US"/>
        </w:rPr>
        <w:t>Kr</w:t>
      </w:r>
      <w:r w:rsidRPr="009239F8">
        <w:rPr>
          <w:rFonts w:cs="Times New Roman"/>
          <w:color w:val="auto"/>
          <w:lang w:val="en-US"/>
        </w:rPr>
        <w:t>: rapid delayed rectifier potassium current conductance scaling factor; g</w:t>
      </w:r>
      <w:r w:rsidRPr="009239F8">
        <w:rPr>
          <w:rFonts w:cs="Times New Roman"/>
          <w:color w:val="auto"/>
          <w:vertAlign w:val="subscript"/>
          <w:lang w:val="en-US"/>
        </w:rPr>
        <w:t>Ks</w:t>
      </w:r>
      <w:r w:rsidRPr="009239F8">
        <w:rPr>
          <w:rFonts w:cs="Times New Roman"/>
          <w:color w:val="auto"/>
          <w:lang w:val="en-US"/>
        </w:rPr>
        <w:t>: slow delayed rectifier potassium current conductance scaling factor.</w:t>
      </w:r>
    </w:p>
    <w:tbl>
      <w:tblPr>
        <w:tblStyle w:val="TableGrid"/>
        <w:tblpPr w:leftFromText="180" w:rightFromText="180" w:vertAnchor="text" w:horzAnchor="margin" w:tblpY="-33"/>
        <w:tblW w:w="9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487"/>
        <w:gridCol w:w="363"/>
        <w:gridCol w:w="1063"/>
        <w:gridCol w:w="1205"/>
        <w:gridCol w:w="1276"/>
        <w:gridCol w:w="1276"/>
        <w:gridCol w:w="1276"/>
        <w:gridCol w:w="870"/>
        <w:gridCol w:w="871"/>
      </w:tblGrid>
      <w:tr w:rsidR="008B77B6" w:rsidRPr="009239F8" w14:paraId="246D0D98" w14:textId="77777777" w:rsidTr="008B77B6">
        <w:trPr>
          <w:trHeight w:val="272"/>
          <w:tblHeader/>
        </w:trPr>
        <w:tc>
          <w:tcPr>
            <w:tcW w:w="1338" w:type="dxa"/>
            <w:gridSpan w:val="2"/>
            <w:tcBorders>
              <w:bottom w:val="single" w:sz="4" w:space="0" w:color="auto"/>
            </w:tcBorders>
            <w:vAlign w:val="center"/>
          </w:tcPr>
          <w:p w14:paraId="026B1223" w14:textId="77777777" w:rsidR="008B77B6" w:rsidRPr="009239F8" w:rsidRDefault="008B77B6" w:rsidP="009A5B48">
            <w:pPr>
              <w:spacing w:line="480" w:lineRule="auto"/>
              <w:jc w:val="center"/>
              <w:rPr>
                <w:rFonts w:ascii="Times New Roman" w:hAnsi="Times New Roman" w:cs="Times New Roman"/>
                <w:b/>
                <w:bCs/>
                <w:sz w:val="16"/>
                <w:szCs w:val="16"/>
                <w:lang w:val="en-US"/>
              </w:rPr>
            </w:pPr>
          </w:p>
        </w:tc>
        <w:tc>
          <w:tcPr>
            <w:tcW w:w="3907" w:type="dxa"/>
            <w:gridSpan w:val="4"/>
            <w:tcBorders>
              <w:bottom w:val="single" w:sz="4" w:space="0" w:color="auto"/>
              <w:right w:val="single" w:sz="4" w:space="0" w:color="auto"/>
            </w:tcBorders>
            <w:vAlign w:val="center"/>
          </w:tcPr>
          <w:p w14:paraId="60A36A35"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Endocardium</w:t>
            </w:r>
          </w:p>
        </w:tc>
        <w:tc>
          <w:tcPr>
            <w:tcW w:w="4293" w:type="dxa"/>
            <w:gridSpan w:val="4"/>
            <w:tcBorders>
              <w:left w:val="single" w:sz="4" w:space="0" w:color="auto"/>
              <w:bottom w:val="single" w:sz="4" w:space="0" w:color="auto"/>
            </w:tcBorders>
            <w:vAlign w:val="center"/>
          </w:tcPr>
          <w:p w14:paraId="782E5483"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Epicardium</w:t>
            </w:r>
          </w:p>
        </w:tc>
      </w:tr>
      <w:tr w:rsidR="008B77B6" w:rsidRPr="009239F8" w14:paraId="261A711E" w14:textId="77777777" w:rsidTr="008B77B6">
        <w:trPr>
          <w:trHeight w:val="567"/>
          <w:tblHeader/>
        </w:trPr>
        <w:tc>
          <w:tcPr>
            <w:tcW w:w="851" w:type="dxa"/>
            <w:tcBorders>
              <w:bottom w:val="single" w:sz="4" w:space="0" w:color="auto"/>
            </w:tcBorders>
            <w:vAlign w:val="center"/>
          </w:tcPr>
          <w:p w14:paraId="06AF3832" w14:textId="77777777" w:rsidR="008B77B6" w:rsidRPr="009239F8" w:rsidRDefault="008B77B6" w:rsidP="009A5B48">
            <w:pPr>
              <w:spacing w:line="480" w:lineRule="auto"/>
              <w:jc w:val="center"/>
              <w:rPr>
                <w:rFonts w:ascii="Times New Roman" w:hAnsi="Times New Roman" w:cs="Times New Roman"/>
                <w:b/>
                <w:bCs/>
                <w:lang w:val="en-US"/>
              </w:rPr>
            </w:pPr>
            <w:r w:rsidRPr="009239F8">
              <w:rPr>
                <w:rFonts w:ascii="Times New Roman" w:hAnsi="Times New Roman" w:cs="Times New Roman"/>
                <w:b/>
                <w:bCs/>
                <w:lang w:val="en-US"/>
              </w:rPr>
              <w:t>Test ID</w:t>
            </w:r>
          </w:p>
        </w:tc>
        <w:tc>
          <w:tcPr>
            <w:tcW w:w="850" w:type="dxa"/>
            <w:gridSpan w:val="2"/>
            <w:tcBorders>
              <w:bottom w:val="single" w:sz="4" w:space="0" w:color="auto"/>
            </w:tcBorders>
            <w:vAlign w:val="center"/>
          </w:tcPr>
          <w:p w14:paraId="0B0B7D94"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PMJs</w:t>
            </w:r>
          </w:p>
        </w:tc>
        <w:tc>
          <w:tcPr>
            <w:tcW w:w="1063" w:type="dxa"/>
            <w:tcBorders>
              <w:bottom w:val="single" w:sz="4" w:space="0" w:color="auto"/>
            </w:tcBorders>
            <w:vAlign w:val="center"/>
          </w:tcPr>
          <w:p w14:paraId="52DD5F12"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PMJ-DE</w:t>
            </w:r>
          </w:p>
          <w:p w14:paraId="11951A3F"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w:t>
            </w:r>
            <w:r w:rsidRPr="009239F8">
              <w:rPr>
                <w:rFonts w:ascii="Times New Roman" w:hAnsi="Times New Roman" w:cs="Times New Roman"/>
                <w:i/>
                <w:iCs/>
                <w:lang w:val="en-US"/>
              </w:rPr>
              <w:t>mm</w:t>
            </w:r>
            <w:r w:rsidRPr="009239F8">
              <w:rPr>
                <w:rFonts w:ascii="Times New Roman" w:hAnsi="Times New Roman" w:cs="Times New Roman"/>
                <w:lang w:val="en-US"/>
              </w:rPr>
              <w:t>)</w:t>
            </w:r>
          </w:p>
        </w:tc>
        <w:tc>
          <w:tcPr>
            <w:tcW w:w="1205" w:type="dxa"/>
            <w:tcBorders>
              <w:bottom w:val="single" w:sz="4" w:space="0" w:color="auto"/>
            </w:tcBorders>
            <w:vAlign w:val="center"/>
          </w:tcPr>
          <w:p w14:paraId="201C9B29"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PMJ-AE</w:t>
            </w:r>
          </w:p>
          <w:p w14:paraId="0479372F"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w:t>
            </w:r>
            <w:r w:rsidRPr="009239F8">
              <w:rPr>
                <w:rFonts w:ascii="Times New Roman" w:hAnsi="Times New Roman" w:cs="Times New Roman"/>
                <w:i/>
                <w:iCs/>
                <w:lang w:val="en-US"/>
              </w:rPr>
              <w:t>ms</w:t>
            </w:r>
            <w:r w:rsidRPr="009239F8">
              <w:rPr>
                <w:rFonts w:ascii="Times New Roman" w:hAnsi="Times New Roman" w:cs="Times New Roman"/>
                <w:lang w:val="en-US"/>
              </w:rPr>
              <w:t>)</w:t>
            </w:r>
          </w:p>
        </w:tc>
        <w:tc>
          <w:tcPr>
            <w:tcW w:w="1276" w:type="dxa"/>
            <w:tcBorders>
              <w:bottom w:val="single" w:sz="4" w:space="0" w:color="auto"/>
              <w:right w:val="single" w:sz="4" w:space="0" w:color="auto"/>
            </w:tcBorders>
            <w:vAlign w:val="center"/>
          </w:tcPr>
          <w:p w14:paraId="3946BDE6"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AT-RMSE (</w:t>
            </w:r>
            <w:r w:rsidRPr="009239F8">
              <w:rPr>
                <w:rFonts w:ascii="Times New Roman" w:hAnsi="Times New Roman" w:cs="Times New Roman"/>
                <w:i/>
                <w:iCs/>
                <w:lang w:val="en-US"/>
              </w:rPr>
              <w:t>ms</w:t>
            </w:r>
            <w:r w:rsidRPr="009239F8">
              <w:rPr>
                <w:rFonts w:ascii="Times New Roman" w:hAnsi="Times New Roman" w:cs="Times New Roman"/>
                <w:lang w:val="en-US"/>
              </w:rPr>
              <w:t>)</w:t>
            </w:r>
          </w:p>
        </w:tc>
        <w:tc>
          <w:tcPr>
            <w:tcW w:w="1276" w:type="dxa"/>
            <w:tcBorders>
              <w:left w:val="single" w:sz="4" w:space="0" w:color="auto"/>
              <w:bottom w:val="single" w:sz="4" w:space="0" w:color="auto"/>
            </w:tcBorders>
            <w:vAlign w:val="center"/>
          </w:tcPr>
          <w:p w14:paraId="69EFE064"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AT-RMSE (</w:t>
            </w:r>
            <w:r w:rsidRPr="009239F8">
              <w:rPr>
                <w:rFonts w:ascii="Times New Roman" w:hAnsi="Times New Roman" w:cs="Times New Roman"/>
                <w:i/>
                <w:iCs/>
                <w:lang w:val="en-US"/>
              </w:rPr>
              <w:t>ms</w:t>
            </w:r>
            <w:r w:rsidRPr="009239F8">
              <w:rPr>
                <w:rFonts w:ascii="Times New Roman" w:hAnsi="Times New Roman" w:cs="Times New Roman"/>
                <w:lang w:val="en-US"/>
              </w:rPr>
              <w:t>)</w:t>
            </w:r>
          </w:p>
        </w:tc>
        <w:tc>
          <w:tcPr>
            <w:tcW w:w="1276" w:type="dxa"/>
            <w:tcBorders>
              <w:bottom w:val="single" w:sz="4" w:space="0" w:color="auto"/>
            </w:tcBorders>
            <w:vAlign w:val="center"/>
          </w:tcPr>
          <w:p w14:paraId="3280533E"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RT-RMSE (</w:t>
            </w:r>
            <w:r w:rsidRPr="009239F8">
              <w:rPr>
                <w:rFonts w:ascii="Times New Roman" w:hAnsi="Times New Roman" w:cs="Times New Roman"/>
                <w:i/>
                <w:iCs/>
                <w:lang w:val="en-US"/>
              </w:rPr>
              <w:t>ms</w:t>
            </w:r>
            <w:r w:rsidRPr="009239F8">
              <w:rPr>
                <w:rFonts w:ascii="Times New Roman" w:hAnsi="Times New Roman" w:cs="Times New Roman"/>
                <w:lang w:val="en-US"/>
              </w:rPr>
              <w:t>)</w:t>
            </w:r>
          </w:p>
        </w:tc>
        <w:tc>
          <w:tcPr>
            <w:tcW w:w="870" w:type="dxa"/>
            <w:tcBorders>
              <w:bottom w:val="single" w:sz="4" w:space="0" w:color="auto"/>
            </w:tcBorders>
            <w:vAlign w:val="center"/>
          </w:tcPr>
          <w:p w14:paraId="00062F1E"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g</w:t>
            </w:r>
            <w:r w:rsidRPr="009239F8">
              <w:rPr>
                <w:rFonts w:ascii="Times New Roman" w:hAnsi="Times New Roman" w:cs="Times New Roman"/>
                <w:vertAlign w:val="subscript"/>
                <w:lang w:val="en-US"/>
              </w:rPr>
              <w:t>Ks</w:t>
            </w:r>
            <w:r w:rsidRPr="009239F8">
              <w:rPr>
                <w:rFonts w:ascii="Times New Roman" w:hAnsi="Times New Roman" w:cs="Times New Roman"/>
                <w:lang w:val="en-US"/>
              </w:rPr>
              <w:t>-RMSE</w:t>
            </w:r>
          </w:p>
        </w:tc>
        <w:tc>
          <w:tcPr>
            <w:tcW w:w="871" w:type="dxa"/>
            <w:tcBorders>
              <w:top w:val="single" w:sz="4" w:space="0" w:color="auto"/>
              <w:bottom w:val="single" w:sz="4" w:space="0" w:color="auto"/>
            </w:tcBorders>
            <w:vAlign w:val="center"/>
          </w:tcPr>
          <w:p w14:paraId="084A5137"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g</w:t>
            </w:r>
            <w:r w:rsidRPr="009239F8">
              <w:rPr>
                <w:rFonts w:ascii="Times New Roman" w:hAnsi="Times New Roman" w:cs="Times New Roman"/>
                <w:vertAlign w:val="subscript"/>
                <w:lang w:val="en-US"/>
              </w:rPr>
              <w:t>Kr</w:t>
            </w:r>
            <w:r w:rsidRPr="009239F8">
              <w:rPr>
                <w:rFonts w:ascii="Times New Roman" w:hAnsi="Times New Roman" w:cs="Times New Roman"/>
                <w:lang w:val="en-US"/>
              </w:rPr>
              <w:t>-RMSE</w:t>
            </w:r>
          </w:p>
        </w:tc>
      </w:tr>
      <w:tr w:rsidR="008B77B6" w:rsidRPr="009239F8" w14:paraId="7FA9C28B" w14:textId="77777777" w:rsidTr="008B77B6">
        <w:trPr>
          <w:trHeight w:val="228"/>
          <w:tblHeader/>
        </w:trPr>
        <w:tc>
          <w:tcPr>
            <w:tcW w:w="851" w:type="dxa"/>
            <w:tcBorders>
              <w:top w:val="single" w:sz="4" w:space="0" w:color="auto"/>
            </w:tcBorders>
            <w:vAlign w:val="center"/>
          </w:tcPr>
          <w:p w14:paraId="5F724DA1" w14:textId="77777777" w:rsidR="008B77B6" w:rsidRPr="009239F8" w:rsidRDefault="008B77B6" w:rsidP="009A5B48">
            <w:pPr>
              <w:spacing w:line="480" w:lineRule="auto"/>
              <w:jc w:val="center"/>
              <w:rPr>
                <w:rFonts w:ascii="Times New Roman" w:hAnsi="Times New Roman" w:cs="Times New Roman"/>
                <w:i/>
                <w:iCs/>
                <w:lang w:val="en-US"/>
              </w:rPr>
            </w:pPr>
            <w:r w:rsidRPr="009239F8">
              <w:rPr>
                <w:rFonts w:ascii="Times New Roman" w:hAnsi="Times New Roman" w:cs="Times New Roman"/>
                <w:i/>
                <w:iCs/>
                <w:lang w:val="en-US"/>
              </w:rPr>
              <w:t>#1</w:t>
            </w:r>
          </w:p>
        </w:tc>
        <w:tc>
          <w:tcPr>
            <w:tcW w:w="850" w:type="dxa"/>
            <w:gridSpan w:val="2"/>
            <w:tcBorders>
              <w:top w:val="single" w:sz="4" w:space="0" w:color="auto"/>
            </w:tcBorders>
            <w:vAlign w:val="center"/>
          </w:tcPr>
          <w:p w14:paraId="3F18F6ED"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w:t>
            </w:r>
          </w:p>
        </w:tc>
        <w:tc>
          <w:tcPr>
            <w:tcW w:w="1063" w:type="dxa"/>
            <w:tcBorders>
              <w:top w:val="single" w:sz="4" w:space="0" w:color="auto"/>
            </w:tcBorders>
            <w:vAlign w:val="center"/>
          </w:tcPr>
          <w:p w14:paraId="3BC5A8FB"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6.30 ± 4.90</w:t>
            </w:r>
          </w:p>
        </w:tc>
        <w:tc>
          <w:tcPr>
            <w:tcW w:w="1205" w:type="dxa"/>
            <w:tcBorders>
              <w:top w:val="single" w:sz="4" w:space="0" w:color="auto"/>
            </w:tcBorders>
            <w:vAlign w:val="center"/>
          </w:tcPr>
          <w:p w14:paraId="28F07895"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28.59 ± 17.27</w:t>
            </w:r>
          </w:p>
        </w:tc>
        <w:tc>
          <w:tcPr>
            <w:tcW w:w="1276" w:type="dxa"/>
            <w:tcBorders>
              <w:top w:val="single" w:sz="4" w:space="0" w:color="auto"/>
              <w:right w:val="single" w:sz="4" w:space="0" w:color="auto"/>
            </w:tcBorders>
            <w:vAlign w:val="center"/>
          </w:tcPr>
          <w:p w14:paraId="2C4EA5FA"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8.67</w:t>
            </w:r>
          </w:p>
        </w:tc>
        <w:tc>
          <w:tcPr>
            <w:tcW w:w="1276" w:type="dxa"/>
            <w:tcBorders>
              <w:top w:val="single" w:sz="4" w:space="0" w:color="auto"/>
              <w:left w:val="single" w:sz="4" w:space="0" w:color="auto"/>
            </w:tcBorders>
            <w:vAlign w:val="center"/>
          </w:tcPr>
          <w:p w14:paraId="604223FC"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21.70</w:t>
            </w:r>
          </w:p>
        </w:tc>
        <w:tc>
          <w:tcPr>
            <w:tcW w:w="1276" w:type="dxa"/>
            <w:tcBorders>
              <w:top w:val="single" w:sz="4" w:space="0" w:color="auto"/>
            </w:tcBorders>
            <w:vAlign w:val="center"/>
          </w:tcPr>
          <w:p w14:paraId="646B7547"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21.44</w:t>
            </w:r>
          </w:p>
        </w:tc>
        <w:tc>
          <w:tcPr>
            <w:tcW w:w="870" w:type="dxa"/>
            <w:tcBorders>
              <w:top w:val="single" w:sz="4" w:space="0" w:color="auto"/>
            </w:tcBorders>
            <w:vAlign w:val="center"/>
          </w:tcPr>
          <w:p w14:paraId="097F12DE"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1.44</w:t>
            </w:r>
          </w:p>
        </w:tc>
        <w:tc>
          <w:tcPr>
            <w:tcW w:w="871" w:type="dxa"/>
            <w:tcBorders>
              <w:top w:val="single" w:sz="4" w:space="0" w:color="auto"/>
            </w:tcBorders>
            <w:vAlign w:val="center"/>
          </w:tcPr>
          <w:p w14:paraId="6B037B9A"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0.30</w:t>
            </w:r>
          </w:p>
        </w:tc>
      </w:tr>
      <w:tr w:rsidR="008B77B6" w:rsidRPr="009239F8" w14:paraId="68AF51A5" w14:textId="77777777" w:rsidTr="008B77B6">
        <w:trPr>
          <w:trHeight w:val="228"/>
          <w:tblHeader/>
        </w:trPr>
        <w:tc>
          <w:tcPr>
            <w:tcW w:w="851" w:type="dxa"/>
            <w:vAlign w:val="center"/>
          </w:tcPr>
          <w:p w14:paraId="2E995B96" w14:textId="77777777" w:rsidR="008B77B6" w:rsidRPr="009239F8" w:rsidRDefault="008B77B6" w:rsidP="009A5B48">
            <w:pPr>
              <w:spacing w:line="480" w:lineRule="auto"/>
              <w:jc w:val="center"/>
              <w:rPr>
                <w:rFonts w:ascii="Times New Roman" w:hAnsi="Times New Roman" w:cs="Times New Roman"/>
                <w:i/>
                <w:iCs/>
                <w:lang w:val="en-US"/>
              </w:rPr>
            </w:pPr>
            <w:r w:rsidRPr="009239F8">
              <w:rPr>
                <w:rFonts w:ascii="Times New Roman" w:hAnsi="Times New Roman" w:cs="Times New Roman"/>
                <w:i/>
                <w:iCs/>
                <w:lang w:val="en-US"/>
              </w:rPr>
              <w:t>#2</w:t>
            </w:r>
          </w:p>
        </w:tc>
        <w:tc>
          <w:tcPr>
            <w:tcW w:w="850" w:type="dxa"/>
            <w:gridSpan w:val="2"/>
            <w:vAlign w:val="center"/>
          </w:tcPr>
          <w:p w14:paraId="4C5B6488"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64</w:t>
            </w:r>
          </w:p>
        </w:tc>
        <w:tc>
          <w:tcPr>
            <w:tcW w:w="1063" w:type="dxa"/>
            <w:vAlign w:val="center"/>
          </w:tcPr>
          <w:p w14:paraId="692C837B"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1.71 ± 0.98</w:t>
            </w:r>
          </w:p>
        </w:tc>
        <w:tc>
          <w:tcPr>
            <w:tcW w:w="1205" w:type="dxa"/>
            <w:vAlign w:val="center"/>
          </w:tcPr>
          <w:p w14:paraId="6BBCE9DC"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4.32 ± 5.73</w:t>
            </w:r>
          </w:p>
        </w:tc>
        <w:tc>
          <w:tcPr>
            <w:tcW w:w="1276" w:type="dxa"/>
            <w:tcBorders>
              <w:right w:val="single" w:sz="4" w:space="0" w:color="auto"/>
            </w:tcBorders>
            <w:vAlign w:val="center"/>
          </w:tcPr>
          <w:p w14:paraId="49649781"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9.95</w:t>
            </w:r>
          </w:p>
        </w:tc>
        <w:tc>
          <w:tcPr>
            <w:tcW w:w="1276" w:type="dxa"/>
            <w:tcBorders>
              <w:left w:val="single" w:sz="4" w:space="0" w:color="auto"/>
            </w:tcBorders>
            <w:vAlign w:val="center"/>
          </w:tcPr>
          <w:p w14:paraId="33150FFF"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3.54</w:t>
            </w:r>
          </w:p>
        </w:tc>
        <w:tc>
          <w:tcPr>
            <w:tcW w:w="1276" w:type="dxa"/>
            <w:vAlign w:val="center"/>
          </w:tcPr>
          <w:p w14:paraId="4A138533"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14.17</w:t>
            </w:r>
          </w:p>
        </w:tc>
        <w:tc>
          <w:tcPr>
            <w:tcW w:w="870" w:type="dxa"/>
            <w:vAlign w:val="center"/>
          </w:tcPr>
          <w:p w14:paraId="69E9CE04"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1.51</w:t>
            </w:r>
          </w:p>
        </w:tc>
        <w:tc>
          <w:tcPr>
            <w:tcW w:w="871" w:type="dxa"/>
            <w:vAlign w:val="center"/>
          </w:tcPr>
          <w:p w14:paraId="49915D26"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0.63</w:t>
            </w:r>
          </w:p>
        </w:tc>
      </w:tr>
      <w:tr w:rsidR="008B77B6" w:rsidRPr="009239F8" w14:paraId="5C196801" w14:textId="77777777" w:rsidTr="008B77B6">
        <w:trPr>
          <w:trHeight w:val="228"/>
          <w:tblHeader/>
        </w:trPr>
        <w:tc>
          <w:tcPr>
            <w:tcW w:w="851" w:type="dxa"/>
            <w:vAlign w:val="center"/>
          </w:tcPr>
          <w:p w14:paraId="28DC14CA" w14:textId="77777777" w:rsidR="008B77B6" w:rsidRPr="009239F8" w:rsidRDefault="008B77B6" w:rsidP="009A5B48">
            <w:pPr>
              <w:spacing w:line="480" w:lineRule="auto"/>
              <w:jc w:val="center"/>
              <w:rPr>
                <w:rFonts w:ascii="Times New Roman" w:hAnsi="Times New Roman" w:cs="Times New Roman"/>
                <w:i/>
                <w:iCs/>
                <w:lang w:val="en-US"/>
              </w:rPr>
            </w:pPr>
            <w:r w:rsidRPr="009239F8">
              <w:rPr>
                <w:rFonts w:ascii="Times New Roman" w:hAnsi="Times New Roman" w:cs="Times New Roman"/>
                <w:i/>
                <w:iCs/>
                <w:lang w:val="en-US"/>
              </w:rPr>
              <w:t>#3</w:t>
            </w:r>
          </w:p>
        </w:tc>
        <w:tc>
          <w:tcPr>
            <w:tcW w:w="850" w:type="dxa"/>
            <w:gridSpan w:val="2"/>
            <w:vAlign w:val="center"/>
          </w:tcPr>
          <w:p w14:paraId="1E1647CD"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14</w:t>
            </w:r>
          </w:p>
        </w:tc>
        <w:tc>
          <w:tcPr>
            <w:tcW w:w="1063" w:type="dxa"/>
            <w:vAlign w:val="center"/>
          </w:tcPr>
          <w:p w14:paraId="57CD42B6"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6.84 ± 4.70</w:t>
            </w:r>
          </w:p>
        </w:tc>
        <w:tc>
          <w:tcPr>
            <w:tcW w:w="1205" w:type="dxa"/>
            <w:vAlign w:val="center"/>
          </w:tcPr>
          <w:p w14:paraId="788525A4"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33.99 ± 21.69</w:t>
            </w:r>
          </w:p>
        </w:tc>
        <w:tc>
          <w:tcPr>
            <w:tcW w:w="1276" w:type="dxa"/>
            <w:tcBorders>
              <w:right w:val="single" w:sz="4" w:space="0" w:color="auto"/>
            </w:tcBorders>
            <w:vAlign w:val="center"/>
          </w:tcPr>
          <w:p w14:paraId="27020981"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10.11</w:t>
            </w:r>
          </w:p>
        </w:tc>
        <w:tc>
          <w:tcPr>
            <w:tcW w:w="1276" w:type="dxa"/>
            <w:tcBorders>
              <w:left w:val="single" w:sz="4" w:space="0" w:color="auto"/>
            </w:tcBorders>
            <w:vAlign w:val="center"/>
          </w:tcPr>
          <w:p w14:paraId="14335655"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26.35</w:t>
            </w:r>
          </w:p>
        </w:tc>
        <w:tc>
          <w:tcPr>
            <w:tcW w:w="1276" w:type="dxa"/>
            <w:vAlign w:val="center"/>
          </w:tcPr>
          <w:p w14:paraId="1083C4C3"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26.23</w:t>
            </w:r>
          </w:p>
        </w:tc>
        <w:tc>
          <w:tcPr>
            <w:tcW w:w="870" w:type="dxa"/>
            <w:vAlign w:val="center"/>
          </w:tcPr>
          <w:p w14:paraId="2A202410"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1.57</w:t>
            </w:r>
          </w:p>
        </w:tc>
        <w:tc>
          <w:tcPr>
            <w:tcW w:w="871" w:type="dxa"/>
            <w:vAlign w:val="center"/>
          </w:tcPr>
          <w:p w14:paraId="2E144EA2"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0.34</w:t>
            </w:r>
          </w:p>
        </w:tc>
      </w:tr>
      <w:tr w:rsidR="008B77B6" w:rsidRPr="009239F8" w14:paraId="09FD9369" w14:textId="77777777" w:rsidTr="008B77B6">
        <w:trPr>
          <w:trHeight w:val="228"/>
          <w:tblHeader/>
        </w:trPr>
        <w:tc>
          <w:tcPr>
            <w:tcW w:w="851" w:type="dxa"/>
            <w:vAlign w:val="center"/>
          </w:tcPr>
          <w:p w14:paraId="55B7CF52" w14:textId="77777777" w:rsidR="008B77B6" w:rsidRPr="009239F8" w:rsidRDefault="008B77B6" w:rsidP="009A5B48">
            <w:pPr>
              <w:spacing w:line="480" w:lineRule="auto"/>
              <w:jc w:val="center"/>
              <w:rPr>
                <w:rFonts w:ascii="Times New Roman" w:hAnsi="Times New Roman" w:cs="Times New Roman"/>
                <w:i/>
                <w:iCs/>
                <w:lang w:val="en-US"/>
              </w:rPr>
            </w:pPr>
            <w:r w:rsidRPr="009239F8">
              <w:rPr>
                <w:rFonts w:ascii="Times New Roman" w:hAnsi="Times New Roman" w:cs="Times New Roman"/>
                <w:i/>
                <w:iCs/>
                <w:lang w:val="en-US"/>
              </w:rPr>
              <w:t>#4</w:t>
            </w:r>
          </w:p>
        </w:tc>
        <w:tc>
          <w:tcPr>
            <w:tcW w:w="850" w:type="dxa"/>
            <w:gridSpan w:val="2"/>
            <w:vAlign w:val="center"/>
          </w:tcPr>
          <w:p w14:paraId="07995848"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88</w:t>
            </w:r>
          </w:p>
        </w:tc>
        <w:tc>
          <w:tcPr>
            <w:tcW w:w="1063" w:type="dxa"/>
            <w:vAlign w:val="center"/>
          </w:tcPr>
          <w:p w14:paraId="20DC6D51"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1.72 ± 1.11</w:t>
            </w:r>
          </w:p>
        </w:tc>
        <w:tc>
          <w:tcPr>
            <w:tcW w:w="1205" w:type="dxa"/>
            <w:vAlign w:val="center"/>
          </w:tcPr>
          <w:p w14:paraId="435A87E1"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4.42 ± 5.72</w:t>
            </w:r>
          </w:p>
        </w:tc>
        <w:tc>
          <w:tcPr>
            <w:tcW w:w="1276" w:type="dxa"/>
            <w:tcBorders>
              <w:right w:val="single" w:sz="4" w:space="0" w:color="auto"/>
            </w:tcBorders>
            <w:vAlign w:val="center"/>
          </w:tcPr>
          <w:p w14:paraId="031B9936"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10.61</w:t>
            </w:r>
          </w:p>
        </w:tc>
        <w:tc>
          <w:tcPr>
            <w:tcW w:w="1276" w:type="dxa"/>
            <w:tcBorders>
              <w:left w:val="single" w:sz="4" w:space="0" w:color="auto"/>
            </w:tcBorders>
            <w:vAlign w:val="center"/>
          </w:tcPr>
          <w:p w14:paraId="54D15142"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3.86</w:t>
            </w:r>
          </w:p>
        </w:tc>
        <w:tc>
          <w:tcPr>
            <w:tcW w:w="1276" w:type="dxa"/>
            <w:vAlign w:val="center"/>
          </w:tcPr>
          <w:p w14:paraId="7D2723FF"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16.60</w:t>
            </w:r>
          </w:p>
        </w:tc>
        <w:tc>
          <w:tcPr>
            <w:tcW w:w="870" w:type="dxa"/>
            <w:vAlign w:val="center"/>
          </w:tcPr>
          <w:p w14:paraId="619CE85E"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1.29</w:t>
            </w:r>
          </w:p>
        </w:tc>
        <w:tc>
          <w:tcPr>
            <w:tcW w:w="871" w:type="dxa"/>
            <w:vAlign w:val="center"/>
          </w:tcPr>
          <w:p w14:paraId="5B8B4C5E"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0.64</w:t>
            </w:r>
          </w:p>
        </w:tc>
      </w:tr>
      <w:tr w:rsidR="008B77B6" w:rsidRPr="009239F8" w14:paraId="439C07F5" w14:textId="77777777" w:rsidTr="008B77B6">
        <w:trPr>
          <w:trHeight w:val="228"/>
          <w:tblHeader/>
        </w:trPr>
        <w:tc>
          <w:tcPr>
            <w:tcW w:w="851" w:type="dxa"/>
            <w:vAlign w:val="center"/>
          </w:tcPr>
          <w:p w14:paraId="600CCDC7" w14:textId="77777777" w:rsidR="008B77B6" w:rsidRPr="009239F8" w:rsidRDefault="008B77B6" w:rsidP="009A5B48">
            <w:pPr>
              <w:spacing w:line="480" w:lineRule="auto"/>
              <w:jc w:val="center"/>
              <w:rPr>
                <w:rFonts w:ascii="Times New Roman" w:hAnsi="Times New Roman" w:cs="Times New Roman"/>
                <w:i/>
                <w:iCs/>
                <w:lang w:val="en-US"/>
              </w:rPr>
            </w:pPr>
            <w:r w:rsidRPr="009239F8">
              <w:rPr>
                <w:rFonts w:ascii="Times New Roman" w:hAnsi="Times New Roman" w:cs="Times New Roman"/>
                <w:i/>
                <w:iCs/>
                <w:lang w:val="en-US"/>
              </w:rPr>
              <w:t>#5</w:t>
            </w:r>
          </w:p>
        </w:tc>
        <w:tc>
          <w:tcPr>
            <w:tcW w:w="850" w:type="dxa"/>
            <w:gridSpan w:val="2"/>
            <w:vAlign w:val="center"/>
          </w:tcPr>
          <w:p w14:paraId="663F32B1"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w:t>
            </w:r>
          </w:p>
        </w:tc>
        <w:tc>
          <w:tcPr>
            <w:tcW w:w="1063" w:type="dxa"/>
            <w:vAlign w:val="center"/>
          </w:tcPr>
          <w:p w14:paraId="2188A39E"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4.79 ± 5.53</w:t>
            </w:r>
          </w:p>
        </w:tc>
        <w:tc>
          <w:tcPr>
            <w:tcW w:w="1205" w:type="dxa"/>
            <w:vAlign w:val="center"/>
          </w:tcPr>
          <w:p w14:paraId="11F9ACC8"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23.20 ± 12.29</w:t>
            </w:r>
          </w:p>
        </w:tc>
        <w:tc>
          <w:tcPr>
            <w:tcW w:w="1276" w:type="dxa"/>
            <w:tcBorders>
              <w:right w:val="single" w:sz="4" w:space="0" w:color="auto"/>
            </w:tcBorders>
            <w:vAlign w:val="center"/>
          </w:tcPr>
          <w:p w14:paraId="326639F7"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7.41</w:t>
            </w:r>
          </w:p>
        </w:tc>
        <w:tc>
          <w:tcPr>
            <w:tcW w:w="1276" w:type="dxa"/>
            <w:tcBorders>
              <w:left w:val="single" w:sz="4" w:space="0" w:color="auto"/>
            </w:tcBorders>
            <w:vAlign w:val="center"/>
          </w:tcPr>
          <w:p w14:paraId="16CA933F"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16.81</w:t>
            </w:r>
          </w:p>
        </w:tc>
        <w:tc>
          <w:tcPr>
            <w:tcW w:w="1276" w:type="dxa"/>
            <w:vAlign w:val="center"/>
          </w:tcPr>
          <w:p w14:paraId="747F9B8B"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15.14</w:t>
            </w:r>
          </w:p>
        </w:tc>
        <w:tc>
          <w:tcPr>
            <w:tcW w:w="870" w:type="dxa"/>
            <w:vAlign w:val="center"/>
          </w:tcPr>
          <w:p w14:paraId="5E7F2485"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1.56</w:t>
            </w:r>
          </w:p>
        </w:tc>
        <w:tc>
          <w:tcPr>
            <w:tcW w:w="871" w:type="dxa"/>
            <w:vAlign w:val="center"/>
          </w:tcPr>
          <w:p w14:paraId="4EA8FA6D"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0.55</w:t>
            </w:r>
          </w:p>
        </w:tc>
      </w:tr>
      <w:tr w:rsidR="008B77B6" w:rsidRPr="009239F8" w14:paraId="69F07162" w14:textId="77777777" w:rsidTr="008B77B6">
        <w:trPr>
          <w:trHeight w:val="228"/>
          <w:tblHeader/>
        </w:trPr>
        <w:tc>
          <w:tcPr>
            <w:tcW w:w="851" w:type="dxa"/>
            <w:tcBorders>
              <w:bottom w:val="single" w:sz="4" w:space="0" w:color="auto"/>
            </w:tcBorders>
            <w:vAlign w:val="center"/>
          </w:tcPr>
          <w:p w14:paraId="53EA0C1B" w14:textId="77777777" w:rsidR="008B77B6" w:rsidRPr="009239F8" w:rsidRDefault="008B77B6" w:rsidP="009A5B48">
            <w:pPr>
              <w:spacing w:line="480" w:lineRule="auto"/>
              <w:jc w:val="center"/>
              <w:rPr>
                <w:rFonts w:ascii="Times New Roman" w:hAnsi="Times New Roman" w:cs="Times New Roman"/>
                <w:i/>
                <w:iCs/>
                <w:lang w:val="en-US"/>
              </w:rPr>
            </w:pPr>
            <w:r w:rsidRPr="009239F8">
              <w:rPr>
                <w:rFonts w:ascii="Times New Roman" w:hAnsi="Times New Roman" w:cs="Times New Roman"/>
                <w:i/>
                <w:iCs/>
                <w:lang w:val="en-US"/>
              </w:rPr>
              <w:t>#6</w:t>
            </w:r>
          </w:p>
        </w:tc>
        <w:tc>
          <w:tcPr>
            <w:tcW w:w="850" w:type="dxa"/>
            <w:gridSpan w:val="2"/>
            <w:tcBorders>
              <w:bottom w:val="single" w:sz="4" w:space="0" w:color="auto"/>
            </w:tcBorders>
            <w:vAlign w:val="center"/>
          </w:tcPr>
          <w:p w14:paraId="54DF5A4C"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11</w:t>
            </w:r>
          </w:p>
        </w:tc>
        <w:tc>
          <w:tcPr>
            <w:tcW w:w="1063" w:type="dxa"/>
            <w:tcBorders>
              <w:bottom w:val="single" w:sz="4" w:space="0" w:color="auto"/>
            </w:tcBorders>
            <w:vAlign w:val="center"/>
          </w:tcPr>
          <w:p w14:paraId="1798046E"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1.41 ± 0.81</w:t>
            </w:r>
          </w:p>
        </w:tc>
        <w:tc>
          <w:tcPr>
            <w:tcW w:w="1205" w:type="dxa"/>
            <w:tcBorders>
              <w:bottom w:val="single" w:sz="4" w:space="0" w:color="auto"/>
            </w:tcBorders>
            <w:vAlign w:val="center"/>
          </w:tcPr>
          <w:p w14:paraId="3DEEBC3D" w14:textId="746D6AA5"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w:t>
            </w:r>
            <w:r w:rsidR="00EB35A3" w:rsidRPr="009239F8">
              <w:rPr>
                <w:rFonts w:ascii="Times New Roman" w:hAnsi="Times New Roman" w:cs="Times New Roman"/>
                <w:lang w:val="en-US"/>
              </w:rPr>
              <w:t>71</w:t>
            </w:r>
            <w:r w:rsidRPr="009239F8">
              <w:rPr>
                <w:rFonts w:ascii="Times New Roman" w:hAnsi="Times New Roman" w:cs="Times New Roman"/>
                <w:lang w:val="en-US"/>
              </w:rPr>
              <w:t xml:space="preserve"> ± 8.11</w:t>
            </w:r>
          </w:p>
        </w:tc>
        <w:tc>
          <w:tcPr>
            <w:tcW w:w="1276" w:type="dxa"/>
            <w:tcBorders>
              <w:bottom w:val="single" w:sz="4" w:space="0" w:color="auto"/>
              <w:right w:val="single" w:sz="4" w:space="0" w:color="auto"/>
            </w:tcBorders>
            <w:vAlign w:val="center"/>
          </w:tcPr>
          <w:p w14:paraId="0AB8468E"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8.69</w:t>
            </w:r>
          </w:p>
        </w:tc>
        <w:tc>
          <w:tcPr>
            <w:tcW w:w="1276" w:type="dxa"/>
            <w:tcBorders>
              <w:left w:val="single" w:sz="4" w:space="0" w:color="auto"/>
              <w:bottom w:val="single" w:sz="4" w:space="0" w:color="auto"/>
            </w:tcBorders>
            <w:vAlign w:val="center"/>
          </w:tcPr>
          <w:p w14:paraId="5A77799F"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7.81</w:t>
            </w:r>
          </w:p>
        </w:tc>
        <w:tc>
          <w:tcPr>
            <w:tcW w:w="1276" w:type="dxa"/>
            <w:tcBorders>
              <w:bottom w:val="single" w:sz="4" w:space="0" w:color="auto"/>
            </w:tcBorders>
            <w:vAlign w:val="center"/>
          </w:tcPr>
          <w:p w14:paraId="34819FE8"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8.36</w:t>
            </w:r>
          </w:p>
        </w:tc>
        <w:tc>
          <w:tcPr>
            <w:tcW w:w="870" w:type="dxa"/>
            <w:tcBorders>
              <w:bottom w:val="single" w:sz="4" w:space="0" w:color="auto"/>
            </w:tcBorders>
            <w:vAlign w:val="center"/>
          </w:tcPr>
          <w:p w14:paraId="6BE04445"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1.06</w:t>
            </w:r>
          </w:p>
        </w:tc>
        <w:tc>
          <w:tcPr>
            <w:tcW w:w="871" w:type="dxa"/>
            <w:tcBorders>
              <w:bottom w:val="single" w:sz="4" w:space="0" w:color="auto"/>
            </w:tcBorders>
            <w:vAlign w:val="center"/>
          </w:tcPr>
          <w:p w14:paraId="15A805BA"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0.33</w:t>
            </w:r>
          </w:p>
        </w:tc>
      </w:tr>
      <w:tr w:rsidR="008B77B6" w:rsidRPr="009239F8" w14:paraId="18946EA3" w14:textId="77777777" w:rsidTr="008B77B6">
        <w:trPr>
          <w:trHeight w:val="417"/>
          <w:tblHeader/>
        </w:trPr>
        <w:tc>
          <w:tcPr>
            <w:tcW w:w="851" w:type="dxa"/>
            <w:tcBorders>
              <w:top w:val="single" w:sz="4" w:space="0" w:color="auto"/>
              <w:bottom w:val="single" w:sz="4" w:space="0" w:color="auto"/>
            </w:tcBorders>
            <w:vAlign w:val="center"/>
          </w:tcPr>
          <w:p w14:paraId="483A9B03" w14:textId="77777777" w:rsidR="008B77B6" w:rsidRPr="009239F8" w:rsidRDefault="008B77B6" w:rsidP="009A5B48">
            <w:pPr>
              <w:spacing w:line="480" w:lineRule="auto"/>
              <w:jc w:val="center"/>
              <w:rPr>
                <w:rFonts w:ascii="Times New Roman" w:hAnsi="Times New Roman" w:cs="Times New Roman"/>
                <w:b/>
                <w:i/>
                <w:lang w:val="en-US"/>
              </w:rPr>
            </w:pPr>
            <w:r w:rsidRPr="009239F8">
              <w:rPr>
                <w:rFonts w:ascii="Times New Roman" w:hAnsi="Times New Roman" w:cs="Times New Roman"/>
                <w:b/>
                <w:i/>
                <w:lang w:val="en-US"/>
              </w:rPr>
              <w:t>Mean</w:t>
            </w:r>
          </w:p>
        </w:tc>
        <w:tc>
          <w:tcPr>
            <w:tcW w:w="850" w:type="dxa"/>
            <w:gridSpan w:val="2"/>
            <w:tcBorders>
              <w:top w:val="single" w:sz="4" w:space="0" w:color="auto"/>
              <w:bottom w:val="single" w:sz="4" w:space="0" w:color="auto"/>
            </w:tcBorders>
            <w:vAlign w:val="center"/>
          </w:tcPr>
          <w:p w14:paraId="0B5996D6"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31.50 ± 35.48</w:t>
            </w:r>
          </w:p>
        </w:tc>
        <w:tc>
          <w:tcPr>
            <w:tcW w:w="1063" w:type="dxa"/>
            <w:tcBorders>
              <w:top w:val="single" w:sz="4" w:space="0" w:color="auto"/>
              <w:bottom w:val="single" w:sz="4" w:space="0" w:color="auto"/>
            </w:tcBorders>
            <w:vAlign w:val="center"/>
          </w:tcPr>
          <w:p w14:paraId="06FC53EE"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3.80 ± 2.49</w:t>
            </w:r>
          </w:p>
        </w:tc>
        <w:tc>
          <w:tcPr>
            <w:tcW w:w="1205" w:type="dxa"/>
            <w:tcBorders>
              <w:top w:val="single" w:sz="4" w:space="0" w:color="auto"/>
              <w:bottom w:val="single" w:sz="4" w:space="0" w:color="auto"/>
            </w:tcBorders>
            <w:vAlign w:val="center"/>
          </w:tcPr>
          <w:p w14:paraId="192C902E"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17.20 ± 13.03</w:t>
            </w:r>
          </w:p>
        </w:tc>
        <w:tc>
          <w:tcPr>
            <w:tcW w:w="1276" w:type="dxa"/>
            <w:tcBorders>
              <w:top w:val="single" w:sz="4" w:space="0" w:color="auto"/>
              <w:bottom w:val="single" w:sz="4" w:space="0" w:color="auto"/>
              <w:right w:val="single" w:sz="4" w:space="0" w:color="auto"/>
            </w:tcBorders>
            <w:vAlign w:val="center"/>
          </w:tcPr>
          <w:p w14:paraId="5DA3E975"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9.24 ± 1.19</w:t>
            </w:r>
          </w:p>
        </w:tc>
        <w:tc>
          <w:tcPr>
            <w:tcW w:w="1276" w:type="dxa"/>
            <w:tcBorders>
              <w:top w:val="single" w:sz="4" w:space="0" w:color="auto"/>
              <w:left w:val="single" w:sz="4" w:space="0" w:color="auto"/>
              <w:bottom w:val="single" w:sz="4" w:space="0" w:color="auto"/>
            </w:tcBorders>
            <w:vAlign w:val="center"/>
          </w:tcPr>
          <w:p w14:paraId="744028E8"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13.35 ± 9.67</w:t>
            </w:r>
          </w:p>
        </w:tc>
        <w:tc>
          <w:tcPr>
            <w:tcW w:w="1276" w:type="dxa"/>
            <w:tcBorders>
              <w:top w:val="single" w:sz="4" w:space="0" w:color="auto"/>
              <w:bottom w:val="single" w:sz="4" w:space="0" w:color="auto"/>
            </w:tcBorders>
            <w:vAlign w:val="center"/>
          </w:tcPr>
          <w:p w14:paraId="5C6E52B4"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16.99 ± 6.18</w:t>
            </w:r>
          </w:p>
        </w:tc>
        <w:tc>
          <w:tcPr>
            <w:tcW w:w="870" w:type="dxa"/>
            <w:tcBorders>
              <w:top w:val="single" w:sz="4" w:space="0" w:color="auto"/>
              <w:bottom w:val="single" w:sz="4" w:space="0" w:color="auto"/>
            </w:tcBorders>
            <w:vAlign w:val="center"/>
          </w:tcPr>
          <w:p w14:paraId="0F679823"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1.41 ± 0.20</w:t>
            </w:r>
          </w:p>
        </w:tc>
        <w:tc>
          <w:tcPr>
            <w:tcW w:w="871" w:type="dxa"/>
            <w:tcBorders>
              <w:top w:val="single" w:sz="4" w:space="0" w:color="auto"/>
              <w:bottom w:val="single" w:sz="4" w:space="0" w:color="auto"/>
            </w:tcBorders>
            <w:vAlign w:val="center"/>
          </w:tcPr>
          <w:p w14:paraId="14443AE7" w14:textId="77777777" w:rsidR="008B77B6" w:rsidRPr="009239F8" w:rsidRDefault="008B77B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0.47 ± 0.16</w:t>
            </w:r>
          </w:p>
        </w:tc>
      </w:tr>
    </w:tbl>
    <w:p w14:paraId="0A67F1B8" w14:textId="77777777" w:rsidR="00B77A11" w:rsidRPr="009239F8" w:rsidRDefault="00B77A11" w:rsidP="009A5B48">
      <w:pPr>
        <w:pStyle w:val="Caption"/>
        <w:keepNext/>
        <w:spacing w:line="480" w:lineRule="auto"/>
        <w:jc w:val="both"/>
        <w:rPr>
          <w:rFonts w:ascii="Times New Roman" w:hAnsi="Times New Roman" w:cs="Times New Roman"/>
          <w:i w:val="0"/>
          <w:iCs w:val="0"/>
          <w:color w:val="auto"/>
          <w:sz w:val="22"/>
          <w:szCs w:val="22"/>
          <w:lang w:val="en-US"/>
        </w:rPr>
      </w:pPr>
    </w:p>
    <w:p w14:paraId="0702A2EF" w14:textId="6674B3D3" w:rsidR="00AC2D02" w:rsidRPr="009239F8" w:rsidRDefault="00F64969"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Epicardial activation reconstruction yielded coherent wavefront patterns for both activation strategies. Durrer-based sequences showed markedly higher epicardial AT-RMSE than Purkinje-based cases (21.</w:t>
      </w:r>
      <w:r w:rsidR="009B6219" w:rsidRPr="009239F8">
        <w:rPr>
          <w:rFonts w:ascii="Times New Roman" w:hAnsi="Times New Roman" w:cs="Times New Roman"/>
          <w:lang w:val="en-US"/>
        </w:rPr>
        <w:t>62</w:t>
      </w:r>
      <w:r w:rsidRPr="009239F8">
        <w:rPr>
          <w:rFonts w:ascii="Times New Roman" w:hAnsi="Times New Roman" w:cs="Times New Roman"/>
          <w:lang w:val="en-US"/>
        </w:rPr>
        <w:t xml:space="preserve"> ± </w:t>
      </w:r>
      <w:r w:rsidR="004F7357" w:rsidRPr="009239F8">
        <w:rPr>
          <w:rFonts w:ascii="Times New Roman" w:hAnsi="Times New Roman" w:cs="Times New Roman"/>
          <w:lang w:val="en-US"/>
        </w:rPr>
        <w:t>4.77</w:t>
      </w:r>
      <w:r w:rsidRPr="009239F8">
        <w:rPr>
          <w:rFonts w:ascii="Times New Roman" w:hAnsi="Times New Roman" w:cs="Times New Roman"/>
          <w:lang w:val="en-US"/>
        </w:rPr>
        <w:t xml:space="preserve"> ms vs. 5.07 ± 2.38 ms, respectively;</w:t>
      </w:r>
      <w:r w:rsidRPr="009239F8">
        <w:rPr>
          <w:rFonts w:ascii="Times New Roman" w:hAnsi="Times New Roman" w:cs="Times New Roman"/>
          <w:b/>
          <w:bCs/>
          <w:i/>
          <w:iCs/>
          <w:lang w:val="en-US"/>
        </w:rPr>
        <w:t xml:space="preserve"> </w:t>
      </w:r>
      <w:r w:rsidRPr="009239F8">
        <w:rPr>
          <w:rFonts w:ascii="Times New Roman" w:hAnsi="Times New Roman" w:cs="Times New Roman"/>
          <w:b/>
          <w:bCs/>
          <w:i/>
          <w:iCs/>
          <w:lang w:val="en-US"/>
        </w:rPr>
        <w:fldChar w:fldCharType="begin"/>
      </w:r>
      <w:r w:rsidRPr="009239F8">
        <w:rPr>
          <w:rFonts w:ascii="Times New Roman" w:hAnsi="Times New Roman" w:cs="Times New Roman"/>
          <w:b/>
          <w:lang w:val="en-US"/>
        </w:rPr>
        <w:instrText xml:space="preserve"> REF _Ref230191791 \h </w:instrText>
      </w:r>
      <w:r w:rsidRPr="009239F8">
        <w:rPr>
          <w:rFonts w:ascii="Times New Roman" w:hAnsi="Times New Roman" w:cs="Times New Roman"/>
          <w:b/>
          <w:bCs/>
          <w:lang w:val="en-US"/>
        </w:rPr>
        <w:instrText xml:space="preserve"> \* MERGEFORMAT </w:instrText>
      </w:r>
      <w:r w:rsidRPr="009239F8">
        <w:rPr>
          <w:rFonts w:ascii="Times New Roman" w:hAnsi="Times New Roman" w:cs="Times New Roman"/>
          <w:b/>
          <w:bCs/>
          <w:i/>
          <w:iCs/>
          <w:lang w:val="en-US"/>
        </w:rPr>
      </w:r>
      <w:r w:rsidRPr="009239F8">
        <w:rPr>
          <w:rFonts w:ascii="Times New Roman" w:hAnsi="Times New Roman" w:cs="Times New Roman"/>
          <w:b/>
          <w:bCs/>
          <w:i/>
          <w:iCs/>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bCs/>
          <w:noProof/>
          <w:lang w:val="en-US"/>
        </w:rPr>
        <w:t>1</w:t>
      </w:r>
      <w:r w:rsidRPr="009239F8">
        <w:rPr>
          <w:rFonts w:ascii="Times New Roman" w:hAnsi="Times New Roman" w:cs="Times New Roman"/>
          <w:b/>
          <w:bCs/>
          <w:i/>
          <w:iCs/>
          <w:lang w:val="en-US"/>
        </w:rPr>
        <w:fldChar w:fldCharType="end"/>
      </w:r>
      <w:r w:rsidRPr="009239F8">
        <w:rPr>
          <w:rFonts w:ascii="Times New Roman" w:hAnsi="Times New Roman" w:cs="Times New Roman"/>
          <w:b/>
          <w:bCs/>
          <w:lang w:val="en-US"/>
        </w:rPr>
        <w:t>)</w:t>
      </w:r>
      <w:r w:rsidRPr="009239F8">
        <w:rPr>
          <w:rFonts w:ascii="Times New Roman" w:hAnsi="Times New Roman" w:cs="Times New Roman"/>
          <w:lang w:val="en-US"/>
        </w:rPr>
        <w:t>.</w:t>
      </w:r>
      <w:r w:rsidR="00F647D8" w:rsidRPr="009239F8">
        <w:rPr>
          <w:rFonts w:ascii="Times New Roman" w:hAnsi="Times New Roman" w:cs="Times New Roman"/>
          <w:lang w:val="en-US"/>
        </w:rPr>
        <w:t xml:space="preserve"> The normalized Cumulative distribution functions (CDF</w:t>
      </w:r>
      <w:r w:rsidR="005C36DB" w:rsidRPr="009239F8">
        <w:rPr>
          <w:rFonts w:ascii="Times New Roman" w:hAnsi="Times New Roman" w:cs="Times New Roman"/>
          <w:lang w:val="en-US"/>
        </w:rPr>
        <w:t>s) (</w:t>
      </w:r>
      <w:r w:rsidR="005C36DB" w:rsidRPr="009239F8">
        <w:rPr>
          <w:rFonts w:ascii="Times New Roman" w:hAnsi="Times New Roman" w:cs="Times New Roman"/>
          <w:b/>
          <w:lang w:val="en-US"/>
        </w:rPr>
        <w:fldChar w:fldCharType="begin"/>
      </w:r>
      <w:r w:rsidR="005C36DB" w:rsidRPr="009239F8">
        <w:rPr>
          <w:rFonts w:ascii="Times New Roman" w:hAnsi="Times New Roman" w:cs="Times New Roman"/>
          <w:b/>
          <w:bCs/>
          <w:lang w:val="en-US"/>
        </w:rPr>
        <w:instrText xml:space="preserve"> REF _Ref231916769 \h  \* MERGEFORMAT </w:instrText>
      </w:r>
      <w:r w:rsidR="005C36DB" w:rsidRPr="009239F8">
        <w:rPr>
          <w:rFonts w:ascii="Times New Roman" w:hAnsi="Times New Roman" w:cs="Times New Roman"/>
          <w:b/>
          <w:lang w:val="en-US"/>
        </w:rPr>
      </w:r>
      <w:r w:rsidR="005C36DB" w:rsidRPr="009239F8">
        <w:rPr>
          <w:rFonts w:ascii="Times New Roman" w:hAnsi="Times New Roman" w:cs="Times New Roman"/>
          <w:b/>
          <w:lang w:val="en-US"/>
        </w:rPr>
        <w:fldChar w:fldCharType="separate"/>
      </w:r>
      <w:r w:rsidR="00890076" w:rsidRPr="009239F8">
        <w:rPr>
          <w:rFonts w:ascii="Times New Roman" w:hAnsi="Times New Roman" w:cs="Times New Roman"/>
          <w:b/>
          <w:lang w:val="en-US"/>
        </w:rPr>
        <w:t>Figure S 2</w:t>
      </w:r>
      <w:r w:rsidR="005C36DB" w:rsidRPr="009239F8">
        <w:rPr>
          <w:rFonts w:ascii="Times New Roman" w:hAnsi="Times New Roman" w:cs="Times New Roman"/>
          <w:b/>
          <w:lang w:val="en-US"/>
        </w:rPr>
        <w:fldChar w:fldCharType="end"/>
      </w:r>
      <w:r w:rsidR="005C36DB" w:rsidRPr="009239F8">
        <w:rPr>
          <w:rFonts w:ascii="Times New Roman" w:hAnsi="Times New Roman" w:cs="Times New Roman"/>
          <w:b/>
          <w:lang w:val="en-US"/>
        </w:rPr>
        <w:t>a</w:t>
      </w:r>
      <w:r w:rsidR="005C36DB" w:rsidRPr="009239F8">
        <w:rPr>
          <w:rFonts w:ascii="Times New Roman" w:hAnsi="Times New Roman" w:cs="Times New Roman"/>
          <w:lang w:val="en-US"/>
        </w:rPr>
        <w:t>)</w:t>
      </w:r>
      <w:r w:rsidR="00F647D8" w:rsidRPr="009239F8">
        <w:rPr>
          <w:rFonts w:ascii="Times New Roman" w:hAnsi="Times New Roman" w:cs="Times New Roman"/>
          <w:lang w:val="en-US"/>
        </w:rPr>
        <w:t xml:space="preserve"> reflected these activation-dependent patterns: in Durrer-based tests, simulated activation progressed more slowly than ground truth across the epicardium, whereas Purkinje-based tests showed close overlap between ground-truth and simulated curves, with the exception of test #6, where ground-truth activation was clearly faster than estimated. Spatially, errors predominantly accumulated at basal regions</w:t>
      </w:r>
      <w:r w:rsidRPr="009239F8">
        <w:rPr>
          <w:rFonts w:ascii="Times New Roman" w:hAnsi="Times New Roman" w:cs="Times New Roman"/>
          <w:b/>
          <w:bCs/>
          <w:lang w:val="en-US"/>
        </w:rPr>
        <w:t xml:space="preserve"> </w:t>
      </w:r>
      <w:r w:rsidR="005C36DB" w:rsidRPr="009239F8">
        <w:rPr>
          <w:rFonts w:ascii="Times New Roman" w:hAnsi="Times New Roman" w:cs="Times New Roman"/>
          <w:lang w:val="en-US"/>
        </w:rPr>
        <w:t>(</w:t>
      </w:r>
      <w:r w:rsidR="005C36DB" w:rsidRPr="009239F8">
        <w:rPr>
          <w:rFonts w:ascii="Times New Roman" w:hAnsi="Times New Roman" w:cs="Times New Roman"/>
          <w:b/>
          <w:lang w:val="en-US"/>
        </w:rPr>
        <w:fldChar w:fldCharType="begin"/>
      </w:r>
      <w:r w:rsidR="005C36DB" w:rsidRPr="009239F8">
        <w:rPr>
          <w:rFonts w:ascii="Times New Roman" w:hAnsi="Times New Roman" w:cs="Times New Roman"/>
          <w:b/>
          <w:bCs/>
          <w:lang w:val="en-US"/>
        </w:rPr>
        <w:instrText xml:space="preserve"> REF _Ref231916769 \h  \* MERGEFORMAT </w:instrText>
      </w:r>
      <w:r w:rsidR="005C36DB" w:rsidRPr="009239F8">
        <w:rPr>
          <w:rFonts w:ascii="Times New Roman" w:hAnsi="Times New Roman" w:cs="Times New Roman"/>
          <w:b/>
          <w:lang w:val="en-US"/>
        </w:rPr>
      </w:r>
      <w:r w:rsidR="005C36DB" w:rsidRPr="009239F8">
        <w:rPr>
          <w:rFonts w:ascii="Times New Roman" w:hAnsi="Times New Roman" w:cs="Times New Roman"/>
          <w:b/>
          <w:lang w:val="en-US"/>
        </w:rPr>
        <w:fldChar w:fldCharType="separate"/>
      </w:r>
      <w:r w:rsidR="00890076" w:rsidRPr="009239F8">
        <w:rPr>
          <w:rFonts w:ascii="Times New Roman" w:hAnsi="Times New Roman" w:cs="Times New Roman"/>
          <w:b/>
          <w:lang w:val="en-US"/>
        </w:rPr>
        <w:t>Figure S 2</w:t>
      </w:r>
      <w:r w:rsidR="005C36DB" w:rsidRPr="009239F8">
        <w:rPr>
          <w:rFonts w:ascii="Times New Roman" w:hAnsi="Times New Roman" w:cs="Times New Roman"/>
          <w:b/>
          <w:lang w:val="en-US"/>
        </w:rPr>
        <w:fldChar w:fldCharType="end"/>
      </w:r>
      <w:r w:rsidR="005C36DB" w:rsidRPr="009239F8">
        <w:rPr>
          <w:rFonts w:ascii="Times New Roman" w:hAnsi="Times New Roman" w:cs="Times New Roman"/>
          <w:b/>
          <w:lang w:val="en-US"/>
        </w:rPr>
        <w:t>b</w:t>
      </w:r>
      <w:r w:rsidR="005C36DB" w:rsidRPr="009239F8">
        <w:rPr>
          <w:rFonts w:ascii="Times New Roman" w:hAnsi="Times New Roman" w:cs="Times New Roman"/>
          <w:lang w:val="en-US"/>
        </w:rPr>
        <w:t>).</w:t>
      </w:r>
    </w:p>
    <w:p w14:paraId="35B76AC3" w14:textId="7F905A3F" w:rsidR="008F4983" w:rsidRPr="009239F8" w:rsidRDefault="008F4983"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Activation sequence properties were associated with differences in repolarization accuracy: Purkinje-based activation yielded lower RT-RMSE compared to Durrer-based sequences (13.04 ± 4.</w:t>
      </w:r>
      <w:r w:rsidR="00E34781" w:rsidRPr="009239F8">
        <w:rPr>
          <w:rFonts w:ascii="Times New Roman" w:hAnsi="Times New Roman" w:cs="Times New Roman"/>
          <w:lang w:val="en-US"/>
        </w:rPr>
        <w:t>24</w:t>
      </w:r>
      <w:r w:rsidRPr="009239F8">
        <w:rPr>
          <w:rFonts w:ascii="Times New Roman" w:hAnsi="Times New Roman" w:cs="Times New Roman"/>
          <w:lang w:val="en-US"/>
        </w:rPr>
        <w:t xml:space="preserve"> ms vs. 20.94 ± 5.56 ms, respectively), in agreement with their corresponding epicardial activation errors (</w:t>
      </w:r>
      <w:r w:rsidR="000A59A8" w:rsidRPr="009239F8">
        <w:rPr>
          <w:rFonts w:ascii="Times New Roman" w:hAnsi="Times New Roman" w:cs="Times New Roman"/>
          <w:b/>
          <w:bCs/>
          <w:i/>
          <w:iCs/>
          <w:lang w:val="en-US"/>
        </w:rPr>
        <w:fldChar w:fldCharType="begin"/>
      </w:r>
      <w:r w:rsidR="000A59A8" w:rsidRPr="009239F8">
        <w:rPr>
          <w:rFonts w:ascii="Times New Roman" w:hAnsi="Times New Roman" w:cs="Times New Roman"/>
          <w:b/>
          <w:lang w:val="en-US"/>
        </w:rPr>
        <w:instrText xml:space="preserve"> REF _Ref230191791 \h </w:instrText>
      </w:r>
      <w:r w:rsidR="000A59A8" w:rsidRPr="009239F8">
        <w:rPr>
          <w:rFonts w:ascii="Times New Roman" w:hAnsi="Times New Roman" w:cs="Times New Roman"/>
          <w:b/>
          <w:bCs/>
          <w:lang w:val="en-US"/>
        </w:rPr>
        <w:instrText xml:space="preserve"> \* MERGEFORMAT </w:instrText>
      </w:r>
      <w:r w:rsidR="000A59A8" w:rsidRPr="009239F8">
        <w:rPr>
          <w:rFonts w:ascii="Times New Roman" w:hAnsi="Times New Roman" w:cs="Times New Roman"/>
          <w:b/>
          <w:bCs/>
          <w:i/>
          <w:iCs/>
          <w:lang w:val="en-US"/>
        </w:rPr>
      </w:r>
      <w:r w:rsidR="000A59A8" w:rsidRPr="009239F8">
        <w:rPr>
          <w:rFonts w:ascii="Times New Roman" w:hAnsi="Times New Roman" w:cs="Times New Roman"/>
          <w:b/>
          <w:bCs/>
          <w:i/>
          <w:iCs/>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bCs/>
          <w:noProof/>
          <w:lang w:val="en-US"/>
        </w:rPr>
        <w:t>1</w:t>
      </w:r>
      <w:r w:rsidR="000A59A8" w:rsidRPr="009239F8">
        <w:rPr>
          <w:rFonts w:ascii="Times New Roman" w:hAnsi="Times New Roman" w:cs="Times New Roman"/>
          <w:b/>
          <w:bCs/>
          <w:i/>
          <w:iCs/>
          <w:lang w:val="en-US"/>
        </w:rPr>
        <w:fldChar w:fldCharType="end"/>
      </w:r>
      <w:r w:rsidRPr="009239F8">
        <w:rPr>
          <w:rFonts w:ascii="Times New Roman" w:hAnsi="Times New Roman" w:cs="Times New Roman"/>
          <w:lang w:val="en-US"/>
        </w:rPr>
        <w:t>). Regarding repolarization heterogeneity patterns, apex-to-base configurations yielded lower reconstruction errors than Voronoi-based distributions for both conductance layers (g</w:t>
      </w:r>
      <w:r w:rsidRPr="009239F8">
        <w:rPr>
          <w:rFonts w:ascii="Times New Roman" w:hAnsi="Times New Roman" w:cs="Times New Roman"/>
          <w:vertAlign w:val="subscript"/>
          <w:lang w:val="en-US"/>
        </w:rPr>
        <w:t>Ks</w:t>
      </w:r>
      <w:r w:rsidRPr="009239F8">
        <w:rPr>
          <w:rFonts w:ascii="Times New Roman" w:hAnsi="Times New Roman" w:cs="Times New Roman"/>
          <w:lang w:val="en-US"/>
        </w:rPr>
        <w:t>-RMSE: 1.26 ± 0.19 vs. 1.55 ± 0.03; g</w:t>
      </w:r>
      <w:r w:rsidRPr="009239F8">
        <w:rPr>
          <w:rFonts w:ascii="Times New Roman" w:hAnsi="Times New Roman" w:cs="Times New Roman"/>
          <w:vertAlign w:val="subscript"/>
          <w:lang w:val="en-US"/>
        </w:rPr>
        <w:t>Kr</w:t>
      </w:r>
      <w:r w:rsidRPr="009239F8">
        <w:rPr>
          <w:rFonts w:ascii="Times New Roman" w:hAnsi="Times New Roman" w:cs="Times New Roman"/>
          <w:lang w:val="en-US"/>
        </w:rPr>
        <w:t>-RMSE: 0.32 ± 0.02 vs. 0.61 ± 0.05, respectively). The lowest overall repolarization error was achieved in test #6 (RT-RMSE = 8.36 ms), combining Purkinje-based activation with apex-to-base gradients for both conductance layers, while tests #1 and #3 exhibited the highest errors (RT-RMSE = 21.70 ms), both corresponding to Durrer-based activation. The normalized CDFs revealed sequence-dependent timing offsets</w:t>
      </w:r>
      <w:r w:rsidR="00097387" w:rsidRPr="009239F8">
        <w:rPr>
          <w:rFonts w:ascii="Times New Roman" w:hAnsi="Times New Roman" w:cs="Times New Roman"/>
          <w:lang w:val="en-US"/>
        </w:rPr>
        <w:t xml:space="preserve"> (</w:t>
      </w:r>
      <w:r w:rsidR="00097387" w:rsidRPr="009239F8">
        <w:rPr>
          <w:rFonts w:ascii="Times New Roman" w:hAnsi="Times New Roman" w:cs="Times New Roman"/>
          <w:b/>
          <w:lang w:val="en-US"/>
        </w:rPr>
        <w:fldChar w:fldCharType="begin"/>
      </w:r>
      <w:r w:rsidR="00097387" w:rsidRPr="009239F8">
        <w:rPr>
          <w:rFonts w:ascii="Times New Roman" w:hAnsi="Times New Roman" w:cs="Times New Roman"/>
          <w:b/>
          <w:bCs/>
          <w:lang w:val="en-US"/>
        </w:rPr>
        <w:instrText xml:space="preserve"> REF _Ref231916769 \h  \* MERGEFORMAT </w:instrText>
      </w:r>
      <w:r w:rsidR="00097387" w:rsidRPr="009239F8">
        <w:rPr>
          <w:rFonts w:ascii="Times New Roman" w:hAnsi="Times New Roman" w:cs="Times New Roman"/>
          <w:b/>
          <w:lang w:val="en-US"/>
        </w:rPr>
      </w:r>
      <w:r w:rsidR="00097387" w:rsidRPr="009239F8">
        <w:rPr>
          <w:rFonts w:ascii="Times New Roman" w:hAnsi="Times New Roman" w:cs="Times New Roman"/>
          <w:b/>
          <w:lang w:val="en-US"/>
        </w:rPr>
        <w:fldChar w:fldCharType="separate"/>
      </w:r>
      <w:r w:rsidR="00890076" w:rsidRPr="009239F8">
        <w:rPr>
          <w:rFonts w:ascii="Times New Roman" w:hAnsi="Times New Roman" w:cs="Times New Roman"/>
          <w:b/>
          <w:lang w:val="en-US"/>
        </w:rPr>
        <w:t>Figure S 2</w:t>
      </w:r>
      <w:r w:rsidR="00097387" w:rsidRPr="009239F8">
        <w:rPr>
          <w:rFonts w:ascii="Times New Roman" w:hAnsi="Times New Roman" w:cs="Times New Roman"/>
          <w:b/>
          <w:lang w:val="en-US"/>
        </w:rPr>
        <w:fldChar w:fldCharType="end"/>
      </w:r>
      <w:r w:rsidR="00097387" w:rsidRPr="009239F8">
        <w:rPr>
          <w:rFonts w:ascii="Times New Roman" w:hAnsi="Times New Roman" w:cs="Times New Roman"/>
          <w:b/>
          <w:lang w:val="en-US"/>
        </w:rPr>
        <w:t>d</w:t>
      </w:r>
      <w:r w:rsidR="00097387" w:rsidRPr="009239F8">
        <w:rPr>
          <w:rFonts w:ascii="Times New Roman" w:hAnsi="Times New Roman" w:cs="Times New Roman"/>
          <w:lang w:val="en-US"/>
        </w:rPr>
        <w:t>)</w:t>
      </w:r>
      <w:r w:rsidRPr="009239F8">
        <w:rPr>
          <w:rFonts w:ascii="Times New Roman" w:hAnsi="Times New Roman" w:cs="Times New Roman"/>
          <w:lang w:val="en-US"/>
        </w:rPr>
        <w:t>: Durrer-based tests showed simulated repolarization occurring slightly later than ground truth, whereas Purkinje-based tests showed a subtle reversal, with simulations repolarizing marginally earlier. Apex-to-base–only tests produced smooth CDF curves, while Voronoi-containing tests exhibited sharper transitions consistent with their more heterogeneous spatial distributions</w:t>
      </w:r>
      <w:r w:rsidR="005F610C" w:rsidRPr="009239F8">
        <w:rPr>
          <w:rFonts w:ascii="Times New Roman" w:hAnsi="Times New Roman" w:cs="Times New Roman"/>
          <w:lang w:val="en-US"/>
        </w:rPr>
        <w:t xml:space="preserve">, </w:t>
      </w:r>
      <w:r w:rsidR="00694A22" w:rsidRPr="009239F8">
        <w:rPr>
          <w:rFonts w:ascii="Times New Roman" w:hAnsi="Times New Roman" w:cs="Times New Roman"/>
          <w:lang w:val="en-US"/>
        </w:rPr>
        <w:t>nonetheless</w:t>
      </w:r>
      <w:r w:rsidR="00E95FD2" w:rsidRPr="009239F8">
        <w:rPr>
          <w:rFonts w:ascii="Times New Roman" w:hAnsi="Times New Roman" w:cs="Times New Roman"/>
          <w:lang w:val="en-US"/>
        </w:rPr>
        <w:t xml:space="preserve"> these sharper transitions are also replicated by the test results</w:t>
      </w:r>
      <w:r w:rsidRPr="009239F8">
        <w:rPr>
          <w:rFonts w:ascii="Times New Roman" w:hAnsi="Times New Roman" w:cs="Times New Roman"/>
          <w:lang w:val="en-US"/>
        </w:rPr>
        <w:t>. Estimated repolarization maps exhibited spatial distributions consistent with ground-truth patterns across different gradients, with the largest discrepancies localized to basal regions (</w:t>
      </w:r>
      <w:r w:rsidR="005F610C" w:rsidRPr="009239F8">
        <w:rPr>
          <w:rFonts w:ascii="Times New Roman" w:hAnsi="Times New Roman" w:cs="Times New Roman"/>
          <w:b/>
          <w:lang w:val="en-US"/>
        </w:rPr>
        <w:fldChar w:fldCharType="begin"/>
      </w:r>
      <w:r w:rsidR="005F610C" w:rsidRPr="009239F8">
        <w:rPr>
          <w:rFonts w:ascii="Times New Roman" w:hAnsi="Times New Roman" w:cs="Times New Roman"/>
          <w:b/>
          <w:bCs/>
          <w:lang w:val="en-US"/>
        </w:rPr>
        <w:instrText xml:space="preserve"> REF _Ref231916769 \h  \* MERGEFORMAT </w:instrText>
      </w:r>
      <w:r w:rsidR="005F610C" w:rsidRPr="009239F8">
        <w:rPr>
          <w:rFonts w:ascii="Times New Roman" w:hAnsi="Times New Roman" w:cs="Times New Roman"/>
          <w:b/>
          <w:lang w:val="en-US"/>
        </w:rPr>
      </w:r>
      <w:r w:rsidR="005F610C" w:rsidRPr="009239F8">
        <w:rPr>
          <w:rFonts w:ascii="Times New Roman" w:hAnsi="Times New Roman" w:cs="Times New Roman"/>
          <w:b/>
          <w:lang w:val="en-US"/>
        </w:rPr>
        <w:fldChar w:fldCharType="separate"/>
      </w:r>
      <w:r w:rsidR="00890076" w:rsidRPr="009239F8">
        <w:rPr>
          <w:rFonts w:ascii="Times New Roman" w:hAnsi="Times New Roman" w:cs="Times New Roman"/>
          <w:b/>
          <w:lang w:val="en-US"/>
        </w:rPr>
        <w:t>Figure S 2</w:t>
      </w:r>
      <w:r w:rsidR="005F610C" w:rsidRPr="009239F8">
        <w:rPr>
          <w:rFonts w:ascii="Times New Roman" w:hAnsi="Times New Roman" w:cs="Times New Roman"/>
          <w:b/>
          <w:lang w:val="en-US"/>
        </w:rPr>
        <w:fldChar w:fldCharType="end"/>
      </w:r>
      <w:r w:rsidR="00097387" w:rsidRPr="009239F8">
        <w:rPr>
          <w:rFonts w:ascii="Times New Roman" w:hAnsi="Times New Roman" w:cs="Times New Roman"/>
          <w:b/>
          <w:bCs/>
          <w:lang w:val="en-US"/>
        </w:rPr>
        <w:t>c</w:t>
      </w:r>
      <w:r w:rsidRPr="009239F8">
        <w:rPr>
          <w:rFonts w:ascii="Times New Roman" w:hAnsi="Times New Roman" w:cs="Times New Roman"/>
          <w:lang w:val="en-US"/>
        </w:rPr>
        <w:t>).</w:t>
      </w:r>
    </w:p>
    <w:p w14:paraId="3FAA4012" w14:textId="77777777" w:rsidR="00ED5251" w:rsidRPr="009239F8" w:rsidRDefault="00ED5251" w:rsidP="009A5B48">
      <w:pPr>
        <w:keepNext/>
        <w:spacing w:line="480" w:lineRule="auto"/>
        <w:jc w:val="both"/>
        <w:rPr>
          <w:rFonts w:ascii="Times New Roman" w:hAnsi="Times New Roman" w:cs="Times New Roman"/>
          <w:lang w:val="en-US"/>
        </w:rPr>
      </w:pPr>
      <w:r w:rsidRPr="009239F8">
        <w:rPr>
          <w:rFonts w:ascii="Times New Roman" w:hAnsi="Times New Roman" w:cs="Times New Roman"/>
          <w:noProof/>
          <w:lang w:val="en-US"/>
        </w:rPr>
        <w:drawing>
          <wp:inline distT="0" distB="0" distL="0" distR="0" wp14:anchorId="28711A75" wp14:editId="36F58B29">
            <wp:extent cx="5731510" cy="5887575"/>
            <wp:effectExtent l="0" t="0" r="2540" b="0"/>
            <wp:docPr id="14285174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17472"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31510" cy="5887575"/>
                    </a:xfrm>
                    <a:prstGeom prst="rect">
                      <a:avLst/>
                    </a:prstGeom>
                    <a:noFill/>
                    <a:ln>
                      <a:noFill/>
                    </a:ln>
                  </pic:spPr>
                </pic:pic>
              </a:graphicData>
            </a:graphic>
          </wp:inline>
        </w:drawing>
      </w:r>
    </w:p>
    <w:p w14:paraId="3E2E469F" w14:textId="158FD6D4" w:rsidR="0004461D" w:rsidRPr="009239F8" w:rsidRDefault="00ED5251" w:rsidP="009A5B48">
      <w:pPr>
        <w:pStyle w:val="Caption"/>
        <w:spacing w:line="480" w:lineRule="auto"/>
        <w:jc w:val="both"/>
        <w:rPr>
          <w:rFonts w:cs="Times New Roman"/>
          <w:color w:val="auto"/>
          <w:lang w:val="en-US"/>
        </w:rPr>
      </w:pPr>
      <w:bookmarkStart w:id="2" w:name="_Ref231916769"/>
      <w:r w:rsidRPr="009239F8">
        <w:rPr>
          <w:rFonts w:cs="Times New Roman"/>
          <w:b/>
          <w:color w:val="auto"/>
          <w:lang w:val="en-US"/>
        </w:rPr>
        <w:t xml:space="preserve">Figure S </w:t>
      </w:r>
      <w:r w:rsidR="00716800" w:rsidRPr="009239F8">
        <w:rPr>
          <w:rFonts w:cs="Times New Roman"/>
          <w:b/>
          <w:color w:val="auto"/>
          <w:lang w:val="en-US"/>
        </w:rPr>
        <w:fldChar w:fldCharType="begin"/>
      </w:r>
      <w:r w:rsidR="00716800" w:rsidRPr="009239F8">
        <w:rPr>
          <w:rFonts w:cs="Times New Roman"/>
          <w:b/>
          <w:color w:val="auto"/>
          <w:lang w:val="en-US"/>
        </w:rPr>
        <w:instrText xml:space="preserve"> SEQ Figure_S \* ARABIC </w:instrText>
      </w:r>
      <w:r w:rsidR="00716800" w:rsidRPr="009239F8">
        <w:rPr>
          <w:rFonts w:cs="Times New Roman"/>
          <w:b/>
          <w:color w:val="auto"/>
          <w:lang w:val="en-US"/>
        </w:rPr>
        <w:fldChar w:fldCharType="separate"/>
      </w:r>
      <w:r w:rsidR="00890076" w:rsidRPr="009239F8">
        <w:rPr>
          <w:rFonts w:cs="Times New Roman"/>
          <w:b/>
          <w:color w:val="auto"/>
          <w:lang w:val="en-US"/>
        </w:rPr>
        <w:t>2</w:t>
      </w:r>
      <w:r w:rsidR="00716800" w:rsidRPr="009239F8">
        <w:rPr>
          <w:rFonts w:cs="Times New Roman"/>
          <w:b/>
          <w:color w:val="auto"/>
          <w:lang w:val="en-US"/>
        </w:rPr>
        <w:fldChar w:fldCharType="end"/>
      </w:r>
      <w:bookmarkEnd w:id="2"/>
      <w:r w:rsidRPr="009239F8">
        <w:rPr>
          <w:rFonts w:cs="Times New Roman"/>
          <w:color w:val="auto"/>
          <w:lang w:val="en-US"/>
        </w:rPr>
        <w:t xml:space="preserve">. </w:t>
      </w:r>
      <w:r w:rsidR="009B748A" w:rsidRPr="009239F8">
        <w:rPr>
          <w:rFonts w:cs="Times New Roman"/>
          <w:b/>
          <w:color w:val="auto"/>
          <w:lang w:val="en-US"/>
        </w:rPr>
        <w:t>Verification tests epicardial activation and repolarization results</w:t>
      </w:r>
      <w:r w:rsidRPr="009239F8">
        <w:rPr>
          <w:rFonts w:cs="Times New Roman"/>
          <w:b/>
          <w:color w:val="auto"/>
          <w:lang w:val="en-US"/>
        </w:rPr>
        <w:t xml:space="preserve">. </w:t>
      </w:r>
      <w:r w:rsidR="009B748A" w:rsidRPr="009239F8">
        <w:rPr>
          <w:rFonts w:cs="Times New Roman"/>
          <w:b/>
          <w:color w:val="auto"/>
          <w:lang w:val="en-US"/>
        </w:rPr>
        <w:t xml:space="preserve"> </w:t>
      </w:r>
      <w:r w:rsidR="009B748A" w:rsidRPr="009239F8">
        <w:rPr>
          <w:rFonts w:cs="Times New Roman"/>
          <w:color w:val="auto"/>
          <w:lang w:val="en-US"/>
        </w:rPr>
        <w:t xml:space="preserve">(a) </w:t>
      </w:r>
      <w:r w:rsidR="00627BBC" w:rsidRPr="009239F8">
        <w:rPr>
          <w:rFonts w:cs="Times New Roman"/>
          <w:color w:val="auto"/>
          <w:lang w:val="en-US"/>
        </w:rPr>
        <w:t>Activation c</w:t>
      </w:r>
      <w:r w:rsidR="009B748A" w:rsidRPr="009239F8">
        <w:rPr>
          <w:rFonts w:cs="Times New Roman"/>
          <w:color w:val="auto"/>
          <w:lang w:val="en-US"/>
        </w:rPr>
        <w:t xml:space="preserve">umulative distribution functions (CDFs) of </w:t>
      </w:r>
      <w:r w:rsidR="001521B9" w:rsidRPr="009239F8">
        <w:rPr>
          <w:rFonts w:cs="Times New Roman"/>
          <w:color w:val="auto"/>
          <w:lang w:val="en-US"/>
        </w:rPr>
        <w:t xml:space="preserve">ground truth (red) and estimated ones (blue) for all </w:t>
      </w:r>
      <w:r w:rsidR="00CA70D0" w:rsidRPr="009239F8">
        <w:rPr>
          <w:rFonts w:cs="Times New Roman"/>
          <w:color w:val="auto"/>
          <w:lang w:val="en-US"/>
        </w:rPr>
        <w:t>six-test group by activation sequence. (b)</w:t>
      </w:r>
      <w:r w:rsidR="008B7E59" w:rsidRPr="009239F8">
        <w:rPr>
          <w:rFonts w:cs="Times New Roman"/>
          <w:color w:val="auto"/>
          <w:lang w:val="en-US"/>
        </w:rPr>
        <w:t xml:space="preserve"> Normalized activation time maps for Durrer-based Purkinje-Myocardial junctions (PMJs) (test #1) and Purkinje-based PMJs (test #2) activation sequences.</w:t>
      </w:r>
      <w:r w:rsidR="006F1DD8" w:rsidRPr="009239F8">
        <w:rPr>
          <w:rFonts w:cs="Times New Roman"/>
          <w:color w:val="auto"/>
          <w:lang w:val="en-US"/>
        </w:rPr>
        <w:t xml:space="preserve"> (c) Normalized repolarization time maps for different heterogeneity patterns of g</w:t>
      </w:r>
      <w:r w:rsidR="006F1DD8" w:rsidRPr="009239F8">
        <w:rPr>
          <w:rFonts w:cs="Times New Roman"/>
          <w:color w:val="auto"/>
          <w:vertAlign w:val="subscript"/>
          <w:lang w:val="en-US"/>
        </w:rPr>
        <w:t>Ks</w:t>
      </w:r>
      <w:r w:rsidR="006F1DD8" w:rsidRPr="009239F8">
        <w:rPr>
          <w:rFonts w:cs="Times New Roman"/>
          <w:color w:val="auto"/>
          <w:lang w:val="en-US"/>
        </w:rPr>
        <w:t xml:space="preserve"> and </w:t>
      </w:r>
      <w:r w:rsidR="007D0A7A" w:rsidRPr="009239F8">
        <w:rPr>
          <w:rFonts w:cs="Times New Roman"/>
          <w:color w:val="auto"/>
          <w:lang w:val="en-US"/>
        </w:rPr>
        <w:t>aging repolarization (AgR)</w:t>
      </w:r>
      <w:r w:rsidR="006F1DD8" w:rsidRPr="009239F8">
        <w:rPr>
          <w:rFonts w:cs="Times New Roman"/>
          <w:color w:val="auto"/>
          <w:lang w:val="en-US"/>
        </w:rPr>
        <w:t>: apex-to-base (A2B) for g</w:t>
      </w:r>
      <w:r w:rsidR="006F1DD8" w:rsidRPr="009239F8">
        <w:rPr>
          <w:rFonts w:cs="Times New Roman"/>
          <w:color w:val="auto"/>
          <w:vertAlign w:val="subscript"/>
          <w:lang w:val="en-US"/>
        </w:rPr>
        <w:t>Ks</w:t>
      </w:r>
      <w:r w:rsidR="006F1DD8" w:rsidRPr="009239F8">
        <w:rPr>
          <w:rFonts w:cs="Times New Roman"/>
          <w:color w:val="auto"/>
          <w:lang w:val="en-US"/>
        </w:rPr>
        <w:t xml:space="preserve"> and g</w:t>
      </w:r>
      <w:r w:rsidR="006F1DD8" w:rsidRPr="009239F8">
        <w:rPr>
          <w:rFonts w:cs="Times New Roman"/>
          <w:color w:val="auto"/>
          <w:vertAlign w:val="subscript"/>
          <w:lang w:val="en-US"/>
        </w:rPr>
        <w:t>Kr</w:t>
      </w:r>
      <w:r w:rsidR="006F1DD8" w:rsidRPr="009239F8">
        <w:rPr>
          <w:rFonts w:cs="Times New Roman"/>
          <w:color w:val="auto"/>
          <w:lang w:val="en-US"/>
        </w:rPr>
        <w:t xml:space="preserve"> (test #1), A2B for g</w:t>
      </w:r>
      <w:r w:rsidR="006F1DD8" w:rsidRPr="009239F8">
        <w:rPr>
          <w:rFonts w:cs="Times New Roman"/>
          <w:color w:val="auto"/>
          <w:vertAlign w:val="subscript"/>
          <w:lang w:val="en-US"/>
        </w:rPr>
        <w:t>Ks</w:t>
      </w:r>
      <w:r w:rsidR="006F1DD8" w:rsidRPr="009239F8">
        <w:rPr>
          <w:rFonts w:cs="Times New Roman"/>
          <w:color w:val="auto"/>
          <w:lang w:val="en-US"/>
        </w:rPr>
        <w:t xml:space="preserve"> and Voronoi sampling (VOR) for g</w:t>
      </w:r>
      <w:r w:rsidR="006F1DD8" w:rsidRPr="009239F8">
        <w:rPr>
          <w:rFonts w:cs="Times New Roman"/>
          <w:color w:val="auto"/>
          <w:vertAlign w:val="subscript"/>
          <w:lang w:val="en-US"/>
        </w:rPr>
        <w:t>Kr</w:t>
      </w:r>
      <w:r w:rsidR="006F1DD8" w:rsidRPr="009239F8">
        <w:rPr>
          <w:rFonts w:cs="Times New Roman"/>
          <w:color w:val="auto"/>
          <w:lang w:val="en-US"/>
        </w:rPr>
        <w:t xml:space="preserve"> (test #4), and VOR for g</w:t>
      </w:r>
      <w:r w:rsidR="006F1DD8" w:rsidRPr="009239F8">
        <w:rPr>
          <w:rFonts w:cs="Times New Roman"/>
          <w:color w:val="auto"/>
          <w:vertAlign w:val="subscript"/>
          <w:lang w:val="en-US"/>
        </w:rPr>
        <w:t>Kr</w:t>
      </w:r>
      <w:r w:rsidR="006F1DD8" w:rsidRPr="009239F8">
        <w:rPr>
          <w:rFonts w:cs="Times New Roman"/>
          <w:color w:val="auto"/>
          <w:lang w:val="en-US"/>
        </w:rPr>
        <w:t xml:space="preserve"> and gKr (test #2). (d) Repolarization CDFs </w:t>
      </w:r>
      <w:r w:rsidR="00627BBC" w:rsidRPr="009239F8">
        <w:rPr>
          <w:rFonts w:cs="Times New Roman"/>
          <w:color w:val="auto"/>
          <w:lang w:val="en-US"/>
        </w:rPr>
        <w:t xml:space="preserve">for the six tests. </w:t>
      </w:r>
      <w:r w:rsidRPr="009239F8">
        <w:rPr>
          <w:rFonts w:cs="Times New Roman"/>
          <w:color w:val="auto"/>
          <w:lang w:val="en-US"/>
        </w:rPr>
        <w:t xml:space="preserve">RMSE values are provided for each comparison. The dark line indicates the ventricles insertion. </w:t>
      </w:r>
      <w:r w:rsidR="003A1DF6" w:rsidRPr="009239F8">
        <w:rPr>
          <w:rFonts w:cs="Times New Roman"/>
          <w:color w:val="auto"/>
          <w:lang w:val="en-US"/>
        </w:rPr>
        <w:t xml:space="preserve">CV: conduction velocity; </w:t>
      </w:r>
      <w:r w:rsidRPr="009239F8">
        <w:rPr>
          <w:rFonts w:cs="Times New Roman"/>
          <w:color w:val="auto"/>
          <w:lang w:val="en-US"/>
        </w:rPr>
        <w:t>g</w:t>
      </w:r>
      <w:r w:rsidRPr="009239F8">
        <w:rPr>
          <w:rFonts w:cs="Times New Roman"/>
          <w:color w:val="auto"/>
          <w:vertAlign w:val="subscript"/>
          <w:lang w:val="en-US"/>
        </w:rPr>
        <w:t>Ks</w:t>
      </w:r>
      <w:r w:rsidRPr="009239F8">
        <w:rPr>
          <w:rFonts w:cs="Times New Roman"/>
          <w:color w:val="auto"/>
          <w:lang w:val="en-US"/>
        </w:rPr>
        <w:t>: slow delayed rectifier potassium current conductance scaling factor.</w:t>
      </w:r>
    </w:p>
    <w:p w14:paraId="0CAA76DB" w14:textId="4B74CB1C" w:rsidR="009E55A6" w:rsidRPr="009239F8" w:rsidRDefault="009E55A6"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w:t>
      </w:r>
      <w:r w:rsidR="008A4F18" w:rsidRPr="009239F8">
        <w:rPr>
          <w:rFonts w:ascii="Times New Roman" w:hAnsi="Times New Roman" w:cs="Times New Roman"/>
          <w:color w:val="auto"/>
          <w:lang w:val="en-US"/>
        </w:rPr>
        <w:t>2</w:t>
      </w:r>
      <w:r w:rsidRPr="009239F8">
        <w:rPr>
          <w:rFonts w:ascii="Times New Roman" w:hAnsi="Times New Roman" w:cs="Times New Roman"/>
          <w:color w:val="auto"/>
          <w:lang w:val="en-US"/>
        </w:rPr>
        <w:t>: MyoFit46 participant selection</w:t>
      </w:r>
    </w:p>
    <w:p w14:paraId="029E6224" w14:textId="24D66C31" w:rsidR="009E55A6" w:rsidRPr="009239F8" w:rsidRDefault="009E55A6"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 xml:space="preserve">MyoFit46 cohort is composed of 505 UK participants. For this study we excluded 121 participants due to incomplete dataset, with a complete dataset referring to the existence of cardiovascular magnetic resonance (CMR) images including late gadolinium enhancement (LGE) and electrocardiographic imaging (ECGI).  </w:t>
      </w:r>
      <w:r w:rsidR="002E5BCB" w:rsidRPr="009239F8">
        <w:rPr>
          <w:rFonts w:ascii="Times New Roman" w:hAnsi="Times New Roman" w:cs="Times New Roman"/>
          <w:lang w:val="en-US"/>
        </w:rPr>
        <w:t>Of</w:t>
      </w:r>
      <w:r w:rsidRPr="009239F8">
        <w:rPr>
          <w:rFonts w:ascii="Times New Roman" w:hAnsi="Times New Roman" w:cs="Times New Roman"/>
          <w:lang w:val="en-US"/>
        </w:rPr>
        <w:t xml:space="preserve"> the remaining 384 participants, 354 were excluded from the final cohort as they do not fulfil the inclusion/exclusion criteria for the healthy reference group. The criteria that led to the exclusion of most subjects were related to the &gt;2% LGE burden and hypertension. A corresponding flow chart is shown in </w:t>
      </w:r>
      <w:r w:rsidRPr="009239F8">
        <w:rPr>
          <w:rFonts w:ascii="Times New Roman" w:hAnsi="Times New Roman" w:cs="Times New Roman"/>
          <w:b/>
          <w:bCs/>
          <w:lang w:val="en-US"/>
        </w:rPr>
        <w:fldChar w:fldCharType="begin"/>
      </w:r>
      <w:r w:rsidRPr="009239F8">
        <w:rPr>
          <w:rFonts w:ascii="Times New Roman" w:hAnsi="Times New Roman" w:cs="Times New Roman"/>
          <w:b/>
          <w:bCs/>
          <w:lang w:val="en-US"/>
        </w:rPr>
        <w:instrText xml:space="preserve"> REF _Ref230014506 \h  \* MERGEFORMAT </w:instrText>
      </w:r>
      <w:r w:rsidRPr="009239F8">
        <w:rPr>
          <w:rFonts w:ascii="Times New Roman" w:hAnsi="Times New Roman" w:cs="Times New Roman"/>
          <w:b/>
          <w:bCs/>
          <w:lang w:val="en-US"/>
        </w:rPr>
      </w:r>
      <w:r w:rsidRPr="009239F8">
        <w:rPr>
          <w:rFonts w:ascii="Times New Roman" w:hAnsi="Times New Roman" w:cs="Times New Roman"/>
          <w:b/>
          <w:bCs/>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3</w:t>
      </w:r>
      <w:r w:rsidRPr="009239F8">
        <w:rPr>
          <w:rFonts w:ascii="Times New Roman" w:hAnsi="Times New Roman" w:cs="Times New Roman"/>
          <w:b/>
          <w:bCs/>
          <w:lang w:val="en-US"/>
        </w:rPr>
        <w:fldChar w:fldCharType="end"/>
      </w:r>
      <w:r w:rsidRPr="009239F8">
        <w:rPr>
          <w:rFonts w:ascii="Times New Roman" w:hAnsi="Times New Roman" w:cs="Times New Roman"/>
          <w:b/>
          <w:bCs/>
          <w:lang w:val="en-US"/>
        </w:rPr>
        <w:t>.</w:t>
      </w:r>
    </w:p>
    <w:p w14:paraId="1127A37F" w14:textId="77777777" w:rsidR="009E55A6" w:rsidRPr="009239F8" w:rsidRDefault="009E55A6" w:rsidP="009A5B48">
      <w:pPr>
        <w:keepNext/>
        <w:spacing w:line="480" w:lineRule="auto"/>
        <w:rPr>
          <w:rFonts w:ascii="Times New Roman" w:hAnsi="Times New Roman" w:cs="Times New Roman"/>
          <w:lang w:val="en-US"/>
        </w:rPr>
      </w:pPr>
      <w:r w:rsidRPr="009239F8">
        <w:rPr>
          <w:rFonts w:ascii="Times New Roman" w:hAnsi="Times New Roman" w:cs="Times New Roman"/>
          <w:noProof/>
          <w:lang w:val="en-US"/>
        </w:rPr>
        <w:drawing>
          <wp:inline distT="0" distB="0" distL="0" distR="0" wp14:anchorId="24BFFD4E" wp14:editId="74656D67">
            <wp:extent cx="5425360" cy="3206231"/>
            <wp:effectExtent l="0" t="0" r="4445" b="0"/>
            <wp:docPr id="845825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25743"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25360" cy="3206231"/>
                    </a:xfrm>
                    <a:prstGeom prst="rect">
                      <a:avLst/>
                    </a:prstGeom>
                    <a:noFill/>
                    <a:ln>
                      <a:noFill/>
                    </a:ln>
                  </pic:spPr>
                </pic:pic>
              </a:graphicData>
            </a:graphic>
          </wp:inline>
        </w:drawing>
      </w:r>
    </w:p>
    <w:p w14:paraId="38B7FD41" w14:textId="68DE9A12" w:rsidR="009E55A6" w:rsidRPr="009239F8" w:rsidRDefault="009E55A6" w:rsidP="009A5B48">
      <w:pPr>
        <w:pStyle w:val="Caption"/>
        <w:spacing w:line="480" w:lineRule="auto"/>
        <w:jc w:val="both"/>
        <w:rPr>
          <w:rFonts w:cs="Times New Roman"/>
          <w:color w:val="auto"/>
          <w:lang w:val="en-US"/>
        </w:rPr>
      </w:pPr>
      <w:bookmarkStart w:id="3" w:name="_Ref230014506"/>
      <w:r w:rsidRPr="009239F8">
        <w:rPr>
          <w:rFonts w:cs="Times New Roman"/>
          <w:b/>
          <w:color w:val="auto"/>
          <w:lang w:val="en-US"/>
        </w:rPr>
        <w:t xml:space="preserve">Figure S </w:t>
      </w:r>
      <w:r w:rsidRPr="009239F8">
        <w:rPr>
          <w:rFonts w:cs="Times New Roman"/>
          <w:b/>
          <w:color w:val="auto"/>
          <w:lang w:val="en-US"/>
        </w:rPr>
        <w:fldChar w:fldCharType="begin"/>
      </w:r>
      <w:r w:rsidRPr="009239F8">
        <w:rPr>
          <w:rFonts w:cs="Times New Roman"/>
          <w:b/>
          <w:color w:val="auto"/>
          <w:lang w:val="en-US"/>
        </w:rPr>
        <w:instrText xml:space="preserve"> SEQ Figure_S \* ARABIC </w:instrText>
      </w:r>
      <w:r w:rsidRPr="009239F8">
        <w:rPr>
          <w:rFonts w:cs="Times New Roman"/>
          <w:b/>
          <w:color w:val="auto"/>
          <w:lang w:val="en-US"/>
        </w:rPr>
        <w:fldChar w:fldCharType="separate"/>
      </w:r>
      <w:r w:rsidR="00890076" w:rsidRPr="009239F8">
        <w:rPr>
          <w:rFonts w:cs="Times New Roman"/>
          <w:b/>
          <w:color w:val="auto"/>
          <w:lang w:val="en-US"/>
        </w:rPr>
        <w:t>3</w:t>
      </w:r>
      <w:r w:rsidRPr="009239F8">
        <w:rPr>
          <w:rFonts w:cs="Times New Roman"/>
          <w:b/>
          <w:color w:val="auto"/>
          <w:lang w:val="en-US"/>
        </w:rPr>
        <w:fldChar w:fldCharType="end"/>
      </w:r>
      <w:bookmarkEnd w:id="3"/>
      <w:r w:rsidRPr="009239F8">
        <w:rPr>
          <w:rFonts w:cs="Times New Roman"/>
          <w:color w:val="auto"/>
          <w:lang w:val="en-US"/>
        </w:rPr>
        <w:t xml:space="preserve">. </w:t>
      </w:r>
      <w:r w:rsidRPr="009239F8">
        <w:rPr>
          <w:rFonts w:cs="Times New Roman"/>
          <w:b/>
          <w:color w:val="auto"/>
          <w:lang w:val="en-US"/>
        </w:rPr>
        <w:t>MyoFit46 healthy cohort selection flow chart diagram.</w:t>
      </w:r>
      <w:r w:rsidR="00474AE1" w:rsidRPr="009239F8">
        <w:rPr>
          <w:rFonts w:cs="Times New Roman"/>
          <w:b/>
          <w:color w:val="auto"/>
          <w:lang w:val="en-US"/>
        </w:rPr>
        <w:t xml:space="preserve"> </w:t>
      </w:r>
      <w:r w:rsidR="00522E64" w:rsidRPr="009239F8">
        <w:rPr>
          <w:rFonts w:cs="Times New Roman"/>
          <w:color w:val="auto"/>
          <w:lang w:val="en-US"/>
        </w:rPr>
        <w:t xml:space="preserve">Starting from the full MyoFit46 cohort (n=505), 121 participants were excluded due to incomplete multimodal datasets, yielding a complete dataset of 384 participants. Of these, 354 were further excluded based on predefined inclusion/exclusion criteria, resulting in a final healthy reference cohort of 30 participants. </w:t>
      </w:r>
      <w:r w:rsidR="00893E9A" w:rsidRPr="009239F8">
        <w:rPr>
          <w:rFonts w:cs="Times New Roman"/>
          <w:color w:val="auto"/>
          <w:lang w:val="en-US"/>
        </w:rPr>
        <w:t xml:space="preserve">Note that individual subjects may fulfil more than one exclusion criterion; counts therefore do not sum to </w:t>
      </w:r>
      <w:r w:rsidR="00BE2AB7" w:rsidRPr="009239F8">
        <w:rPr>
          <w:rFonts w:cs="Times New Roman"/>
          <w:color w:val="auto"/>
          <w:lang w:val="en-US"/>
        </w:rPr>
        <w:t>505</w:t>
      </w:r>
      <w:r w:rsidR="00893E9A" w:rsidRPr="009239F8">
        <w:rPr>
          <w:rFonts w:cs="Times New Roman"/>
          <w:color w:val="auto"/>
          <w:lang w:val="en-US"/>
        </w:rPr>
        <w:t xml:space="preserve">. </w:t>
      </w:r>
      <w:r w:rsidR="00474AE1" w:rsidRPr="009239F8">
        <w:rPr>
          <w:rFonts w:cs="Times New Roman"/>
          <w:color w:val="auto"/>
          <w:lang w:val="en-US"/>
        </w:rPr>
        <w:t>AF: atrial fibrillation; BMI: body mass index; BP:</w:t>
      </w:r>
      <w:r w:rsidR="006336C1" w:rsidRPr="009239F8">
        <w:rPr>
          <w:rFonts w:cs="Times New Roman"/>
          <w:color w:val="auto"/>
          <w:lang w:val="en-US"/>
        </w:rPr>
        <w:t xml:space="preserve"> blood pressure;</w:t>
      </w:r>
      <w:r w:rsidR="00474AE1" w:rsidRPr="009239F8">
        <w:rPr>
          <w:rFonts w:cs="Times New Roman"/>
          <w:color w:val="auto"/>
          <w:lang w:val="en-US"/>
        </w:rPr>
        <w:t xml:space="preserve"> CABG: coronary artery bypass graft; CMR: cardiovascular magnetic resonance; ECGI: electrocardiographic imaging; LGE: late gadolinium enhancement; LVEF: left ventricular ejection fraction; NHYA: New York Heart Association functional class; PCI: percutaneous coronary intervention</w:t>
      </w:r>
      <w:r w:rsidR="00474AE1" w:rsidRPr="009239F8">
        <w:rPr>
          <w:rFonts w:cs="Times New Roman"/>
          <w:b/>
          <w:color w:val="auto"/>
          <w:lang w:val="en-US"/>
        </w:rPr>
        <w:t>.</w:t>
      </w:r>
    </w:p>
    <w:p w14:paraId="1AFCEBAE" w14:textId="0552B4A5" w:rsidR="00675105" w:rsidRPr="009239F8" w:rsidRDefault="008551DB"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S3: Post-hoc g</w:t>
      </w:r>
      <w:r w:rsidRPr="009239F8">
        <w:rPr>
          <w:rFonts w:ascii="Times New Roman" w:hAnsi="Times New Roman" w:cs="Times New Roman"/>
          <w:color w:val="auto"/>
          <w:vertAlign w:val="subscript"/>
          <w:lang w:val="en-US"/>
        </w:rPr>
        <w:t>Kr</w:t>
      </w:r>
      <w:r w:rsidRPr="009239F8">
        <w:rPr>
          <w:rFonts w:ascii="Times New Roman" w:hAnsi="Times New Roman" w:cs="Times New Roman"/>
          <w:color w:val="auto"/>
          <w:lang w:val="en-US"/>
        </w:rPr>
        <w:t xml:space="preserve"> analysis (healthy)</w:t>
      </w:r>
    </w:p>
    <w:p w14:paraId="2932AB30" w14:textId="687D4311" w:rsidR="00531FBE" w:rsidRPr="009239F8" w:rsidRDefault="00531FBE"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fldChar w:fldCharType="begin"/>
      </w:r>
      <w:r w:rsidRPr="009239F8">
        <w:rPr>
          <w:rFonts w:ascii="Times New Roman" w:hAnsi="Times New Roman" w:cs="Times New Roman"/>
          <w:lang w:val="en-US"/>
        </w:rPr>
        <w:instrText xml:space="preserve"> REF _Ref232698730 \h </w:instrText>
      </w:r>
      <w:r w:rsidR="00D079F5" w:rsidRPr="009239F8">
        <w:rPr>
          <w:rFonts w:ascii="Times New Roman" w:hAnsi="Times New Roman" w:cs="Times New Roman"/>
          <w:lang w:val="en-US"/>
        </w:rPr>
        <w:instrText xml:space="preserve"> \* MERGEFORMAT </w:instrText>
      </w:r>
      <w:r w:rsidRPr="009239F8">
        <w:rPr>
          <w:rFonts w:ascii="Times New Roman" w:hAnsi="Times New Roman" w:cs="Times New Roman"/>
          <w:lang w:val="en-US"/>
        </w:rPr>
      </w:r>
      <w:r w:rsidRPr="009239F8">
        <w:rPr>
          <w:rFonts w:ascii="Times New Roman" w:hAnsi="Times New Roman" w:cs="Times New Roman"/>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bCs/>
          <w:noProof/>
          <w:lang w:val="en-US"/>
        </w:rPr>
        <w:t>2</w:t>
      </w:r>
      <w:r w:rsidRPr="009239F8">
        <w:rPr>
          <w:rFonts w:ascii="Times New Roman" w:hAnsi="Times New Roman" w:cs="Times New Roman"/>
          <w:lang w:val="en-US"/>
        </w:rPr>
        <w:fldChar w:fldCharType="end"/>
      </w:r>
      <w:r w:rsidRPr="009239F8">
        <w:rPr>
          <w:rFonts w:ascii="Times New Roman" w:hAnsi="Times New Roman" w:cs="Times New Roman"/>
          <w:lang w:val="en-US"/>
        </w:rPr>
        <w:t xml:space="preserve"> summarizes the post-hoc pairwise comparisons following the Friedman tests </w:t>
      </w:r>
      <w:r w:rsidR="00FC0A17" w:rsidRPr="009239F8">
        <w:rPr>
          <w:rFonts w:ascii="Times New Roman" w:hAnsi="Times New Roman" w:cs="Times New Roman"/>
          <w:lang w:val="en-US"/>
        </w:rPr>
        <w:t xml:space="preserve">for </w:t>
      </w:r>
      <w:r w:rsidRPr="009239F8">
        <w:rPr>
          <w:rFonts w:ascii="Times New Roman" w:hAnsi="Times New Roman" w:cs="Times New Roman"/>
          <w:lang w:val="en-US"/>
        </w:rPr>
        <w:t>AgR</w:t>
      </w:r>
      <w:r w:rsidRPr="009239F8">
        <w:rPr>
          <w:rFonts w:ascii="Times New Roman" w:hAnsi="Times New Roman" w:cs="Times New Roman"/>
          <w:vertAlign w:val="superscript"/>
          <w:lang w:val="en-US"/>
        </w:rPr>
        <w:t>↓</w:t>
      </w:r>
      <w:r w:rsidRPr="009239F8">
        <w:rPr>
          <w:rFonts w:ascii="Times New Roman" w:hAnsi="Times New Roman" w:cs="Times New Roman"/>
          <w:lang w:val="en-US"/>
        </w:rPr>
        <w:t xml:space="preserve"> and AgR</w:t>
      </w:r>
      <w:r w:rsidRPr="009239F8">
        <w:rPr>
          <w:rFonts w:ascii="Times New Roman" w:hAnsi="Times New Roman" w:cs="Times New Roman"/>
          <w:vertAlign w:val="superscript"/>
          <w:lang w:val="en-US"/>
        </w:rPr>
        <w:t>↑</w:t>
      </w:r>
      <w:r w:rsidR="00FC0A17" w:rsidRPr="009239F8">
        <w:rPr>
          <w:rFonts w:ascii="Times New Roman" w:hAnsi="Times New Roman" w:cs="Times New Roman"/>
          <w:lang w:val="en-US"/>
        </w:rPr>
        <w:t xml:space="preserve"> distribution across longitudinal and circumferential regions in the healthy cohort</w:t>
      </w:r>
      <w:r w:rsidRPr="009239F8">
        <w:rPr>
          <w:rFonts w:ascii="Times New Roman" w:hAnsi="Times New Roman" w:cs="Times New Roman"/>
          <w:lang w:val="en-US"/>
        </w:rPr>
        <w:t>.</w:t>
      </w:r>
      <w:r w:rsidR="00B31B4F" w:rsidRPr="009239F8">
        <w:rPr>
          <w:rFonts w:ascii="Times New Roman" w:hAnsi="Times New Roman" w:cs="Times New Roman"/>
          <w:lang w:val="en-US"/>
        </w:rPr>
        <w:t xml:space="preserve"> </w:t>
      </w:r>
      <w:r w:rsidR="00D079F5" w:rsidRPr="009239F8">
        <w:rPr>
          <w:rFonts w:ascii="Times New Roman" w:hAnsi="Times New Roman" w:cs="Times New Roman"/>
          <w:lang w:val="en-US"/>
        </w:rPr>
        <w:t>A significant longitudinal gradient wa</w:t>
      </w:r>
      <w:r w:rsidR="005C4F3B" w:rsidRPr="009239F8">
        <w:rPr>
          <w:rFonts w:ascii="Times New Roman" w:hAnsi="Times New Roman" w:cs="Times New Roman"/>
          <w:lang w:val="en-US"/>
        </w:rPr>
        <w:t>s found in both ventricles along the longitudinal axis under AgR</w:t>
      </w:r>
      <w:r w:rsidR="005C4F3B" w:rsidRPr="009239F8">
        <w:rPr>
          <w:rFonts w:ascii="Times New Roman" w:hAnsi="Times New Roman" w:cs="Times New Roman"/>
          <w:vertAlign w:val="superscript"/>
          <w:lang w:val="en-US"/>
        </w:rPr>
        <w:t>↑</w:t>
      </w:r>
      <w:r w:rsidR="005C4F3B" w:rsidRPr="009239F8">
        <w:rPr>
          <w:rFonts w:ascii="Times New Roman" w:hAnsi="Times New Roman" w:cs="Times New Roman"/>
          <w:lang w:val="en-US"/>
        </w:rPr>
        <w:t xml:space="preserve">, being </w:t>
      </w:r>
      <w:r w:rsidR="00A46391" w:rsidRPr="009239F8">
        <w:rPr>
          <w:rFonts w:ascii="Times New Roman" w:hAnsi="Times New Roman" w:cs="Times New Roman"/>
          <w:lang w:val="en-US"/>
        </w:rPr>
        <w:t xml:space="preserve">more prominent at basal regions and progressively less frequent toward the apex. </w:t>
      </w:r>
      <w:r w:rsidRPr="009239F8">
        <w:rPr>
          <w:rFonts w:ascii="Times New Roman" w:hAnsi="Times New Roman" w:cs="Times New Roman"/>
          <w:lang w:val="en-US"/>
        </w:rPr>
        <w:t>Circumferential analyses also revealed significant regional heterogeneity</w:t>
      </w:r>
      <w:r w:rsidR="00224CCA" w:rsidRPr="009239F8">
        <w:rPr>
          <w:rFonts w:ascii="Times New Roman" w:hAnsi="Times New Roman" w:cs="Times New Roman"/>
          <w:lang w:val="en-US"/>
        </w:rPr>
        <w:t xml:space="preserve"> for both AgR</w:t>
      </w:r>
      <w:r w:rsidR="00224CCA" w:rsidRPr="009239F8">
        <w:rPr>
          <w:rFonts w:ascii="Times New Roman" w:hAnsi="Times New Roman" w:cs="Times New Roman"/>
          <w:vertAlign w:val="superscript"/>
          <w:lang w:val="en-US"/>
        </w:rPr>
        <w:t>↓</w:t>
      </w:r>
      <w:r w:rsidR="00224CCA" w:rsidRPr="009239F8">
        <w:rPr>
          <w:rFonts w:ascii="Times New Roman" w:hAnsi="Times New Roman" w:cs="Times New Roman"/>
          <w:lang w:val="en-US"/>
        </w:rPr>
        <w:t xml:space="preserve"> and AgR</w:t>
      </w:r>
      <w:r w:rsidR="00224CCA" w:rsidRPr="009239F8">
        <w:rPr>
          <w:rFonts w:ascii="Times New Roman" w:hAnsi="Times New Roman" w:cs="Times New Roman"/>
          <w:vertAlign w:val="superscript"/>
          <w:lang w:val="en-US"/>
        </w:rPr>
        <w:t>↑</w:t>
      </w:r>
      <w:r w:rsidR="001F0BBC" w:rsidRPr="009239F8">
        <w:rPr>
          <w:rFonts w:ascii="Times New Roman" w:hAnsi="Times New Roman" w:cs="Times New Roman"/>
          <w:lang w:val="en-US"/>
        </w:rPr>
        <w:t>,</w:t>
      </w:r>
      <w:r w:rsidR="00224CCA" w:rsidRPr="009239F8">
        <w:rPr>
          <w:rFonts w:ascii="Times New Roman" w:hAnsi="Times New Roman" w:cs="Times New Roman"/>
          <w:lang w:val="en-US"/>
        </w:rPr>
        <w:t xml:space="preserve"> </w:t>
      </w:r>
      <w:r w:rsidRPr="009239F8">
        <w:rPr>
          <w:rFonts w:ascii="Times New Roman" w:hAnsi="Times New Roman" w:cs="Times New Roman"/>
          <w:lang w:val="en-US"/>
        </w:rPr>
        <w:t>although differences were less consistent than those observed longitudinally.</w:t>
      </w:r>
      <w:r w:rsidR="00955B82" w:rsidRPr="009239F8">
        <w:rPr>
          <w:rFonts w:ascii="Times New Roman" w:hAnsi="Times New Roman" w:cs="Times New Roman"/>
          <w:lang w:val="en-US"/>
        </w:rPr>
        <w:t xml:space="preserve"> </w:t>
      </w:r>
    </w:p>
    <w:p w14:paraId="10D311DD" w14:textId="431565F0" w:rsidR="009E712D" w:rsidRPr="009239F8" w:rsidRDefault="009E712D" w:rsidP="009A5B48">
      <w:pPr>
        <w:pStyle w:val="Caption"/>
        <w:spacing w:line="480" w:lineRule="auto"/>
        <w:jc w:val="both"/>
        <w:rPr>
          <w:rFonts w:cs="Times New Roman"/>
          <w:color w:val="auto"/>
          <w:lang w:val="en-US"/>
        </w:rPr>
      </w:pPr>
      <w:bookmarkStart w:id="4" w:name="_Ref232698730"/>
      <w:r w:rsidRPr="009239F8">
        <w:rPr>
          <w:rFonts w:cs="Times New Roman"/>
          <w:b/>
          <w:color w:val="auto"/>
          <w:lang w:val="en-US"/>
        </w:rPr>
        <w:t xml:space="preserve">Table S </w:t>
      </w:r>
      <w:r w:rsidRPr="009239F8">
        <w:rPr>
          <w:rFonts w:cs="Times New Roman"/>
          <w:b/>
          <w:color w:val="auto"/>
          <w:lang w:val="en-US"/>
        </w:rPr>
        <w:fldChar w:fldCharType="begin"/>
      </w:r>
      <w:r w:rsidRPr="009239F8">
        <w:rPr>
          <w:rFonts w:cs="Times New Roman"/>
          <w:b/>
          <w:color w:val="auto"/>
          <w:lang w:val="en-US"/>
        </w:rPr>
        <w:instrText xml:space="preserve"> SEQ Table_S \* ARABIC </w:instrText>
      </w:r>
      <w:r w:rsidRPr="009239F8">
        <w:rPr>
          <w:rFonts w:cs="Times New Roman"/>
          <w:b/>
          <w:color w:val="auto"/>
          <w:lang w:val="en-US"/>
        </w:rPr>
        <w:fldChar w:fldCharType="separate"/>
      </w:r>
      <w:r w:rsidR="00890076" w:rsidRPr="009239F8">
        <w:rPr>
          <w:rFonts w:cs="Times New Roman"/>
          <w:b/>
          <w:color w:val="auto"/>
          <w:lang w:val="en-US"/>
        </w:rPr>
        <w:t>2</w:t>
      </w:r>
      <w:r w:rsidRPr="009239F8">
        <w:rPr>
          <w:rFonts w:cs="Times New Roman"/>
          <w:b/>
          <w:color w:val="auto"/>
          <w:lang w:val="en-US"/>
        </w:rPr>
        <w:fldChar w:fldCharType="end"/>
      </w:r>
      <w:bookmarkEnd w:id="4"/>
      <w:r w:rsidRPr="009239F8">
        <w:rPr>
          <w:rFonts w:cs="Times New Roman"/>
          <w:b/>
          <w:color w:val="auto"/>
          <w:lang w:val="en-US"/>
        </w:rPr>
        <w:t>.</w:t>
      </w:r>
      <w:r w:rsidRPr="009239F8">
        <w:rPr>
          <w:rFonts w:cs="Times New Roman"/>
          <w:color w:val="auto"/>
          <w:lang w:val="en-US"/>
        </w:rPr>
        <w:t xml:space="preserve"> </w:t>
      </w:r>
      <w:r w:rsidRPr="009239F8">
        <w:rPr>
          <w:rFonts w:cs="Times New Roman"/>
          <w:b/>
          <w:color w:val="auto"/>
          <w:lang w:val="en-US"/>
        </w:rPr>
        <w:t xml:space="preserve">Post-hoc pairwise comparisons of </w:t>
      </w:r>
      <w:r w:rsidR="002E5BCB" w:rsidRPr="009239F8">
        <w:rPr>
          <w:rFonts w:cs="Times New Roman"/>
          <w:b/>
          <w:color w:val="auto"/>
          <w:lang w:val="en-US"/>
        </w:rPr>
        <w:t>aging repolarization (AgR)</w:t>
      </w:r>
      <w:r w:rsidRPr="009239F8">
        <w:rPr>
          <w:rFonts w:cs="Times New Roman"/>
          <w:b/>
          <w:color w:val="auto"/>
          <w:lang w:val="en-US"/>
        </w:rPr>
        <w:t xml:space="preserve"> compensation class distributions across longitudinal and circumferential regions in the healthy MyoFit46 cohort.</w:t>
      </w:r>
      <w:r w:rsidRPr="009239F8">
        <w:rPr>
          <w:rFonts w:cs="Times New Roman"/>
          <w:color w:val="auto"/>
          <w:lang w:val="en-US"/>
        </w:rPr>
        <w:t xml:space="preserve"> </w:t>
      </w:r>
      <w:r w:rsidR="006D631E" w:rsidRPr="006D631E">
        <w:rPr>
          <w:rFonts w:cs="Times New Roman"/>
          <w:color w:val="auto"/>
        </w:rPr>
        <w:t>Results of post-hoc pairwise Wilcoxon signed-rank tests with Benjamini–Hochberg correction</w:t>
      </w:r>
      <w:r w:rsidR="006D631E" w:rsidRPr="006D631E">
        <w:rPr>
          <w:rFonts w:cs="Times New Roman"/>
          <w:color w:val="auto"/>
          <w:lang w:val="en-US"/>
        </w:rPr>
        <w:t xml:space="preserve"> </w:t>
      </w:r>
      <w:r w:rsidRPr="009239F8">
        <w:rPr>
          <w:rFonts w:cs="Times New Roman"/>
          <w:color w:val="auto"/>
          <w:lang w:val="en-US"/>
        </w:rPr>
        <w:t>(p</w:t>
      </w:r>
      <w:r w:rsidRPr="009239F8">
        <w:rPr>
          <w:rFonts w:cs="Times New Roman"/>
          <w:color w:val="auto"/>
          <w:vertAlign w:val="subscript"/>
          <w:lang w:val="en-US"/>
        </w:rPr>
        <w:t>adj</w:t>
      </w:r>
      <w:r w:rsidRPr="009239F8">
        <w:rPr>
          <w:rFonts w:cs="Times New Roman"/>
          <w:color w:val="auto"/>
          <w:lang w:val="en-US"/>
        </w:rPr>
        <w:t>) following significant Friedman omnibus tests for longitudinal (Basal, Mid, Apical) and circumferential (Lateral, Inferior, Anterior) regional comparisons of AgR</w:t>
      </w:r>
      <w:r w:rsidRPr="009239F8">
        <w:rPr>
          <w:rFonts w:cs="Times New Roman"/>
          <w:color w:val="auto"/>
          <w:vertAlign w:val="superscript"/>
          <w:lang w:val="en-US"/>
        </w:rPr>
        <w:t>↓</w:t>
      </w:r>
      <w:r w:rsidRPr="009239F8">
        <w:rPr>
          <w:rFonts w:cs="Times New Roman"/>
          <w:color w:val="auto"/>
          <w:lang w:val="en-US"/>
        </w:rPr>
        <w:t xml:space="preserve"> (shortening) and AgR</w:t>
      </w:r>
      <w:r w:rsidRPr="009239F8">
        <w:rPr>
          <w:rFonts w:cs="Times New Roman"/>
          <w:color w:val="auto"/>
          <w:vertAlign w:val="superscript"/>
          <w:lang w:val="en-US"/>
        </w:rPr>
        <w:t>↑</w:t>
      </w:r>
      <w:r w:rsidRPr="009239F8">
        <w:rPr>
          <w:rFonts w:cs="Times New Roman"/>
          <w:color w:val="auto"/>
          <w:lang w:val="en-US"/>
        </w:rPr>
        <w:t xml:space="preserve"> (prolongation) class prevalence. Bold values indicate p</w:t>
      </w:r>
      <w:r w:rsidRPr="009239F8">
        <w:rPr>
          <w:rFonts w:cs="Times New Roman"/>
          <w:color w:val="auto"/>
          <w:vertAlign w:val="subscript"/>
          <w:lang w:val="en-US"/>
        </w:rPr>
        <w:t>adj</w:t>
      </w:r>
      <w:r w:rsidRPr="009239F8">
        <w:rPr>
          <w:rFonts w:cs="Times New Roman"/>
          <w:color w:val="auto"/>
          <w:lang w:val="en-US"/>
        </w:rPr>
        <w:t xml:space="preserve"> &lt; 0.05. AgR: aging repolarization; Ant: anterior; g</w:t>
      </w:r>
      <w:r w:rsidRPr="009239F8">
        <w:rPr>
          <w:rFonts w:cs="Times New Roman"/>
          <w:color w:val="auto"/>
          <w:vertAlign w:val="subscript"/>
          <w:lang w:val="en-US"/>
        </w:rPr>
        <w:t>Kr</w:t>
      </w:r>
      <w:r w:rsidRPr="009239F8">
        <w:rPr>
          <w:rFonts w:cs="Times New Roman"/>
          <w:color w:val="auto"/>
          <w:lang w:val="en-US"/>
        </w:rPr>
        <w:t>: rapid delayed rectifier potassium current conductance scaling factor; Inf: inferior; Lat: lateral; LV: left ventricle; RV: right ventricle.</w:t>
      </w:r>
    </w:p>
    <w:tbl>
      <w:tblPr>
        <w:tblStyle w:val="TableGrid"/>
        <w:tblW w:w="9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3056"/>
        <w:gridCol w:w="3057"/>
      </w:tblGrid>
      <w:tr w:rsidR="008551DB" w:rsidRPr="009239F8" w14:paraId="2A9292CA" w14:textId="77777777" w:rsidTr="00A72AA9">
        <w:trPr>
          <w:trHeight w:val="539"/>
        </w:trPr>
        <w:tc>
          <w:tcPr>
            <w:tcW w:w="3056" w:type="dxa"/>
            <w:tcBorders>
              <w:bottom w:val="single" w:sz="4" w:space="0" w:color="auto"/>
            </w:tcBorders>
            <w:vAlign w:val="center"/>
            <w:hideMark/>
          </w:tcPr>
          <w:p w14:paraId="72C57027"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Comparison (Friedman p)</w:t>
            </w:r>
          </w:p>
        </w:tc>
        <w:tc>
          <w:tcPr>
            <w:tcW w:w="3056" w:type="dxa"/>
            <w:tcBorders>
              <w:bottom w:val="single" w:sz="4" w:space="0" w:color="auto"/>
            </w:tcBorders>
            <w:vAlign w:val="center"/>
            <w:hideMark/>
          </w:tcPr>
          <w:p w14:paraId="1B6C7E8F"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Pair</w:t>
            </w:r>
          </w:p>
        </w:tc>
        <w:tc>
          <w:tcPr>
            <w:tcW w:w="3057" w:type="dxa"/>
            <w:tcBorders>
              <w:bottom w:val="single" w:sz="4" w:space="0" w:color="auto"/>
            </w:tcBorders>
            <w:vAlign w:val="center"/>
            <w:hideMark/>
          </w:tcPr>
          <w:p w14:paraId="2C3FE720"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i/>
                <w:iCs/>
                <w:lang w:val="en-US"/>
              </w:rPr>
              <w:t>p</w:t>
            </w:r>
            <w:r w:rsidRPr="009239F8">
              <w:rPr>
                <w:rFonts w:ascii="Times New Roman" w:hAnsi="Times New Roman" w:cs="Times New Roman"/>
                <w:b/>
                <w:vertAlign w:val="subscript"/>
                <w:lang w:val="en-US"/>
              </w:rPr>
              <w:t>adj</w:t>
            </w:r>
            <w:r w:rsidRPr="009239F8">
              <w:rPr>
                <w:rFonts w:ascii="Times New Roman" w:hAnsi="Times New Roman" w:cs="Times New Roman"/>
                <w:b/>
                <w:lang w:val="en-US"/>
              </w:rPr>
              <w:br/>
            </w:r>
          </w:p>
        </w:tc>
      </w:tr>
      <w:tr w:rsidR="008551DB" w:rsidRPr="009239F8" w14:paraId="6DDFA7EA" w14:textId="77777777" w:rsidTr="00A72AA9">
        <w:trPr>
          <w:trHeight w:val="539"/>
        </w:trPr>
        <w:tc>
          <w:tcPr>
            <w:tcW w:w="9169" w:type="dxa"/>
            <w:gridSpan w:val="3"/>
            <w:tcBorders>
              <w:top w:val="single" w:sz="4" w:space="0" w:color="auto"/>
              <w:bottom w:val="single" w:sz="4" w:space="0" w:color="auto"/>
            </w:tcBorders>
            <w:vAlign w:val="center"/>
          </w:tcPr>
          <w:p w14:paraId="541612E4" w14:textId="77777777" w:rsidR="008551DB" w:rsidRPr="009239F8" w:rsidRDefault="008551DB" w:rsidP="009A5B48">
            <w:pPr>
              <w:spacing w:line="480" w:lineRule="auto"/>
              <w:rPr>
                <w:rFonts w:ascii="Times New Roman" w:hAnsi="Times New Roman" w:cs="Times New Roman"/>
                <w:lang w:val="en-US"/>
              </w:rPr>
            </w:pPr>
            <w:r w:rsidRPr="009239F8">
              <w:rPr>
                <w:rFonts w:ascii="Times New Roman" w:hAnsi="Times New Roman" w:cs="Times New Roman"/>
                <w:b/>
                <w:i/>
                <w:sz w:val="18"/>
                <w:lang w:val="en-US"/>
              </w:rPr>
              <w:t>LV Longitudinal — AgR↓ (Friedman p = 0.045)</w:t>
            </w:r>
          </w:p>
        </w:tc>
      </w:tr>
      <w:tr w:rsidR="008551DB" w:rsidRPr="009239F8" w14:paraId="2120828C" w14:textId="77777777" w:rsidTr="00A72AA9">
        <w:trPr>
          <w:trHeight w:val="540"/>
        </w:trPr>
        <w:tc>
          <w:tcPr>
            <w:tcW w:w="3056" w:type="dxa"/>
            <w:tcBorders>
              <w:top w:val="single" w:sz="4" w:space="0" w:color="auto"/>
            </w:tcBorders>
            <w:vAlign w:val="center"/>
          </w:tcPr>
          <w:p w14:paraId="3839BC36"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top w:val="single" w:sz="4" w:space="0" w:color="auto"/>
            </w:tcBorders>
            <w:vAlign w:val="center"/>
            <w:hideMark/>
          </w:tcPr>
          <w:p w14:paraId="19F6355E"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Base vs Mid</w:t>
            </w:r>
          </w:p>
        </w:tc>
        <w:tc>
          <w:tcPr>
            <w:tcW w:w="3057" w:type="dxa"/>
            <w:tcBorders>
              <w:top w:val="single" w:sz="4" w:space="0" w:color="auto"/>
            </w:tcBorders>
            <w:vAlign w:val="center"/>
            <w:hideMark/>
          </w:tcPr>
          <w:p w14:paraId="156A1125"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0.005</w:t>
            </w:r>
          </w:p>
        </w:tc>
      </w:tr>
      <w:tr w:rsidR="008551DB" w:rsidRPr="009239F8" w14:paraId="03D8E7F1" w14:textId="77777777" w:rsidTr="00A72AA9">
        <w:trPr>
          <w:trHeight w:val="539"/>
        </w:trPr>
        <w:tc>
          <w:tcPr>
            <w:tcW w:w="3056" w:type="dxa"/>
            <w:vAlign w:val="center"/>
          </w:tcPr>
          <w:p w14:paraId="773D00FC"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vAlign w:val="center"/>
            <w:hideMark/>
          </w:tcPr>
          <w:p w14:paraId="7A5BB25D"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Base vs Apex</w:t>
            </w:r>
          </w:p>
        </w:tc>
        <w:tc>
          <w:tcPr>
            <w:tcW w:w="3057" w:type="dxa"/>
            <w:vAlign w:val="center"/>
            <w:hideMark/>
          </w:tcPr>
          <w:p w14:paraId="2AD68C81"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0.006</w:t>
            </w:r>
          </w:p>
        </w:tc>
      </w:tr>
      <w:tr w:rsidR="008551DB" w:rsidRPr="009239F8" w14:paraId="24CE1C70" w14:textId="77777777" w:rsidTr="00A72AA9">
        <w:trPr>
          <w:trHeight w:val="539"/>
        </w:trPr>
        <w:tc>
          <w:tcPr>
            <w:tcW w:w="3056" w:type="dxa"/>
            <w:tcBorders>
              <w:bottom w:val="single" w:sz="4" w:space="0" w:color="auto"/>
            </w:tcBorders>
            <w:vAlign w:val="center"/>
          </w:tcPr>
          <w:p w14:paraId="3346A912"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bottom w:val="single" w:sz="4" w:space="0" w:color="auto"/>
            </w:tcBorders>
            <w:vAlign w:val="center"/>
            <w:hideMark/>
          </w:tcPr>
          <w:p w14:paraId="38D0EAEF"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Mid vs Apex</w:t>
            </w:r>
          </w:p>
        </w:tc>
        <w:tc>
          <w:tcPr>
            <w:tcW w:w="3057" w:type="dxa"/>
            <w:tcBorders>
              <w:bottom w:val="single" w:sz="4" w:space="0" w:color="auto"/>
            </w:tcBorders>
            <w:vAlign w:val="center"/>
            <w:hideMark/>
          </w:tcPr>
          <w:p w14:paraId="41D1B308"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0.039</w:t>
            </w:r>
          </w:p>
        </w:tc>
      </w:tr>
      <w:tr w:rsidR="008551DB" w:rsidRPr="009239F8" w14:paraId="4E9F0C28" w14:textId="77777777" w:rsidTr="00A72AA9">
        <w:trPr>
          <w:trHeight w:val="540"/>
        </w:trPr>
        <w:tc>
          <w:tcPr>
            <w:tcW w:w="9169" w:type="dxa"/>
            <w:gridSpan w:val="3"/>
            <w:tcBorders>
              <w:top w:val="single" w:sz="4" w:space="0" w:color="auto"/>
              <w:bottom w:val="single" w:sz="4" w:space="0" w:color="auto"/>
            </w:tcBorders>
            <w:vAlign w:val="center"/>
          </w:tcPr>
          <w:p w14:paraId="1225C90F" w14:textId="77777777" w:rsidR="008551DB" w:rsidRPr="009239F8" w:rsidRDefault="008551DB" w:rsidP="009A5B48">
            <w:pPr>
              <w:spacing w:line="480" w:lineRule="auto"/>
              <w:rPr>
                <w:rFonts w:ascii="Times New Roman" w:hAnsi="Times New Roman" w:cs="Times New Roman"/>
                <w:lang w:val="en-US"/>
              </w:rPr>
            </w:pPr>
            <w:r w:rsidRPr="009239F8">
              <w:rPr>
                <w:rFonts w:ascii="Times New Roman" w:hAnsi="Times New Roman" w:cs="Times New Roman"/>
                <w:b/>
                <w:i/>
                <w:sz w:val="18"/>
                <w:lang w:val="en-US"/>
              </w:rPr>
              <w:t>LV Longitudinal — AgR↑ (Friedman p = &lt;0.001)</w:t>
            </w:r>
          </w:p>
        </w:tc>
      </w:tr>
      <w:tr w:rsidR="008551DB" w:rsidRPr="009239F8" w14:paraId="6FA037D0" w14:textId="77777777" w:rsidTr="00A72AA9">
        <w:trPr>
          <w:trHeight w:val="539"/>
        </w:trPr>
        <w:tc>
          <w:tcPr>
            <w:tcW w:w="3056" w:type="dxa"/>
            <w:tcBorders>
              <w:top w:val="single" w:sz="4" w:space="0" w:color="auto"/>
            </w:tcBorders>
            <w:vAlign w:val="center"/>
          </w:tcPr>
          <w:p w14:paraId="46A22DDA"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top w:val="single" w:sz="4" w:space="0" w:color="auto"/>
            </w:tcBorders>
            <w:vAlign w:val="center"/>
            <w:hideMark/>
          </w:tcPr>
          <w:p w14:paraId="56C5DD6F"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Base vs Mid</w:t>
            </w:r>
          </w:p>
        </w:tc>
        <w:tc>
          <w:tcPr>
            <w:tcW w:w="3057" w:type="dxa"/>
            <w:tcBorders>
              <w:top w:val="single" w:sz="4" w:space="0" w:color="auto"/>
            </w:tcBorders>
            <w:vAlign w:val="center"/>
            <w:hideMark/>
          </w:tcPr>
          <w:p w14:paraId="7FCCD1F9"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&lt;0.001</w:t>
            </w:r>
          </w:p>
        </w:tc>
      </w:tr>
      <w:tr w:rsidR="008551DB" w:rsidRPr="009239F8" w14:paraId="09299FEE" w14:textId="77777777" w:rsidTr="00A72AA9">
        <w:trPr>
          <w:trHeight w:val="539"/>
        </w:trPr>
        <w:tc>
          <w:tcPr>
            <w:tcW w:w="3056" w:type="dxa"/>
            <w:vAlign w:val="center"/>
          </w:tcPr>
          <w:p w14:paraId="708A183A"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vAlign w:val="center"/>
            <w:hideMark/>
          </w:tcPr>
          <w:p w14:paraId="7CD05809"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Base vs Apex</w:t>
            </w:r>
          </w:p>
        </w:tc>
        <w:tc>
          <w:tcPr>
            <w:tcW w:w="3057" w:type="dxa"/>
            <w:vAlign w:val="center"/>
            <w:hideMark/>
          </w:tcPr>
          <w:p w14:paraId="5FCE51EB"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&lt;0.001</w:t>
            </w:r>
          </w:p>
        </w:tc>
      </w:tr>
      <w:tr w:rsidR="008551DB" w:rsidRPr="009239F8" w14:paraId="6576A6D4" w14:textId="77777777" w:rsidTr="00A72AA9">
        <w:trPr>
          <w:trHeight w:val="540"/>
        </w:trPr>
        <w:tc>
          <w:tcPr>
            <w:tcW w:w="3056" w:type="dxa"/>
            <w:tcBorders>
              <w:bottom w:val="single" w:sz="4" w:space="0" w:color="auto"/>
            </w:tcBorders>
            <w:vAlign w:val="center"/>
          </w:tcPr>
          <w:p w14:paraId="1CE93518"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bottom w:val="single" w:sz="4" w:space="0" w:color="auto"/>
            </w:tcBorders>
            <w:vAlign w:val="center"/>
            <w:hideMark/>
          </w:tcPr>
          <w:p w14:paraId="39A6A612"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Mid vs Apex</w:t>
            </w:r>
          </w:p>
        </w:tc>
        <w:tc>
          <w:tcPr>
            <w:tcW w:w="3057" w:type="dxa"/>
            <w:tcBorders>
              <w:bottom w:val="single" w:sz="4" w:space="0" w:color="auto"/>
            </w:tcBorders>
            <w:vAlign w:val="center"/>
            <w:hideMark/>
          </w:tcPr>
          <w:p w14:paraId="493DDDE6"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&lt;0.001</w:t>
            </w:r>
          </w:p>
        </w:tc>
      </w:tr>
      <w:tr w:rsidR="008551DB" w:rsidRPr="009239F8" w14:paraId="3BF40106" w14:textId="77777777" w:rsidTr="00A72AA9">
        <w:trPr>
          <w:trHeight w:val="539"/>
        </w:trPr>
        <w:tc>
          <w:tcPr>
            <w:tcW w:w="9169" w:type="dxa"/>
            <w:gridSpan w:val="3"/>
            <w:tcBorders>
              <w:top w:val="single" w:sz="4" w:space="0" w:color="auto"/>
              <w:bottom w:val="single" w:sz="4" w:space="0" w:color="auto"/>
            </w:tcBorders>
            <w:vAlign w:val="center"/>
          </w:tcPr>
          <w:p w14:paraId="13EB10E6" w14:textId="77777777" w:rsidR="008551DB" w:rsidRPr="009239F8" w:rsidRDefault="008551DB" w:rsidP="009A5B48">
            <w:pPr>
              <w:spacing w:line="480" w:lineRule="auto"/>
              <w:rPr>
                <w:rFonts w:ascii="Times New Roman" w:hAnsi="Times New Roman" w:cs="Times New Roman"/>
                <w:lang w:val="en-US"/>
              </w:rPr>
            </w:pPr>
            <w:r w:rsidRPr="009239F8">
              <w:rPr>
                <w:rFonts w:ascii="Times New Roman" w:hAnsi="Times New Roman" w:cs="Times New Roman"/>
                <w:b/>
                <w:i/>
                <w:sz w:val="18"/>
                <w:lang w:val="en-US"/>
              </w:rPr>
              <w:t>RV Longitudinal — AgR↓ (Friedman p = 0.016)</w:t>
            </w:r>
          </w:p>
        </w:tc>
      </w:tr>
      <w:tr w:rsidR="008551DB" w:rsidRPr="009239F8" w14:paraId="73C7C5BF" w14:textId="77777777" w:rsidTr="00A72AA9">
        <w:trPr>
          <w:trHeight w:val="539"/>
        </w:trPr>
        <w:tc>
          <w:tcPr>
            <w:tcW w:w="3056" w:type="dxa"/>
            <w:tcBorders>
              <w:top w:val="single" w:sz="4" w:space="0" w:color="auto"/>
            </w:tcBorders>
            <w:vAlign w:val="center"/>
          </w:tcPr>
          <w:p w14:paraId="1AD8293C"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top w:val="single" w:sz="4" w:space="0" w:color="auto"/>
            </w:tcBorders>
            <w:vAlign w:val="center"/>
            <w:hideMark/>
          </w:tcPr>
          <w:p w14:paraId="71B2A568"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Base vs Mid</w:t>
            </w:r>
          </w:p>
        </w:tc>
        <w:tc>
          <w:tcPr>
            <w:tcW w:w="3057" w:type="dxa"/>
            <w:tcBorders>
              <w:top w:val="single" w:sz="4" w:space="0" w:color="auto"/>
            </w:tcBorders>
            <w:vAlign w:val="center"/>
            <w:hideMark/>
          </w:tcPr>
          <w:p w14:paraId="6D8072FA"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0.002</w:t>
            </w:r>
          </w:p>
        </w:tc>
      </w:tr>
      <w:tr w:rsidR="008551DB" w:rsidRPr="009239F8" w14:paraId="4AACEE60" w14:textId="77777777" w:rsidTr="00A72AA9">
        <w:trPr>
          <w:trHeight w:val="540"/>
        </w:trPr>
        <w:tc>
          <w:tcPr>
            <w:tcW w:w="3056" w:type="dxa"/>
            <w:vAlign w:val="center"/>
          </w:tcPr>
          <w:p w14:paraId="51FA2400"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vAlign w:val="center"/>
            <w:hideMark/>
          </w:tcPr>
          <w:p w14:paraId="0443F855"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Base vs Apex</w:t>
            </w:r>
          </w:p>
        </w:tc>
        <w:tc>
          <w:tcPr>
            <w:tcW w:w="3057" w:type="dxa"/>
            <w:vAlign w:val="center"/>
            <w:hideMark/>
          </w:tcPr>
          <w:p w14:paraId="3E9A90AC"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0.005</w:t>
            </w:r>
          </w:p>
        </w:tc>
      </w:tr>
      <w:tr w:rsidR="008551DB" w:rsidRPr="009239F8" w14:paraId="7BC007DD" w14:textId="77777777" w:rsidTr="00A72AA9">
        <w:trPr>
          <w:trHeight w:val="539"/>
        </w:trPr>
        <w:tc>
          <w:tcPr>
            <w:tcW w:w="3056" w:type="dxa"/>
            <w:tcBorders>
              <w:bottom w:val="single" w:sz="4" w:space="0" w:color="auto"/>
            </w:tcBorders>
            <w:vAlign w:val="center"/>
          </w:tcPr>
          <w:p w14:paraId="6741B52F"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bottom w:val="single" w:sz="4" w:space="0" w:color="auto"/>
            </w:tcBorders>
            <w:vAlign w:val="center"/>
            <w:hideMark/>
          </w:tcPr>
          <w:p w14:paraId="5ED0C3E2"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Mid vs Apex</w:t>
            </w:r>
          </w:p>
        </w:tc>
        <w:tc>
          <w:tcPr>
            <w:tcW w:w="3057" w:type="dxa"/>
            <w:tcBorders>
              <w:bottom w:val="single" w:sz="4" w:space="0" w:color="auto"/>
            </w:tcBorders>
            <w:vAlign w:val="center"/>
            <w:hideMark/>
          </w:tcPr>
          <w:p w14:paraId="09F79FF4"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0.517</w:t>
            </w:r>
          </w:p>
        </w:tc>
      </w:tr>
      <w:tr w:rsidR="008551DB" w:rsidRPr="009239F8" w14:paraId="78FD6C55" w14:textId="77777777" w:rsidTr="00A72AA9">
        <w:trPr>
          <w:trHeight w:val="539"/>
        </w:trPr>
        <w:tc>
          <w:tcPr>
            <w:tcW w:w="9169" w:type="dxa"/>
            <w:gridSpan w:val="3"/>
            <w:tcBorders>
              <w:top w:val="single" w:sz="4" w:space="0" w:color="auto"/>
              <w:bottom w:val="single" w:sz="4" w:space="0" w:color="auto"/>
            </w:tcBorders>
            <w:vAlign w:val="center"/>
          </w:tcPr>
          <w:p w14:paraId="10FA9A48" w14:textId="77777777" w:rsidR="008551DB" w:rsidRPr="009239F8" w:rsidRDefault="008551DB" w:rsidP="009A5B48">
            <w:pPr>
              <w:spacing w:line="480" w:lineRule="auto"/>
              <w:rPr>
                <w:rFonts w:ascii="Times New Roman" w:hAnsi="Times New Roman" w:cs="Times New Roman"/>
                <w:lang w:val="en-US"/>
              </w:rPr>
            </w:pPr>
            <w:r w:rsidRPr="009239F8">
              <w:rPr>
                <w:rFonts w:ascii="Times New Roman" w:hAnsi="Times New Roman" w:cs="Times New Roman"/>
                <w:b/>
                <w:i/>
                <w:sz w:val="18"/>
                <w:lang w:val="en-US"/>
              </w:rPr>
              <w:t>RV Longitudinal — AgR↑ (Friedman p = &lt;0.001)</w:t>
            </w:r>
          </w:p>
        </w:tc>
      </w:tr>
      <w:tr w:rsidR="008551DB" w:rsidRPr="009239F8" w14:paraId="0D4E6FA8" w14:textId="77777777" w:rsidTr="00A72AA9">
        <w:trPr>
          <w:trHeight w:val="540"/>
        </w:trPr>
        <w:tc>
          <w:tcPr>
            <w:tcW w:w="3056" w:type="dxa"/>
            <w:tcBorders>
              <w:top w:val="single" w:sz="4" w:space="0" w:color="auto"/>
            </w:tcBorders>
            <w:vAlign w:val="center"/>
          </w:tcPr>
          <w:p w14:paraId="2D31F137"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top w:val="single" w:sz="4" w:space="0" w:color="auto"/>
            </w:tcBorders>
            <w:vAlign w:val="center"/>
            <w:hideMark/>
          </w:tcPr>
          <w:p w14:paraId="6FFF9A07"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Base vs Mid</w:t>
            </w:r>
          </w:p>
        </w:tc>
        <w:tc>
          <w:tcPr>
            <w:tcW w:w="3057" w:type="dxa"/>
            <w:tcBorders>
              <w:top w:val="single" w:sz="4" w:space="0" w:color="auto"/>
            </w:tcBorders>
            <w:vAlign w:val="center"/>
            <w:hideMark/>
          </w:tcPr>
          <w:p w14:paraId="3BC4F096"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&lt;0.001</w:t>
            </w:r>
          </w:p>
        </w:tc>
      </w:tr>
      <w:tr w:rsidR="008551DB" w:rsidRPr="009239F8" w14:paraId="1C645941" w14:textId="77777777" w:rsidTr="00A72AA9">
        <w:trPr>
          <w:trHeight w:val="539"/>
        </w:trPr>
        <w:tc>
          <w:tcPr>
            <w:tcW w:w="3056" w:type="dxa"/>
            <w:vAlign w:val="center"/>
          </w:tcPr>
          <w:p w14:paraId="151E263F"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vAlign w:val="center"/>
            <w:hideMark/>
          </w:tcPr>
          <w:p w14:paraId="40AE0ACA"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Base vs Apex</w:t>
            </w:r>
          </w:p>
        </w:tc>
        <w:tc>
          <w:tcPr>
            <w:tcW w:w="3057" w:type="dxa"/>
            <w:vAlign w:val="center"/>
            <w:hideMark/>
          </w:tcPr>
          <w:p w14:paraId="6FE0C14B"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&lt;0.001</w:t>
            </w:r>
          </w:p>
        </w:tc>
      </w:tr>
      <w:tr w:rsidR="008551DB" w:rsidRPr="009239F8" w14:paraId="17C545E3" w14:textId="77777777" w:rsidTr="00A72AA9">
        <w:trPr>
          <w:trHeight w:val="539"/>
        </w:trPr>
        <w:tc>
          <w:tcPr>
            <w:tcW w:w="3056" w:type="dxa"/>
            <w:tcBorders>
              <w:bottom w:val="single" w:sz="4" w:space="0" w:color="auto"/>
            </w:tcBorders>
            <w:vAlign w:val="center"/>
          </w:tcPr>
          <w:p w14:paraId="50C0C198"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bottom w:val="single" w:sz="4" w:space="0" w:color="auto"/>
            </w:tcBorders>
            <w:vAlign w:val="center"/>
            <w:hideMark/>
          </w:tcPr>
          <w:p w14:paraId="0DCFB9CA"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Mid vs Apex</w:t>
            </w:r>
          </w:p>
        </w:tc>
        <w:tc>
          <w:tcPr>
            <w:tcW w:w="3057" w:type="dxa"/>
            <w:tcBorders>
              <w:bottom w:val="single" w:sz="4" w:space="0" w:color="auto"/>
            </w:tcBorders>
            <w:vAlign w:val="center"/>
            <w:hideMark/>
          </w:tcPr>
          <w:p w14:paraId="75173E7D"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0.005</w:t>
            </w:r>
          </w:p>
        </w:tc>
      </w:tr>
      <w:tr w:rsidR="008551DB" w:rsidRPr="009239F8" w14:paraId="33F68DEA" w14:textId="77777777" w:rsidTr="00A72AA9">
        <w:trPr>
          <w:trHeight w:val="540"/>
        </w:trPr>
        <w:tc>
          <w:tcPr>
            <w:tcW w:w="9169" w:type="dxa"/>
            <w:gridSpan w:val="3"/>
            <w:tcBorders>
              <w:top w:val="single" w:sz="4" w:space="0" w:color="auto"/>
              <w:bottom w:val="single" w:sz="4" w:space="0" w:color="auto"/>
            </w:tcBorders>
            <w:vAlign w:val="center"/>
          </w:tcPr>
          <w:p w14:paraId="0616CE57" w14:textId="77777777" w:rsidR="008551DB" w:rsidRPr="009239F8" w:rsidRDefault="008551DB" w:rsidP="009A5B48">
            <w:pPr>
              <w:spacing w:line="480" w:lineRule="auto"/>
              <w:rPr>
                <w:rFonts w:ascii="Times New Roman" w:hAnsi="Times New Roman" w:cs="Times New Roman"/>
                <w:lang w:val="en-US"/>
              </w:rPr>
            </w:pPr>
            <w:r w:rsidRPr="009239F8">
              <w:rPr>
                <w:rFonts w:ascii="Times New Roman" w:hAnsi="Times New Roman" w:cs="Times New Roman"/>
                <w:b/>
                <w:i/>
                <w:sz w:val="18"/>
                <w:lang w:val="en-US"/>
              </w:rPr>
              <w:t>LV Circumferential — AgR↓ (Friedman p = &lt;0.01)</w:t>
            </w:r>
          </w:p>
        </w:tc>
      </w:tr>
      <w:tr w:rsidR="008551DB" w:rsidRPr="009239F8" w14:paraId="5D95C961" w14:textId="77777777" w:rsidTr="00A72AA9">
        <w:trPr>
          <w:trHeight w:val="539"/>
        </w:trPr>
        <w:tc>
          <w:tcPr>
            <w:tcW w:w="3056" w:type="dxa"/>
            <w:tcBorders>
              <w:top w:val="single" w:sz="4" w:space="0" w:color="auto"/>
            </w:tcBorders>
            <w:vAlign w:val="center"/>
          </w:tcPr>
          <w:p w14:paraId="14AF073A"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top w:val="single" w:sz="4" w:space="0" w:color="auto"/>
            </w:tcBorders>
            <w:vAlign w:val="center"/>
            <w:hideMark/>
          </w:tcPr>
          <w:p w14:paraId="19B4FEE9"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Lat vs Inf</w:t>
            </w:r>
          </w:p>
        </w:tc>
        <w:tc>
          <w:tcPr>
            <w:tcW w:w="3057" w:type="dxa"/>
            <w:tcBorders>
              <w:top w:val="single" w:sz="4" w:space="0" w:color="auto"/>
            </w:tcBorders>
            <w:vAlign w:val="center"/>
            <w:hideMark/>
          </w:tcPr>
          <w:p w14:paraId="4FA3E505"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0.045</w:t>
            </w:r>
          </w:p>
        </w:tc>
      </w:tr>
      <w:tr w:rsidR="008551DB" w:rsidRPr="009239F8" w14:paraId="447A0C95" w14:textId="77777777" w:rsidTr="00A72AA9">
        <w:trPr>
          <w:trHeight w:val="539"/>
        </w:trPr>
        <w:tc>
          <w:tcPr>
            <w:tcW w:w="3056" w:type="dxa"/>
            <w:vAlign w:val="center"/>
          </w:tcPr>
          <w:p w14:paraId="565B82E7"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vAlign w:val="center"/>
            <w:hideMark/>
          </w:tcPr>
          <w:p w14:paraId="0FB9AAA4"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Lat vs Ant</w:t>
            </w:r>
          </w:p>
        </w:tc>
        <w:tc>
          <w:tcPr>
            <w:tcW w:w="3057" w:type="dxa"/>
            <w:vAlign w:val="center"/>
            <w:hideMark/>
          </w:tcPr>
          <w:p w14:paraId="60D41D6F"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0.009</w:t>
            </w:r>
          </w:p>
        </w:tc>
      </w:tr>
      <w:tr w:rsidR="008551DB" w:rsidRPr="009239F8" w14:paraId="5A79B584" w14:textId="77777777" w:rsidTr="00A72AA9">
        <w:trPr>
          <w:trHeight w:val="540"/>
        </w:trPr>
        <w:tc>
          <w:tcPr>
            <w:tcW w:w="3056" w:type="dxa"/>
            <w:tcBorders>
              <w:bottom w:val="single" w:sz="4" w:space="0" w:color="auto"/>
            </w:tcBorders>
            <w:vAlign w:val="center"/>
          </w:tcPr>
          <w:p w14:paraId="19418121"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bottom w:val="single" w:sz="4" w:space="0" w:color="auto"/>
            </w:tcBorders>
            <w:vAlign w:val="center"/>
            <w:hideMark/>
          </w:tcPr>
          <w:p w14:paraId="01039008"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Inf vs Ant</w:t>
            </w:r>
          </w:p>
        </w:tc>
        <w:tc>
          <w:tcPr>
            <w:tcW w:w="3057" w:type="dxa"/>
            <w:tcBorders>
              <w:bottom w:val="single" w:sz="4" w:space="0" w:color="auto"/>
            </w:tcBorders>
            <w:vAlign w:val="center"/>
            <w:hideMark/>
          </w:tcPr>
          <w:p w14:paraId="00B92980"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0.009</w:t>
            </w:r>
          </w:p>
        </w:tc>
      </w:tr>
      <w:tr w:rsidR="008551DB" w:rsidRPr="009239F8" w14:paraId="41811DD2" w14:textId="77777777" w:rsidTr="00A72AA9">
        <w:trPr>
          <w:trHeight w:val="539"/>
        </w:trPr>
        <w:tc>
          <w:tcPr>
            <w:tcW w:w="9169" w:type="dxa"/>
            <w:gridSpan w:val="3"/>
            <w:tcBorders>
              <w:top w:val="single" w:sz="4" w:space="0" w:color="auto"/>
              <w:bottom w:val="single" w:sz="4" w:space="0" w:color="auto"/>
            </w:tcBorders>
            <w:vAlign w:val="center"/>
          </w:tcPr>
          <w:p w14:paraId="0A358021" w14:textId="77777777" w:rsidR="008551DB" w:rsidRPr="009239F8" w:rsidRDefault="008551DB" w:rsidP="009A5B48">
            <w:pPr>
              <w:spacing w:line="480" w:lineRule="auto"/>
              <w:rPr>
                <w:rFonts w:ascii="Times New Roman" w:hAnsi="Times New Roman" w:cs="Times New Roman"/>
                <w:lang w:val="en-US"/>
              </w:rPr>
            </w:pPr>
            <w:r w:rsidRPr="009239F8">
              <w:rPr>
                <w:rFonts w:ascii="Times New Roman" w:hAnsi="Times New Roman" w:cs="Times New Roman"/>
                <w:b/>
                <w:i/>
                <w:sz w:val="18"/>
                <w:lang w:val="en-US"/>
              </w:rPr>
              <w:t>RV Circumferential — AgR↓ (Friedman p = &lt;0.01)</w:t>
            </w:r>
          </w:p>
        </w:tc>
      </w:tr>
      <w:tr w:rsidR="008551DB" w:rsidRPr="009239F8" w14:paraId="7F20F65C" w14:textId="77777777" w:rsidTr="00A72AA9">
        <w:trPr>
          <w:trHeight w:val="539"/>
        </w:trPr>
        <w:tc>
          <w:tcPr>
            <w:tcW w:w="3056" w:type="dxa"/>
            <w:tcBorders>
              <w:top w:val="single" w:sz="4" w:space="0" w:color="auto"/>
            </w:tcBorders>
            <w:vAlign w:val="center"/>
          </w:tcPr>
          <w:p w14:paraId="1161E519"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top w:val="single" w:sz="4" w:space="0" w:color="auto"/>
            </w:tcBorders>
            <w:vAlign w:val="center"/>
            <w:hideMark/>
          </w:tcPr>
          <w:p w14:paraId="739EA175"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Lat vs Inf</w:t>
            </w:r>
          </w:p>
        </w:tc>
        <w:tc>
          <w:tcPr>
            <w:tcW w:w="3057" w:type="dxa"/>
            <w:tcBorders>
              <w:top w:val="single" w:sz="4" w:space="0" w:color="auto"/>
            </w:tcBorders>
            <w:vAlign w:val="center"/>
            <w:hideMark/>
          </w:tcPr>
          <w:p w14:paraId="27A4FA3E"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0.010</w:t>
            </w:r>
          </w:p>
        </w:tc>
      </w:tr>
      <w:tr w:rsidR="008551DB" w:rsidRPr="009239F8" w14:paraId="3C09AF68" w14:textId="77777777" w:rsidTr="00A72AA9">
        <w:trPr>
          <w:trHeight w:val="540"/>
        </w:trPr>
        <w:tc>
          <w:tcPr>
            <w:tcW w:w="3056" w:type="dxa"/>
            <w:vAlign w:val="center"/>
          </w:tcPr>
          <w:p w14:paraId="2E981F75"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vAlign w:val="center"/>
            <w:hideMark/>
          </w:tcPr>
          <w:p w14:paraId="1CFBA50C"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Lat vs Ant</w:t>
            </w:r>
          </w:p>
        </w:tc>
        <w:tc>
          <w:tcPr>
            <w:tcW w:w="3057" w:type="dxa"/>
            <w:vAlign w:val="center"/>
            <w:hideMark/>
          </w:tcPr>
          <w:p w14:paraId="7CF77328"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0.010</w:t>
            </w:r>
          </w:p>
        </w:tc>
      </w:tr>
      <w:tr w:rsidR="008551DB" w:rsidRPr="009239F8" w14:paraId="146EFD6D" w14:textId="77777777" w:rsidTr="00A72AA9">
        <w:trPr>
          <w:trHeight w:val="539"/>
        </w:trPr>
        <w:tc>
          <w:tcPr>
            <w:tcW w:w="3056" w:type="dxa"/>
            <w:tcBorders>
              <w:bottom w:val="single" w:sz="4" w:space="0" w:color="auto"/>
            </w:tcBorders>
            <w:vAlign w:val="center"/>
          </w:tcPr>
          <w:p w14:paraId="5A9AF595"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bottom w:val="single" w:sz="4" w:space="0" w:color="auto"/>
            </w:tcBorders>
            <w:vAlign w:val="center"/>
            <w:hideMark/>
          </w:tcPr>
          <w:p w14:paraId="05CC35F1"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Inf vs Ant</w:t>
            </w:r>
          </w:p>
        </w:tc>
        <w:tc>
          <w:tcPr>
            <w:tcW w:w="3057" w:type="dxa"/>
            <w:tcBorders>
              <w:bottom w:val="single" w:sz="4" w:space="0" w:color="auto"/>
            </w:tcBorders>
            <w:vAlign w:val="center"/>
            <w:hideMark/>
          </w:tcPr>
          <w:p w14:paraId="063E05BE"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0.919</w:t>
            </w:r>
          </w:p>
        </w:tc>
      </w:tr>
      <w:tr w:rsidR="008551DB" w:rsidRPr="009239F8" w14:paraId="065AAC7D" w14:textId="77777777" w:rsidTr="00A72AA9">
        <w:trPr>
          <w:trHeight w:val="539"/>
        </w:trPr>
        <w:tc>
          <w:tcPr>
            <w:tcW w:w="9169" w:type="dxa"/>
            <w:gridSpan w:val="3"/>
            <w:tcBorders>
              <w:top w:val="single" w:sz="4" w:space="0" w:color="auto"/>
              <w:bottom w:val="single" w:sz="4" w:space="0" w:color="auto"/>
            </w:tcBorders>
            <w:vAlign w:val="center"/>
          </w:tcPr>
          <w:p w14:paraId="00FD094E" w14:textId="77777777" w:rsidR="008551DB" w:rsidRPr="009239F8" w:rsidRDefault="008551DB" w:rsidP="009A5B48">
            <w:pPr>
              <w:spacing w:line="480" w:lineRule="auto"/>
              <w:rPr>
                <w:rFonts w:ascii="Times New Roman" w:hAnsi="Times New Roman" w:cs="Times New Roman"/>
                <w:lang w:val="en-US"/>
              </w:rPr>
            </w:pPr>
            <w:r w:rsidRPr="009239F8">
              <w:rPr>
                <w:rFonts w:ascii="Times New Roman" w:hAnsi="Times New Roman" w:cs="Times New Roman"/>
                <w:b/>
                <w:i/>
                <w:sz w:val="18"/>
                <w:lang w:val="en-US"/>
              </w:rPr>
              <w:t>RV Circumferential — AgR↑ (Friedman p = &lt;0.001)</w:t>
            </w:r>
          </w:p>
        </w:tc>
      </w:tr>
      <w:tr w:rsidR="008551DB" w:rsidRPr="009239F8" w14:paraId="29620727" w14:textId="77777777" w:rsidTr="00A72AA9">
        <w:trPr>
          <w:trHeight w:val="540"/>
        </w:trPr>
        <w:tc>
          <w:tcPr>
            <w:tcW w:w="3056" w:type="dxa"/>
            <w:tcBorders>
              <w:top w:val="single" w:sz="4" w:space="0" w:color="auto"/>
            </w:tcBorders>
            <w:vAlign w:val="center"/>
          </w:tcPr>
          <w:p w14:paraId="5F97DEE6"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top w:val="single" w:sz="4" w:space="0" w:color="auto"/>
            </w:tcBorders>
            <w:vAlign w:val="center"/>
            <w:hideMark/>
          </w:tcPr>
          <w:p w14:paraId="604EF853"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Lat vs Inf</w:t>
            </w:r>
          </w:p>
        </w:tc>
        <w:tc>
          <w:tcPr>
            <w:tcW w:w="3057" w:type="dxa"/>
            <w:tcBorders>
              <w:top w:val="single" w:sz="4" w:space="0" w:color="auto"/>
            </w:tcBorders>
            <w:vAlign w:val="center"/>
            <w:hideMark/>
          </w:tcPr>
          <w:p w14:paraId="50996FC7"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&lt;0.001</w:t>
            </w:r>
          </w:p>
        </w:tc>
      </w:tr>
      <w:tr w:rsidR="008551DB" w:rsidRPr="009239F8" w14:paraId="41764BF0" w14:textId="77777777" w:rsidTr="00A72AA9">
        <w:trPr>
          <w:trHeight w:val="539"/>
        </w:trPr>
        <w:tc>
          <w:tcPr>
            <w:tcW w:w="3056" w:type="dxa"/>
            <w:vAlign w:val="center"/>
          </w:tcPr>
          <w:p w14:paraId="30B91F30"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vAlign w:val="center"/>
            <w:hideMark/>
          </w:tcPr>
          <w:p w14:paraId="48EE3ADF"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Lat vs Ant</w:t>
            </w:r>
          </w:p>
        </w:tc>
        <w:tc>
          <w:tcPr>
            <w:tcW w:w="3057" w:type="dxa"/>
            <w:vAlign w:val="center"/>
            <w:hideMark/>
          </w:tcPr>
          <w:p w14:paraId="76554CF5"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0.280</w:t>
            </w:r>
          </w:p>
        </w:tc>
      </w:tr>
      <w:tr w:rsidR="008551DB" w:rsidRPr="009239F8" w14:paraId="2A355566" w14:textId="77777777" w:rsidTr="00A72AA9">
        <w:trPr>
          <w:trHeight w:val="540"/>
        </w:trPr>
        <w:tc>
          <w:tcPr>
            <w:tcW w:w="3056" w:type="dxa"/>
            <w:tcBorders>
              <w:bottom w:val="single" w:sz="4" w:space="0" w:color="auto"/>
            </w:tcBorders>
            <w:vAlign w:val="center"/>
          </w:tcPr>
          <w:p w14:paraId="724C169E" w14:textId="77777777" w:rsidR="008551DB" w:rsidRPr="009239F8" w:rsidRDefault="008551DB" w:rsidP="009A5B48">
            <w:pPr>
              <w:spacing w:line="480" w:lineRule="auto"/>
              <w:jc w:val="center"/>
              <w:rPr>
                <w:rFonts w:ascii="Times New Roman" w:hAnsi="Times New Roman" w:cs="Times New Roman"/>
                <w:lang w:val="en-US"/>
              </w:rPr>
            </w:pPr>
          </w:p>
        </w:tc>
        <w:tc>
          <w:tcPr>
            <w:tcW w:w="3056" w:type="dxa"/>
            <w:tcBorders>
              <w:bottom w:val="single" w:sz="4" w:space="0" w:color="auto"/>
            </w:tcBorders>
            <w:vAlign w:val="center"/>
            <w:hideMark/>
          </w:tcPr>
          <w:p w14:paraId="6C0CA2D5" w14:textId="77777777" w:rsidR="008551DB" w:rsidRPr="009239F8" w:rsidRDefault="008551D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Inf vs Ant</w:t>
            </w:r>
          </w:p>
        </w:tc>
        <w:tc>
          <w:tcPr>
            <w:tcW w:w="3057" w:type="dxa"/>
            <w:tcBorders>
              <w:bottom w:val="single" w:sz="4" w:space="0" w:color="auto"/>
            </w:tcBorders>
            <w:vAlign w:val="center"/>
            <w:hideMark/>
          </w:tcPr>
          <w:p w14:paraId="3BCFB3E6" w14:textId="77777777" w:rsidR="008551DB" w:rsidRPr="009239F8" w:rsidRDefault="008551DB" w:rsidP="009A5B48">
            <w:pPr>
              <w:keepNext/>
              <w:spacing w:line="480" w:lineRule="auto"/>
              <w:jc w:val="center"/>
              <w:rPr>
                <w:rFonts w:ascii="Times New Roman" w:hAnsi="Times New Roman" w:cs="Times New Roman"/>
                <w:lang w:val="en-US"/>
              </w:rPr>
            </w:pPr>
            <w:r w:rsidRPr="009239F8">
              <w:rPr>
                <w:rFonts w:ascii="Times New Roman" w:hAnsi="Times New Roman" w:cs="Times New Roman"/>
                <w:b/>
                <w:lang w:val="en-US"/>
              </w:rPr>
              <w:t>&lt;0.001</w:t>
            </w:r>
          </w:p>
        </w:tc>
      </w:tr>
    </w:tbl>
    <w:p w14:paraId="756F890E" w14:textId="25C309BE" w:rsidR="007B0594" w:rsidRPr="009239F8" w:rsidRDefault="007B0594"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 xml:space="preserve">S4: </w:t>
      </w:r>
      <w:r w:rsidR="004C2417" w:rsidRPr="009239F8">
        <w:rPr>
          <w:rFonts w:ascii="Times New Roman" w:hAnsi="Times New Roman" w:cs="Times New Roman"/>
          <w:color w:val="auto"/>
          <w:lang w:val="en-US"/>
        </w:rPr>
        <w:t xml:space="preserve">MyoFit46 </w:t>
      </w:r>
      <w:r w:rsidR="00744488" w:rsidRPr="009239F8">
        <w:rPr>
          <w:rFonts w:ascii="Times New Roman" w:hAnsi="Times New Roman" w:cs="Times New Roman"/>
          <w:color w:val="auto"/>
          <w:lang w:val="en-US"/>
        </w:rPr>
        <w:t>e</w:t>
      </w:r>
      <w:r w:rsidR="00C83EB5" w:rsidRPr="009239F8">
        <w:rPr>
          <w:rFonts w:ascii="Times New Roman" w:hAnsi="Times New Roman" w:cs="Times New Roman"/>
          <w:color w:val="auto"/>
          <w:lang w:val="en-US"/>
        </w:rPr>
        <w:t>arly-stage hypertensive (eHTN)</w:t>
      </w:r>
      <w:r w:rsidR="006B620C" w:rsidRPr="009239F8">
        <w:rPr>
          <w:rFonts w:ascii="Times New Roman" w:hAnsi="Times New Roman" w:cs="Times New Roman"/>
          <w:color w:val="auto"/>
          <w:lang w:val="en-US"/>
        </w:rPr>
        <w:t xml:space="preserve"> </w:t>
      </w:r>
      <w:r w:rsidR="004C2417" w:rsidRPr="009239F8">
        <w:rPr>
          <w:rFonts w:ascii="Times New Roman" w:hAnsi="Times New Roman" w:cs="Times New Roman"/>
          <w:color w:val="auto"/>
          <w:lang w:val="en-US"/>
        </w:rPr>
        <w:t>demographics</w:t>
      </w:r>
    </w:p>
    <w:p w14:paraId="1CCCA5CC" w14:textId="750CB8C0" w:rsidR="000540EE" w:rsidRPr="009239F8" w:rsidRDefault="006D3AC2"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 xml:space="preserve">The eHTN cohort encompasses 47 participants (26 females) selected from the 505 MyoFit46 participants. </w:t>
      </w:r>
      <w:r w:rsidR="009B48CF" w:rsidRPr="009239F8">
        <w:rPr>
          <w:rFonts w:ascii="Times New Roman" w:hAnsi="Times New Roman" w:cs="Times New Roman"/>
          <w:lang w:val="en-US"/>
        </w:rPr>
        <w:fldChar w:fldCharType="begin"/>
      </w:r>
      <w:r w:rsidR="009B48CF" w:rsidRPr="009239F8">
        <w:rPr>
          <w:rFonts w:ascii="Times New Roman" w:hAnsi="Times New Roman" w:cs="Times New Roman"/>
          <w:lang w:val="en-US"/>
        </w:rPr>
        <w:instrText xml:space="preserve"> REF _Ref232675052 \h </w:instrText>
      </w:r>
      <w:r w:rsidR="003B7518" w:rsidRPr="009239F8">
        <w:rPr>
          <w:rFonts w:ascii="Times New Roman" w:hAnsi="Times New Roman" w:cs="Times New Roman"/>
          <w:lang w:val="en-US"/>
        </w:rPr>
        <w:instrText xml:space="preserve"> \* MERGEFORMAT </w:instrText>
      </w:r>
      <w:r w:rsidR="009B48CF" w:rsidRPr="009239F8">
        <w:rPr>
          <w:rFonts w:ascii="Times New Roman" w:hAnsi="Times New Roman" w:cs="Times New Roman"/>
          <w:lang w:val="en-US"/>
        </w:rPr>
      </w:r>
      <w:r w:rsidR="009B48CF" w:rsidRPr="009239F8">
        <w:rPr>
          <w:rFonts w:ascii="Times New Roman" w:hAnsi="Times New Roman" w:cs="Times New Roman"/>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bCs/>
          <w:noProof/>
          <w:lang w:val="en-US"/>
        </w:rPr>
        <w:t>3</w:t>
      </w:r>
      <w:r w:rsidR="009B48CF" w:rsidRPr="009239F8">
        <w:rPr>
          <w:rFonts w:ascii="Times New Roman" w:hAnsi="Times New Roman" w:cs="Times New Roman"/>
          <w:lang w:val="en-US"/>
        </w:rPr>
        <w:fldChar w:fldCharType="end"/>
      </w:r>
      <w:r w:rsidR="009B48CF" w:rsidRPr="009239F8">
        <w:rPr>
          <w:rFonts w:ascii="Times New Roman" w:hAnsi="Times New Roman" w:cs="Times New Roman"/>
          <w:lang w:val="en-US"/>
        </w:rPr>
        <w:t xml:space="preserve"> </w:t>
      </w:r>
      <w:r w:rsidRPr="009239F8">
        <w:rPr>
          <w:rFonts w:ascii="Times New Roman" w:hAnsi="Times New Roman" w:cs="Times New Roman"/>
          <w:lang w:val="en-US"/>
        </w:rPr>
        <w:t>summarizes the clinical and demographic characteristics of this cohort</w:t>
      </w:r>
      <w:r w:rsidR="00D54E14" w:rsidRPr="009239F8">
        <w:rPr>
          <w:rFonts w:ascii="Times New Roman" w:hAnsi="Times New Roman" w:cs="Times New Roman"/>
          <w:lang w:val="en-US"/>
        </w:rPr>
        <w:t>.</w:t>
      </w:r>
      <w:r w:rsidR="005F670C" w:rsidRPr="009239F8">
        <w:rPr>
          <w:rFonts w:ascii="Times New Roman" w:hAnsi="Times New Roman" w:cs="Times New Roman"/>
          <w:lang w:val="en-US"/>
        </w:rPr>
        <w:t xml:space="preserve"> Sex differences were found on anthropometric measures (height, weight, and body surface area), indexed cardiac volumes (end-diastolic, end-systolic, and stroke volume indices), left ventricular mass index, maximal wall thickness, and core late gadolinium enhancement burden</w:t>
      </w:r>
      <w:r w:rsidR="00564E32" w:rsidRPr="009239F8">
        <w:rPr>
          <w:rFonts w:ascii="Times New Roman" w:hAnsi="Times New Roman" w:cs="Times New Roman"/>
          <w:lang w:val="en-US"/>
        </w:rPr>
        <w:t xml:space="preserve">. </w:t>
      </w:r>
      <w:r w:rsidR="005F670C" w:rsidRPr="009239F8">
        <w:rPr>
          <w:rFonts w:ascii="Times New Roman" w:hAnsi="Times New Roman" w:cs="Times New Roman"/>
          <w:lang w:val="en-US"/>
        </w:rPr>
        <w:t xml:space="preserve">Among </w:t>
      </w:r>
      <w:r w:rsidR="00A0552A" w:rsidRPr="009239F8">
        <w:rPr>
          <w:rFonts w:ascii="Times New Roman" w:hAnsi="Times New Roman" w:cs="Times New Roman"/>
          <w:lang w:val="en-US"/>
        </w:rPr>
        <w:t>ECGI</w:t>
      </w:r>
      <w:r w:rsidR="005F670C" w:rsidRPr="009239F8">
        <w:rPr>
          <w:rFonts w:ascii="Times New Roman" w:hAnsi="Times New Roman" w:cs="Times New Roman"/>
          <w:lang w:val="en-US"/>
        </w:rPr>
        <w:t xml:space="preserve"> parameters, males presented </w:t>
      </w:r>
      <w:r w:rsidR="00A0552A" w:rsidRPr="009239F8">
        <w:rPr>
          <w:rFonts w:ascii="Times New Roman" w:hAnsi="Times New Roman" w:cs="Times New Roman"/>
          <w:lang w:val="en-US"/>
        </w:rPr>
        <w:t xml:space="preserve">significant </w:t>
      </w:r>
      <w:r w:rsidR="005F670C" w:rsidRPr="009239F8">
        <w:rPr>
          <w:rFonts w:ascii="Times New Roman" w:hAnsi="Times New Roman" w:cs="Times New Roman"/>
          <w:lang w:val="en-US"/>
        </w:rPr>
        <w:t xml:space="preserve">longer </w:t>
      </w:r>
      <w:r w:rsidR="00A0552A" w:rsidRPr="009239F8">
        <w:rPr>
          <w:rFonts w:ascii="Times New Roman" w:hAnsi="Times New Roman" w:cs="Times New Roman"/>
          <w:lang w:val="en-US"/>
        </w:rPr>
        <w:t xml:space="preserve">AT90 </w:t>
      </w:r>
      <w:r w:rsidR="005F670C" w:rsidRPr="009239F8">
        <w:rPr>
          <w:rFonts w:ascii="Times New Roman" w:hAnsi="Times New Roman" w:cs="Times New Roman"/>
          <w:lang w:val="en-US"/>
        </w:rPr>
        <w:t xml:space="preserve">than females. </w:t>
      </w:r>
      <w:r w:rsidR="000C4963" w:rsidRPr="009239F8">
        <w:rPr>
          <w:rFonts w:ascii="Times New Roman" w:hAnsi="Times New Roman" w:cs="Times New Roman"/>
          <w:lang w:val="en-US"/>
        </w:rPr>
        <w:t xml:space="preserve">For the </w:t>
      </w:r>
      <w:r w:rsidR="000C4963" w:rsidRPr="009239F8">
        <w:rPr>
          <w:rFonts w:ascii="Times New Roman" w:hAnsi="Times New Roman" w:cs="Times New Roman"/>
          <w:i/>
          <w:iCs/>
          <w:lang w:val="en-US"/>
        </w:rPr>
        <w:t>in silico</w:t>
      </w:r>
      <w:r w:rsidR="000C4963" w:rsidRPr="009239F8">
        <w:rPr>
          <w:rFonts w:ascii="Times New Roman" w:hAnsi="Times New Roman" w:cs="Times New Roman"/>
          <w:lang w:val="en-US"/>
        </w:rPr>
        <w:t xml:space="preserve"> parameters, females presented statistically higher </w:t>
      </w:r>
      <w:r w:rsidR="00A578DB" w:rsidRPr="009239F8">
        <w:rPr>
          <w:rFonts w:ascii="Times New Roman" w:hAnsi="Times New Roman" w:cs="Times New Roman"/>
          <w:lang w:val="en-US"/>
        </w:rPr>
        <w:t>median</w:t>
      </w:r>
      <w:r w:rsidR="00D91DBA" w:rsidRPr="009239F8">
        <w:rPr>
          <w:rFonts w:ascii="Times New Roman" w:hAnsi="Times New Roman" w:cs="Times New Roman"/>
          <w:lang w:val="en-US"/>
        </w:rPr>
        <w:t xml:space="preserve"> g</w:t>
      </w:r>
      <w:r w:rsidR="00D91DBA" w:rsidRPr="009239F8">
        <w:rPr>
          <w:rFonts w:ascii="Times New Roman" w:hAnsi="Times New Roman" w:cs="Times New Roman"/>
          <w:vertAlign w:val="subscript"/>
          <w:lang w:val="en-US"/>
        </w:rPr>
        <w:t>Ks</w:t>
      </w:r>
      <w:r w:rsidR="00D91DBA" w:rsidRPr="009239F8">
        <w:rPr>
          <w:rFonts w:ascii="Times New Roman" w:hAnsi="Times New Roman" w:cs="Times New Roman"/>
          <w:lang w:val="en-US"/>
        </w:rPr>
        <w:t xml:space="preserve"> and AgR scale factors</w:t>
      </w:r>
      <w:r w:rsidR="000C4963" w:rsidRPr="009239F8">
        <w:rPr>
          <w:rFonts w:ascii="Times New Roman" w:hAnsi="Times New Roman" w:cs="Times New Roman"/>
          <w:lang w:val="en-US"/>
        </w:rPr>
        <w:t xml:space="preserve">, consistent with the sex-specific repolarization differences observed in the healthy cohort, while males exhibited a significantly higher number of </w:t>
      </w:r>
      <w:r w:rsidR="00D91DBA" w:rsidRPr="009239F8">
        <w:rPr>
          <w:rFonts w:ascii="Times New Roman" w:hAnsi="Times New Roman" w:cs="Times New Roman"/>
          <w:lang w:val="en-US"/>
        </w:rPr>
        <w:t xml:space="preserve">PMJs. </w:t>
      </w:r>
      <w:r w:rsidR="000C4963" w:rsidRPr="009239F8">
        <w:rPr>
          <w:rFonts w:ascii="Times New Roman" w:hAnsi="Times New Roman" w:cs="Times New Roman"/>
          <w:lang w:val="en-US"/>
        </w:rPr>
        <w:t xml:space="preserve">The remaining </w:t>
      </w:r>
      <w:r w:rsidR="000C4963" w:rsidRPr="009239F8">
        <w:rPr>
          <w:rFonts w:ascii="Times New Roman" w:hAnsi="Times New Roman" w:cs="Times New Roman"/>
          <w:i/>
          <w:iCs/>
          <w:lang w:val="en-US"/>
        </w:rPr>
        <w:t>in silico</w:t>
      </w:r>
      <w:r w:rsidR="000C4963" w:rsidRPr="009239F8">
        <w:rPr>
          <w:rFonts w:ascii="Times New Roman" w:hAnsi="Times New Roman" w:cs="Times New Roman"/>
          <w:lang w:val="en-US"/>
        </w:rPr>
        <w:t xml:space="preserve"> electrophysiological parameters were not significantly different between sexes.</w:t>
      </w:r>
      <w:r w:rsidR="00B9160B" w:rsidRPr="009239F8">
        <w:rPr>
          <w:rFonts w:ascii="Times New Roman" w:hAnsi="Times New Roman" w:cs="Times New Roman"/>
          <w:lang w:val="en-US"/>
        </w:rPr>
        <w:t xml:space="preserve"> </w:t>
      </w:r>
    </w:p>
    <w:p w14:paraId="06654CDC" w14:textId="28E00C01" w:rsidR="00C83EB5" w:rsidRPr="009239F8" w:rsidRDefault="00C83EB5" w:rsidP="009A5B48">
      <w:pPr>
        <w:pStyle w:val="Caption"/>
        <w:keepNext/>
        <w:spacing w:line="480" w:lineRule="auto"/>
        <w:jc w:val="both"/>
        <w:rPr>
          <w:rFonts w:cs="Times New Roman"/>
          <w:color w:val="auto"/>
          <w:lang w:val="en-US"/>
        </w:rPr>
      </w:pPr>
      <w:bookmarkStart w:id="5" w:name="_Ref232675052"/>
      <w:bookmarkStart w:id="6" w:name="_Ref232675046"/>
      <w:r w:rsidRPr="009239F8">
        <w:rPr>
          <w:rFonts w:cs="Times New Roman"/>
          <w:b/>
          <w:color w:val="auto"/>
          <w:lang w:val="en-US"/>
        </w:rPr>
        <w:t xml:space="preserve">Table S </w:t>
      </w:r>
      <w:r w:rsidRPr="009239F8">
        <w:rPr>
          <w:rFonts w:cs="Times New Roman"/>
          <w:b/>
          <w:color w:val="auto"/>
          <w:lang w:val="en-US"/>
        </w:rPr>
        <w:fldChar w:fldCharType="begin"/>
      </w:r>
      <w:r w:rsidRPr="009239F8">
        <w:rPr>
          <w:rFonts w:cs="Times New Roman"/>
          <w:b/>
          <w:color w:val="auto"/>
          <w:lang w:val="en-US"/>
        </w:rPr>
        <w:instrText xml:space="preserve"> SEQ Table_S \* ARABIC </w:instrText>
      </w:r>
      <w:r w:rsidRPr="009239F8">
        <w:rPr>
          <w:rFonts w:cs="Times New Roman"/>
          <w:b/>
          <w:color w:val="auto"/>
          <w:lang w:val="en-US"/>
        </w:rPr>
        <w:fldChar w:fldCharType="separate"/>
      </w:r>
      <w:r w:rsidR="00890076" w:rsidRPr="009239F8">
        <w:rPr>
          <w:rFonts w:cs="Times New Roman"/>
          <w:b/>
          <w:color w:val="auto"/>
          <w:lang w:val="en-US"/>
        </w:rPr>
        <w:t>3</w:t>
      </w:r>
      <w:r w:rsidRPr="009239F8">
        <w:rPr>
          <w:rFonts w:cs="Times New Roman"/>
          <w:b/>
          <w:color w:val="auto"/>
          <w:lang w:val="en-US"/>
        </w:rPr>
        <w:fldChar w:fldCharType="end"/>
      </w:r>
      <w:bookmarkEnd w:id="5"/>
      <w:r w:rsidRPr="009239F8">
        <w:rPr>
          <w:rFonts w:cs="Times New Roman"/>
          <w:b/>
          <w:color w:val="auto"/>
          <w:lang w:val="en-US"/>
        </w:rPr>
        <w:t xml:space="preserve">. MyoFit46 </w:t>
      </w:r>
      <w:r w:rsidR="002E5BCB" w:rsidRPr="009239F8">
        <w:rPr>
          <w:rFonts w:cs="Times New Roman"/>
          <w:b/>
          <w:color w:val="auto"/>
          <w:lang w:val="en-US"/>
        </w:rPr>
        <w:t>early</w:t>
      </w:r>
      <w:r w:rsidR="001F271A" w:rsidRPr="009239F8">
        <w:rPr>
          <w:rFonts w:cs="Times New Roman"/>
          <w:b/>
          <w:color w:val="auto"/>
          <w:lang w:val="en-US"/>
        </w:rPr>
        <w:t>-stage hypertensive (</w:t>
      </w:r>
      <w:r w:rsidRPr="009239F8">
        <w:rPr>
          <w:rFonts w:cs="Times New Roman"/>
          <w:b/>
          <w:color w:val="auto"/>
          <w:lang w:val="en-US"/>
        </w:rPr>
        <w:t>eHTN</w:t>
      </w:r>
      <w:r w:rsidR="001F271A" w:rsidRPr="009239F8">
        <w:rPr>
          <w:rFonts w:cs="Times New Roman"/>
          <w:b/>
          <w:color w:val="auto"/>
          <w:lang w:val="en-US"/>
        </w:rPr>
        <w:t>)</w:t>
      </w:r>
      <w:r w:rsidRPr="009239F8">
        <w:rPr>
          <w:rFonts w:cs="Times New Roman"/>
          <w:b/>
          <w:color w:val="auto"/>
          <w:lang w:val="en-US"/>
        </w:rPr>
        <w:t xml:space="preserve"> cohort demographic.</w:t>
      </w:r>
      <w:r w:rsidRPr="009239F8">
        <w:rPr>
          <w:rFonts w:cs="Times New Roman"/>
          <w:color w:val="auto"/>
          <w:lang w:val="en-US"/>
        </w:rPr>
        <w:t xml:space="preserve"> Variables are expressed as median and interquartile range and Mann-Whitney U test with Benjamini–Hochberg correction was used for sex group comparison (p</w:t>
      </w:r>
      <w:r w:rsidRPr="009239F8">
        <w:rPr>
          <w:rFonts w:cs="Times New Roman"/>
          <w:color w:val="auto"/>
          <w:vertAlign w:val="subscript"/>
          <w:lang w:val="en-US"/>
        </w:rPr>
        <w:t>adj</w:t>
      </w:r>
      <w:r w:rsidRPr="009239F8">
        <w:rPr>
          <w:rFonts w:cs="Times New Roman"/>
          <w:color w:val="auto"/>
          <w:lang w:val="en-US"/>
        </w:rPr>
        <w:t xml:space="preserve">-value). ARI90: time to 90% of epicardial tissue activation-repolarization interval; AgR: Aging repolarization; AT90: time to 90% of epicardial activation; BMI: body mass index; BSA: body surface area; CV: conduction velocity; D-BP: diastolic blood pressure; </w:t>
      </w:r>
      <m:oMath>
        <m:sSub>
          <m:sSubPr>
            <m:ctrlPr>
              <w:rPr>
                <w:rFonts w:ascii="Cambria Math" w:hAnsi="Cambria Math" w:cs="Times New Roman"/>
                <w:color w:val="auto"/>
                <w:lang w:val="en-US"/>
              </w:rPr>
            </m:ctrlPr>
          </m:sSubPr>
          <m:e>
            <m:r>
              <w:rPr>
                <w:rFonts w:ascii="Cambria Math" w:hAnsi="Cambria Math" w:cs="Times New Roman"/>
                <w:color w:val="auto"/>
                <w:lang w:val="en-US"/>
              </w:rPr>
              <m:t>D</m:t>
            </m:r>
          </m:e>
          <m:sub>
            <m:r>
              <w:rPr>
                <w:rFonts w:ascii="Cambria Math" w:hAnsi="Cambria Math" w:cs="Times New Roman"/>
                <w:color w:val="auto"/>
                <w:lang w:val="en-US"/>
              </w:rPr>
              <m:t>f</m:t>
            </m:r>
          </m:sub>
        </m:sSub>
      </m:oMath>
      <w:r w:rsidRPr="009239F8">
        <w:rPr>
          <w:rFonts w:eastAsiaTheme="minorEastAsia" w:cs="Times New Roman"/>
          <w:color w:val="auto"/>
          <w:lang w:val="en-US"/>
        </w:rPr>
        <w:t xml:space="preserve">: Fiber-direction diffusion coefficient; </w:t>
      </w:r>
      <w:r w:rsidRPr="009239F8">
        <w:rPr>
          <w:rFonts w:cs="Times New Roman"/>
          <w:color w:val="auto"/>
          <w:lang w:val="en-US"/>
        </w:rPr>
        <w:t xml:space="preserve">ECV: extracellular fluid volume; EDVi: end-diastolic volume indexed; EF: ejection fraction; eGFR: estimated glomerular filtration rate; ESVi: end-systolic volume indexed; </w:t>
      </w:r>
      <w:r w:rsidR="00F56FD9" w:rsidRPr="009239F8">
        <w:rPr>
          <w:rFonts w:cs="Times New Roman"/>
          <w:color w:val="auto"/>
          <w:lang w:val="en-US"/>
        </w:rPr>
        <w:t>LA-EDVi: indexed left atrial end-diastolic volume;</w:t>
      </w:r>
      <w:r w:rsidRPr="009239F8">
        <w:rPr>
          <w:rFonts w:cs="Times New Roman"/>
          <w:color w:val="auto"/>
          <w:lang w:val="en-US"/>
        </w:rPr>
        <w:t xml:space="preserve"> g</w:t>
      </w:r>
      <w:r w:rsidRPr="009239F8">
        <w:rPr>
          <w:rFonts w:cs="Times New Roman"/>
          <w:color w:val="auto"/>
          <w:vertAlign w:val="subscript"/>
          <w:lang w:val="en-US"/>
        </w:rPr>
        <w:t>Ks</w:t>
      </w:r>
      <w:r w:rsidRPr="009239F8">
        <w:rPr>
          <w:rFonts w:cs="Times New Roman"/>
          <w:color w:val="auto"/>
          <w:lang w:val="en-US"/>
        </w:rPr>
        <w:t>: slow delayed rectifier potassium current conductance scaling factor; LGE: late gadolinium enhancement;</w:t>
      </w:r>
      <w:r w:rsidR="007B1B0C" w:rsidRPr="009239F8">
        <w:rPr>
          <w:rFonts w:cs="Times New Roman"/>
          <w:color w:val="auto"/>
          <w:lang w:val="en-US"/>
        </w:rPr>
        <w:t xml:space="preserve"> LVMi: indexed left ventricular mass;</w:t>
      </w:r>
      <w:r w:rsidRPr="009239F8">
        <w:rPr>
          <w:rFonts w:cs="Times New Roman"/>
          <w:color w:val="auto"/>
          <w:lang w:val="en-US"/>
        </w:rPr>
        <w:t xml:space="preserve"> </w:t>
      </w:r>
      <w:bookmarkEnd w:id="6"/>
      <w:r w:rsidR="00B21EF8" w:rsidRPr="009239F8">
        <w:rPr>
          <w:rFonts w:cs="Times New Roman"/>
          <w:color w:val="auto"/>
          <w:lang w:val="en-US"/>
        </w:rPr>
        <w:t>MWT: maximal wall thickness; PMJs: Purkinje-myocardial junctions; RR: R-R interval; RT90: time to 90% of epicardial repolarization; S-BP: systolic blood pressure; SVi: indexed stroke volume; T1: native T1 relaxation time.</w:t>
      </w: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2409"/>
        <w:gridCol w:w="2410"/>
        <w:gridCol w:w="1955"/>
        <w:gridCol w:w="455"/>
        <w:gridCol w:w="1134"/>
      </w:tblGrid>
      <w:tr w:rsidR="00C83EB5" w:rsidRPr="009239F8" w14:paraId="0FB4F415" w14:textId="77777777" w:rsidTr="00A72AA9">
        <w:trPr>
          <w:trHeight w:val="66"/>
          <w:tblHeader/>
          <w:jc w:val="center"/>
        </w:trPr>
        <w:tc>
          <w:tcPr>
            <w:tcW w:w="1560" w:type="dxa"/>
            <w:tcBorders>
              <w:bottom w:val="single" w:sz="4" w:space="0" w:color="auto"/>
            </w:tcBorders>
            <w:vAlign w:val="center"/>
          </w:tcPr>
          <w:p w14:paraId="77424333" w14:textId="77777777" w:rsidR="00C83EB5" w:rsidRPr="009239F8" w:rsidRDefault="00C83EB5" w:rsidP="009A5B48">
            <w:pPr>
              <w:spacing w:line="480" w:lineRule="auto"/>
              <w:jc w:val="center"/>
              <w:rPr>
                <w:rFonts w:ascii="Times New Roman" w:hAnsi="Times New Roman" w:cs="Times New Roman"/>
                <w:b/>
                <w:bCs/>
                <w:lang w:val="en-US"/>
              </w:rPr>
            </w:pPr>
            <w:r w:rsidRPr="009239F8">
              <w:rPr>
                <w:rFonts w:ascii="Times New Roman" w:hAnsi="Times New Roman" w:cs="Times New Roman"/>
                <w:b/>
                <w:bCs/>
                <w:lang w:val="en-US"/>
              </w:rPr>
              <w:t>Variable</w:t>
            </w:r>
          </w:p>
        </w:tc>
        <w:tc>
          <w:tcPr>
            <w:tcW w:w="2409" w:type="dxa"/>
            <w:tcBorders>
              <w:bottom w:val="single" w:sz="4" w:space="0" w:color="auto"/>
            </w:tcBorders>
            <w:vAlign w:val="center"/>
          </w:tcPr>
          <w:p w14:paraId="4418ECF8" w14:textId="77777777" w:rsidR="00C83EB5" w:rsidRPr="009239F8" w:rsidRDefault="00C83EB5" w:rsidP="009A5B48">
            <w:pPr>
              <w:spacing w:line="480" w:lineRule="auto"/>
              <w:jc w:val="center"/>
              <w:rPr>
                <w:rFonts w:ascii="Times New Roman" w:hAnsi="Times New Roman" w:cs="Times New Roman"/>
                <w:b/>
                <w:bCs/>
                <w:lang w:val="en-US"/>
              </w:rPr>
            </w:pPr>
            <w:r w:rsidRPr="009239F8">
              <w:rPr>
                <w:rFonts w:ascii="Times New Roman" w:hAnsi="Times New Roman" w:cs="Times New Roman"/>
                <w:b/>
                <w:bCs/>
                <w:lang w:val="en-US"/>
              </w:rPr>
              <w:t>All (n=47)</w:t>
            </w:r>
          </w:p>
        </w:tc>
        <w:tc>
          <w:tcPr>
            <w:tcW w:w="2410" w:type="dxa"/>
            <w:tcBorders>
              <w:bottom w:val="single" w:sz="4" w:space="0" w:color="auto"/>
            </w:tcBorders>
            <w:vAlign w:val="center"/>
          </w:tcPr>
          <w:p w14:paraId="0B47C03C" w14:textId="77777777" w:rsidR="00C83EB5" w:rsidRPr="009239F8" w:rsidRDefault="00C83EB5" w:rsidP="009A5B48">
            <w:pPr>
              <w:spacing w:line="480" w:lineRule="auto"/>
              <w:jc w:val="center"/>
              <w:rPr>
                <w:rFonts w:ascii="Times New Roman" w:hAnsi="Times New Roman" w:cs="Times New Roman"/>
                <w:b/>
                <w:bCs/>
                <w:lang w:val="en-US"/>
              </w:rPr>
            </w:pPr>
            <w:r w:rsidRPr="009239F8">
              <w:rPr>
                <w:rFonts w:ascii="Times New Roman" w:hAnsi="Times New Roman" w:cs="Times New Roman"/>
                <w:b/>
                <w:bCs/>
                <w:lang w:val="en-US"/>
              </w:rPr>
              <w:t>Female (n=26)</w:t>
            </w:r>
          </w:p>
        </w:tc>
        <w:tc>
          <w:tcPr>
            <w:tcW w:w="2410" w:type="dxa"/>
            <w:gridSpan w:val="2"/>
            <w:tcBorders>
              <w:bottom w:val="single" w:sz="4" w:space="0" w:color="auto"/>
            </w:tcBorders>
            <w:vAlign w:val="center"/>
          </w:tcPr>
          <w:p w14:paraId="5AA684FA" w14:textId="77777777" w:rsidR="00C83EB5" w:rsidRPr="009239F8" w:rsidRDefault="00C83EB5" w:rsidP="009A5B48">
            <w:pPr>
              <w:spacing w:line="480" w:lineRule="auto"/>
              <w:jc w:val="center"/>
              <w:rPr>
                <w:rFonts w:ascii="Times New Roman" w:hAnsi="Times New Roman" w:cs="Times New Roman"/>
                <w:b/>
                <w:bCs/>
                <w:lang w:val="en-US"/>
              </w:rPr>
            </w:pPr>
            <w:r w:rsidRPr="009239F8">
              <w:rPr>
                <w:rFonts w:ascii="Times New Roman" w:hAnsi="Times New Roman" w:cs="Times New Roman"/>
                <w:b/>
                <w:bCs/>
                <w:lang w:val="en-US"/>
              </w:rPr>
              <w:t>Male (n=21)</w:t>
            </w:r>
          </w:p>
        </w:tc>
        <w:tc>
          <w:tcPr>
            <w:tcW w:w="1134" w:type="dxa"/>
            <w:tcBorders>
              <w:bottom w:val="single" w:sz="4" w:space="0" w:color="auto"/>
            </w:tcBorders>
            <w:vAlign w:val="center"/>
          </w:tcPr>
          <w:p w14:paraId="41485A17" w14:textId="77777777" w:rsidR="00C83EB5" w:rsidRPr="009239F8" w:rsidRDefault="00C83EB5" w:rsidP="009A5B48">
            <w:pPr>
              <w:spacing w:line="480" w:lineRule="auto"/>
              <w:jc w:val="center"/>
              <w:rPr>
                <w:rFonts w:ascii="Times New Roman" w:hAnsi="Times New Roman" w:cs="Times New Roman"/>
                <w:b/>
                <w:bCs/>
                <w:lang w:val="en-US"/>
              </w:rPr>
            </w:pPr>
            <w:r w:rsidRPr="009239F8">
              <w:rPr>
                <w:rFonts w:ascii="Times New Roman" w:hAnsi="Times New Roman" w:cs="Times New Roman"/>
                <w:b/>
                <w:i/>
                <w:lang w:val="en-US"/>
              </w:rPr>
              <w:t>p</w:t>
            </w:r>
            <w:r w:rsidRPr="009239F8">
              <w:rPr>
                <w:rFonts w:ascii="Times New Roman" w:hAnsi="Times New Roman" w:cs="Times New Roman"/>
                <w:b/>
                <w:i/>
                <w:vertAlign w:val="subscript"/>
                <w:lang w:val="en-US"/>
              </w:rPr>
              <w:t>adj</w:t>
            </w:r>
            <w:r w:rsidRPr="009239F8">
              <w:rPr>
                <w:rFonts w:ascii="Times New Roman" w:hAnsi="Times New Roman" w:cs="Times New Roman"/>
                <w:b/>
                <w:lang w:val="en-US"/>
              </w:rPr>
              <w:t>-value</w:t>
            </w:r>
          </w:p>
        </w:tc>
      </w:tr>
      <w:tr w:rsidR="00C83EB5" w:rsidRPr="009239F8" w14:paraId="44C734E4" w14:textId="77777777" w:rsidTr="00A72AA9">
        <w:trPr>
          <w:gridAfter w:val="2"/>
          <w:wAfter w:w="1589" w:type="dxa"/>
          <w:trHeight w:val="66"/>
          <w:jc w:val="center"/>
        </w:trPr>
        <w:tc>
          <w:tcPr>
            <w:tcW w:w="8334" w:type="dxa"/>
            <w:gridSpan w:val="4"/>
            <w:tcBorders>
              <w:top w:val="single" w:sz="4" w:space="0" w:color="auto"/>
              <w:bottom w:val="single" w:sz="4" w:space="0" w:color="auto"/>
            </w:tcBorders>
            <w:vAlign w:val="center"/>
          </w:tcPr>
          <w:p w14:paraId="2C04874C" w14:textId="77777777" w:rsidR="00C83EB5" w:rsidRPr="009239F8" w:rsidRDefault="00C83EB5" w:rsidP="009A5B48">
            <w:pPr>
              <w:spacing w:line="480" w:lineRule="auto"/>
              <w:rPr>
                <w:rFonts w:ascii="Times New Roman" w:hAnsi="Times New Roman" w:cs="Times New Roman"/>
                <w:b/>
                <w:bCs/>
                <w:i/>
                <w:lang w:val="en-US"/>
              </w:rPr>
            </w:pPr>
            <w:r w:rsidRPr="009239F8">
              <w:rPr>
                <w:rFonts w:ascii="Times New Roman" w:hAnsi="Times New Roman" w:cs="Times New Roman"/>
                <w:b/>
                <w:bCs/>
                <w:i/>
                <w:lang w:val="en-US"/>
              </w:rPr>
              <w:t>Demographics</w:t>
            </w:r>
          </w:p>
        </w:tc>
      </w:tr>
      <w:tr w:rsidR="00C83EB5" w:rsidRPr="009239F8" w14:paraId="19BDA32A" w14:textId="77777777" w:rsidTr="00A72AA9">
        <w:trPr>
          <w:trHeight w:val="66"/>
          <w:jc w:val="center"/>
        </w:trPr>
        <w:tc>
          <w:tcPr>
            <w:tcW w:w="1560" w:type="dxa"/>
            <w:tcBorders>
              <w:top w:val="single" w:sz="4" w:space="0" w:color="auto"/>
            </w:tcBorders>
            <w:vAlign w:val="center"/>
          </w:tcPr>
          <w:p w14:paraId="2944F734" w14:textId="77777777" w:rsidR="00C83EB5" w:rsidRPr="009239F8" w:rsidRDefault="00C83EB5" w:rsidP="009A5B48">
            <w:pPr>
              <w:spacing w:line="480" w:lineRule="auto"/>
              <w:rPr>
                <w:rFonts w:ascii="Times New Roman" w:hAnsi="Times New Roman" w:cs="Times New Roman"/>
                <w:i/>
                <w:lang w:val="en-US"/>
              </w:rPr>
            </w:pPr>
            <w:r w:rsidRPr="009239F8">
              <w:rPr>
                <w:rFonts w:ascii="Times New Roman" w:hAnsi="Times New Roman" w:cs="Times New Roman"/>
                <w:i/>
                <w:lang w:val="en-US"/>
              </w:rPr>
              <w:t>Age (years)</w:t>
            </w:r>
          </w:p>
        </w:tc>
        <w:tc>
          <w:tcPr>
            <w:tcW w:w="2409" w:type="dxa"/>
            <w:tcBorders>
              <w:top w:val="single" w:sz="4" w:space="0" w:color="auto"/>
            </w:tcBorders>
            <w:vAlign w:val="center"/>
          </w:tcPr>
          <w:p w14:paraId="55CC60B4"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76.48 [76.00–77.03]</w:t>
            </w:r>
          </w:p>
        </w:tc>
        <w:tc>
          <w:tcPr>
            <w:tcW w:w="2410" w:type="dxa"/>
            <w:tcBorders>
              <w:top w:val="single" w:sz="4" w:space="0" w:color="auto"/>
            </w:tcBorders>
            <w:vAlign w:val="center"/>
          </w:tcPr>
          <w:p w14:paraId="1CA6B8ED"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76.48 [76.07–77.04]</w:t>
            </w:r>
          </w:p>
        </w:tc>
        <w:tc>
          <w:tcPr>
            <w:tcW w:w="2410" w:type="dxa"/>
            <w:gridSpan w:val="2"/>
            <w:tcBorders>
              <w:top w:val="single" w:sz="4" w:space="0" w:color="auto"/>
            </w:tcBorders>
            <w:vAlign w:val="center"/>
          </w:tcPr>
          <w:p w14:paraId="43112647"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76.39 [75.68–76.75]</w:t>
            </w:r>
          </w:p>
        </w:tc>
        <w:tc>
          <w:tcPr>
            <w:tcW w:w="1134" w:type="dxa"/>
            <w:tcBorders>
              <w:top w:val="single" w:sz="4" w:space="0" w:color="auto"/>
            </w:tcBorders>
          </w:tcPr>
          <w:p w14:paraId="03F644E4"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0.578</w:t>
            </w:r>
          </w:p>
        </w:tc>
      </w:tr>
      <w:tr w:rsidR="00C83EB5" w:rsidRPr="009239F8" w14:paraId="0DF894B2" w14:textId="77777777" w:rsidTr="00A72AA9">
        <w:trPr>
          <w:trHeight w:val="66"/>
          <w:jc w:val="center"/>
        </w:trPr>
        <w:tc>
          <w:tcPr>
            <w:tcW w:w="1560" w:type="dxa"/>
            <w:vAlign w:val="center"/>
          </w:tcPr>
          <w:p w14:paraId="1B294EE9" w14:textId="77777777" w:rsidR="00C83EB5" w:rsidRPr="009239F8" w:rsidRDefault="00C83EB5" w:rsidP="009A5B48">
            <w:pPr>
              <w:spacing w:line="480" w:lineRule="auto"/>
              <w:rPr>
                <w:rFonts w:ascii="Times New Roman" w:hAnsi="Times New Roman" w:cs="Times New Roman"/>
                <w:i/>
                <w:lang w:val="en-US"/>
              </w:rPr>
            </w:pPr>
            <w:r w:rsidRPr="009239F8">
              <w:rPr>
                <w:rFonts w:ascii="Times New Roman" w:hAnsi="Times New Roman" w:cs="Times New Roman"/>
                <w:i/>
                <w:lang w:val="en-US"/>
              </w:rPr>
              <w:t>Height (cm)</w:t>
            </w:r>
          </w:p>
        </w:tc>
        <w:tc>
          <w:tcPr>
            <w:tcW w:w="2409" w:type="dxa"/>
            <w:vAlign w:val="center"/>
          </w:tcPr>
          <w:p w14:paraId="1AC51385"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163.70 [159.25–173.10]</w:t>
            </w:r>
          </w:p>
        </w:tc>
        <w:tc>
          <w:tcPr>
            <w:tcW w:w="2410" w:type="dxa"/>
            <w:vAlign w:val="center"/>
          </w:tcPr>
          <w:p w14:paraId="158A84C0"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159.75 [155.12–162.43]</w:t>
            </w:r>
          </w:p>
        </w:tc>
        <w:tc>
          <w:tcPr>
            <w:tcW w:w="2410" w:type="dxa"/>
            <w:gridSpan w:val="2"/>
            <w:vAlign w:val="center"/>
          </w:tcPr>
          <w:p w14:paraId="7E136C66"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175.00 [167.90–177.40]</w:t>
            </w:r>
          </w:p>
        </w:tc>
        <w:tc>
          <w:tcPr>
            <w:tcW w:w="1134" w:type="dxa"/>
          </w:tcPr>
          <w:p w14:paraId="4A327D2A" w14:textId="1407DD30" w:rsidR="00C83EB5" w:rsidRPr="009239F8" w:rsidRDefault="00C83EB5" w:rsidP="009A5B48">
            <w:pPr>
              <w:spacing w:line="480" w:lineRule="auto"/>
              <w:jc w:val="center"/>
              <w:rPr>
                <w:rFonts w:ascii="Times New Roman" w:hAnsi="Times New Roman" w:cs="Times New Roman"/>
                <w:b/>
                <w:bCs/>
                <w:lang w:val="en-US"/>
              </w:rPr>
            </w:pPr>
            <w:r w:rsidRPr="009239F8">
              <w:rPr>
                <w:rFonts w:ascii="Times New Roman" w:hAnsi="Times New Roman" w:cs="Times New Roman"/>
                <w:b/>
                <w:lang w:val="en-US"/>
              </w:rPr>
              <w:t>0.004</w:t>
            </w:r>
          </w:p>
        </w:tc>
      </w:tr>
      <w:tr w:rsidR="00C83EB5" w:rsidRPr="009239F8" w14:paraId="0AAC466F" w14:textId="77777777" w:rsidTr="00A72AA9">
        <w:trPr>
          <w:trHeight w:val="66"/>
          <w:jc w:val="center"/>
        </w:trPr>
        <w:tc>
          <w:tcPr>
            <w:tcW w:w="1560" w:type="dxa"/>
            <w:vAlign w:val="center"/>
          </w:tcPr>
          <w:p w14:paraId="146D1B60" w14:textId="77777777" w:rsidR="00C83EB5" w:rsidRPr="009239F8" w:rsidRDefault="00C83EB5" w:rsidP="009A5B48">
            <w:pPr>
              <w:spacing w:line="480" w:lineRule="auto"/>
              <w:rPr>
                <w:rFonts w:ascii="Times New Roman" w:hAnsi="Times New Roman" w:cs="Times New Roman"/>
                <w:i/>
                <w:lang w:val="en-US"/>
              </w:rPr>
            </w:pPr>
            <w:r w:rsidRPr="009239F8">
              <w:rPr>
                <w:rFonts w:ascii="Times New Roman" w:hAnsi="Times New Roman" w:cs="Times New Roman"/>
                <w:i/>
                <w:lang w:val="en-US"/>
              </w:rPr>
              <w:t>Weight (kg)</w:t>
            </w:r>
          </w:p>
        </w:tc>
        <w:tc>
          <w:tcPr>
            <w:tcW w:w="2409" w:type="dxa"/>
            <w:vAlign w:val="center"/>
          </w:tcPr>
          <w:p w14:paraId="38BFF9E2"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71.00 [61.40–82.45]</w:t>
            </w:r>
          </w:p>
        </w:tc>
        <w:tc>
          <w:tcPr>
            <w:tcW w:w="2410" w:type="dxa"/>
            <w:vAlign w:val="center"/>
          </w:tcPr>
          <w:p w14:paraId="37E21BEF"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62.85 [57.75–73.40]</w:t>
            </w:r>
          </w:p>
        </w:tc>
        <w:tc>
          <w:tcPr>
            <w:tcW w:w="2410" w:type="dxa"/>
            <w:gridSpan w:val="2"/>
            <w:vAlign w:val="center"/>
          </w:tcPr>
          <w:p w14:paraId="78566894"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79.80 [72.60–89.30]</w:t>
            </w:r>
          </w:p>
        </w:tc>
        <w:tc>
          <w:tcPr>
            <w:tcW w:w="1134" w:type="dxa"/>
            <w:vAlign w:val="center"/>
          </w:tcPr>
          <w:p w14:paraId="25F6DDEB" w14:textId="50E7B80F"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0.004</w:t>
            </w:r>
          </w:p>
        </w:tc>
      </w:tr>
      <w:tr w:rsidR="00C83EB5" w:rsidRPr="009239F8" w14:paraId="389B8EBE" w14:textId="77777777" w:rsidTr="00A72AA9">
        <w:trPr>
          <w:trHeight w:val="66"/>
          <w:jc w:val="center"/>
        </w:trPr>
        <w:tc>
          <w:tcPr>
            <w:tcW w:w="1560" w:type="dxa"/>
            <w:vAlign w:val="center"/>
          </w:tcPr>
          <w:p w14:paraId="0E16BD6F" w14:textId="77777777" w:rsidR="00C83EB5" w:rsidRPr="009239F8" w:rsidRDefault="00C83EB5" w:rsidP="009A5B48">
            <w:pPr>
              <w:spacing w:line="480" w:lineRule="auto"/>
              <w:rPr>
                <w:rFonts w:ascii="Times New Roman" w:hAnsi="Times New Roman" w:cs="Times New Roman"/>
                <w:i/>
                <w:lang w:val="en-US"/>
              </w:rPr>
            </w:pPr>
            <w:r w:rsidRPr="009239F8">
              <w:rPr>
                <w:rFonts w:ascii="Times New Roman" w:hAnsi="Times New Roman" w:cs="Times New Roman"/>
                <w:i/>
                <w:lang w:val="en-US"/>
              </w:rPr>
              <w:t>BSA (m</w:t>
            </w:r>
            <w:r w:rsidRPr="009239F8">
              <w:rPr>
                <w:rFonts w:ascii="Times New Roman" w:hAnsi="Times New Roman" w:cs="Times New Roman"/>
                <w:i/>
                <w:vertAlign w:val="superscript"/>
                <w:lang w:val="en-US"/>
              </w:rPr>
              <w:t>2</w:t>
            </w:r>
            <w:r w:rsidRPr="009239F8">
              <w:rPr>
                <w:rFonts w:ascii="Times New Roman" w:hAnsi="Times New Roman" w:cs="Times New Roman"/>
                <w:i/>
                <w:lang w:val="en-US"/>
              </w:rPr>
              <w:t>)</w:t>
            </w:r>
          </w:p>
        </w:tc>
        <w:tc>
          <w:tcPr>
            <w:tcW w:w="2409" w:type="dxa"/>
            <w:vAlign w:val="center"/>
          </w:tcPr>
          <w:p w14:paraId="196E0C24"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1.78 [1.60–1.94]</w:t>
            </w:r>
          </w:p>
        </w:tc>
        <w:tc>
          <w:tcPr>
            <w:tcW w:w="2410" w:type="dxa"/>
            <w:vAlign w:val="center"/>
          </w:tcPr>
          <w:p w14:paraId="2DD47920"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1.66 [1.57–1.77]</w:t>
            </w:r>
          </w:p>
        </w:tc>
        <w:tc>
          <w:tcPr>
            <w:tcW w:w="2410" w:type="dxa"/>
            <w:gridSpan w:val="2"/>
            <w:vAlign w:val="center"/>
          </w:tcPr>
          <w:p w14:paraId="4B37955E"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1.95 [1.85–2.06]</w:t>
            </w:r>
          </w:p>
        </w:tc>
        <w:tc>
          <w:tcPr>
            <w:tcW w:w="1134" w:type="dxa"/>
            <w:vAlign w:val="center"/>
          </w:tcPr>
          <w:p w14:paraId="2E6A21B3" w14:textId="0DF4B6DA" w:rsidR="00C83EB5" w:rsidRPr="009239F8" w:rsidRDefault="00C83EB5" w:rsidP="009A5B48">
            <w:pPr>
              <w:spacing w:line="480" w:lineRule="auto"/>
              <w:jc w:val="center"/>
              <w:rPr>
                <w:rFonts w:ascii="Times New Roman" w:hAnsi="Times New Roman" w:cs="Times New Roman"/>
                <w:b/>
                <w:bCs/>
                <w:lang w:val="en-US"/>
              </w:rPr>
            </w:pPr>
            <w:r w:rsidRPr="009239F8">
              <w:rPr>
                <w:rFonts w:ascii="Times New Roman" w:hAnsi="Times New Roman" w:cs="Times New Roman"/>
                <w:b/>
                <w:lang w:val="en-US"/>
              </w:rPr>
              <w:t>0.004</w:t>
            </w:r>
          </w:p>
        </w:tc>
      </w:tr>
      <w:tr w:rsidR="00C83EB5" w:rsidRPr="009239F8" w14:paraId="4A094703" w14:textId="77777777" w:rsidTr="00A72AA9">
        <w:trPr>
          <w:trHeight w:val="66"/>
          <w:jc w:val="center"/>
        </w:trPr>
        <w:tc>
          <w:tcPr>
            <w:tcW w:w="1560" w:type="dxa"/>
            <w:vAlign w:val="center"/>
          </w:tcPr>
          <w:p w14:paraId="42BFEA23" w14:textId="77777777" w:rsidR="00C83EB5" w:rsidRPr="009239F8" w:rsidRDefault="00C83EB5" w:rsidP="009A5B48">
            <w:pPr>
              <w:spacing w:line="480" w:lineRule="auto"/>
              <w:rPr>
                <w:rFonts w:ascii="Times New Roman" w:hAnsi="Times New Roman" w:cs="Times New Roman"/>
                <w:i/>
                <w:lang w:val="en-US"/>
              </w:rPr>
            </w:pPr>
            <w:r w:rsidRPr="009239F8">
              <w:rPr>
                <w:rFonts w:ascii="Times New Roman" w:hAnsi="Times New Roman" w:cs="Times New Roman"/>
                <w:i/>
                <w:lang w:val="en-US"/>
              </w:rPr>
              <w:t xml:space="preserve">BMI </w:t>
            </w:r>
            <w:r w:rsidRPr="009239F8">
              <w:rPr>
                <w:rFonts w:ascii="Times New Roman" w:hAnsi="Times New Roman" w:cs="Times New Roman"/>
                <w:i/>
                <w:iCs/>
                <w:lang w:val="en-US"/>
              </w:rPr>
              <w:t>(kg/m</w:t>
            </w:r>
            <w:r w:rsidRPr="009239F8">
              <w:rPr>
                <w:rFonts w:ascii="Times New Roman" w:hAnsi="Times New Roman" w:cs="Times New Roman"/>
                <w:i/>
                <w:iCs/>
                <w:vertAlign w:val="superscript"/>
                <w:lang w:val="en-US"/>
              </w:rPr>
              <w:t>2</w:t>
            </w:r>
            <w:r w:rsidRPr="009239F8">
              <w:rPr>
                <w:rFonts w:ascii="Times New Roman" w:hAnsi="Times New Roman" w:cs="Times New Roman"/>
                <w:i/>
                <w:iCs/>
                <w:lang w:val="en-US"/>
              </w:rPr>
              <w:t>)</w:t>
            </w:r>
          </w:p>
        </w:tc>
        <w:tc>
          <w:tcPr>
            <w:tcW w:w="2409" w:type="dxa"/>
            <w:vAlign w:val="center"/>
          </w:tcPr>
          <w:p w14:paraId="578615C2"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25.54 [23.51–29.06]</w:t>
            </w:r>
          </w:p>
        </w:tc>
        <w:tc>
          <w:tcPr>
            <w:tcW w:w="2410" w:type="dxa"/>
            <w:vAlign w:val="center"/>
          </w:tcPr>
          <w:p w14:paraId="4DFD9389"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25.84 [23.35–28.68]</w:t>
            </w:r>
          </w:p>
        </w:tc>
        <w:tc>
          <w:tcPr>
            <w:tcW w:w="2410" w:type="dxa"/>
            <w:gridSpan w:val="2"/>
            <w:vAlign w:val="center"/>
          </w:tcPr>
          <w:p w14:paraId="1411C35E"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24.82 [23.96–29.46]</w:t>
            </w:r>
          </w:p>
        </w:tc>
        <w:tc>
          <w:tcPr>
            <w:tcW w:w="1134" w:type="dxa"/>
            <w:vAlign w:val="center"/>
          </w:tcPr>
          <w:p w14:paraId="0880A366"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0.833</w:t>
            </w:r>
          </w:p>
        </w:tc>
      </w:tr>
      <w:tr w:rsidR="00C83EB5" w:rsidRPr="009239F8" w14:paraId="0752B8D7" w14:textId="77777777" w:rsidTr="00A72AA9">
        <w:trPr>
          <w:trHeight w:val="66"/>
          <w:jc w:val="center"/>
        </w:trPr>
        <w:tc>
          <w:tcPr>
            <w:tcW w:w="1560" w:type="dxa"/>
            <w:vAlign w:val="center"/>
          </w:tcPr>
          <w:p w14:paraId="60F61874" w14:textId="77777777" w:rsidR="00C83EB5" w:rsidRPr="009239F8" w:rsidRDefault="00C83EB5" w:rsidP="009A5B48">
            <w:pPr>
              <w:spacing w:line="480" w:lineRule="auto"/>
              <w:rPr>
                <w:rFonts w:ascii="Times New Roman" w:hAnsi="Times New Roman" w:cs="Times New Roman"/>
                <w:i/>
                <w:lang w:val="en-US"/>
              </w:rPr>
            </w:pPr>
            <w:r w:rsidRPr="009239F8">
              <w:rPr>
                <w:rFonts w:ascii="Times New Roman" w:hAnsi="Times New Roman" w:cs="Times New Roman"/>
                <w:i/>
                <w:lang w:val="en-US"/>
              </w:rPr>
              <w:t>S-BP (mmHg)</w:t>
            </w:r>
          </w:p>
        </w:tc>
        <w:tc>
          <w:tcPr>
            <w:tcW w:w="2409" w:type="dxa"/>
            <w:vAlign w:val="center"/>
          </w:tcPr>
          <w:p w14:paraId="5C14F63A"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146.33 [141.67–156.00]</w:t>
            </w:r>
          </w:p>
        </w:tc>
        <w:tc>
          <w:tcPr>
            <w:tcW w:w="2410" w:type="dxa"/>
            <w:vAlign w:val="center"/>
          </w:tcPr>
          <w:p w14:paraId="2B36F1FA"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144.83 [142.08–154.92]</w:t>
            </w:r>
          </w:p>
        </w:tc>
        <w:tc>
          <w:tcPr>
            <w:tcW w:w="2410" w:type="dxa"/>
            <w:gridSpan w:val="2"/>
            <w:vAlign w:val="center"/>
          </w:tcPr>
          <w:p w14:paraId="75EDD4AA"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150.67 [140.67–161.00]</w:t>
            </w:r>
          </w:p>
        </w:tc>
        <w:tc>
          <w:tcPr>
            <w:tcW w:w="1134" w:type="dxa"/>
            <w:vAlign w:val="center"/>
          </w:tcPr>
          <w:p w14:paraId="40047D96"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0.838</w:t>
            </w:r>
          </w:p>
        </w:tc>
      </w:tr>
      <w:tr w:rsidR="00C83EB5" w:rsidRPr="009239F8" w14:paraId="5D088C47" w14:textId="77777777" w:rsidTr="00A72AA9">
        <w:trPr>
          <w:trHeight w:val="66"/>
          <w:jc w:val="center"/>
        </w:trPr>
        <w:tc>
          <w:tcPr>
            <w:tcW w:w="1560" w:type="dxa"/>
            <w:vAlign w:val="center"/>
          </w:tcPr>
          <w:p w14:paraId="0B89BF50" w14:textId="77777777" w:rsidR="00C83EB5" w:rsidRPr="009239F8" w:rsidRDefault="00C83EB5" w:rsidP="009A5B48">
            <w:pPr>
              <w:spacing w:line="480" w:lineRule="auto"/>
              <w:rPr>
                <w:rFonts w:ascii="Times New Roman" w:hAnsi="Times New Roman" w:cs="Times New Roman"/>
                <w:i/>
                <w:lang w:val="en-US"/>
              </w:rPr>
            </w:pPr>
            <w:r w:rsidRPr="009239F8">
              <w:rPr>
                <w:rFonts w:ascii="Times New Roman" w:hAnsi="Times New Roman" w:cs="Times New Roman"/>
                <w:i/>
                <w:lang w:val="en-US"/>
              </w:rPr>
              <w:t>D-BP (mmHg)</w:t>
            </w:r>
          </w:p>
        </w:tc>
        <w:tc>
          <w:tcPr>
            <w:tcW w:w="2409" w:type="dxa"/>
            <w:vAlign w:val="center"/>
          </w:tcPr>
          <w:p w14:paraId="3E7D242C"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83.67 [78.50–89.67]</w:t>
            </w:r>
          </w:p>
        </w:tc>
        <w:tc>
          <w:tcPr>
            <w:tcW w:w="2410" w:type="dxa"/>
            <w:vAlign w:val="center"/>
          </w:tcPr>
          <w:p w14:paraId="61E18A18"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83.50 [79.00–88.75]</w:t>
            </w:r>
          </w:p>
        </w:tc>
        <w:tc>
          <w:tcPr>
            <w:tcW w:w="2410" w:type="dxa"/>
            <w:gridSpan w:val="2"/>
            <w:vAlign w:val="center"/>
          </w:tcPr>
          <w:p w14:paraId="247B99F4"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85.67 [77.67–90.33]</w:t>
            </w:r>
          </w:p>
        </w:tc>
        <w:tc>
          <w:tcPr>
            <w:tcW w:w="1134" w:type="dxa"/>
            <w:vAlign w:val="center"/>
          </w:tcPr>
          <w:p w14:paraId="34CDFA50"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0.991</w:t>
            </w:r>
          </w:p>
        </w:tc>
      </w:tr>
      <w:tr w:rsidR="00C83EB5" w:rsidRPr="009239F8" w14:paraId="75F37BCC" w14:textId="77777777" w:rsidTr="00A72AA9">
        <w:trPr>
          <w:trHeight w:val="66"/>
          <w:jc w:val="center"/>
        </w:trPr>
        <w:tc>
          <w:tcPr>
            <w:tcW w:w="1560" w:type="dxa"/>
            <w:vAlign w:val="center"/>
          </w:tcPr>
          <w:p w14:paraId="2BFA68FE" w14:textId="77777777" w:rsidR="00C83EB5" w:rsidRPr="009239F8" w:rsidRDefault="00C83EB5" w:rsidP="009A5B48">
            <w:pPr>
              <w:spacing w:line="480" w:lineRule="auto"/>
              <w:rPr>
                <w:rFonts w:ascii="Times New Roman" w:hAnsi="Times New Roman" w:cs="Times New Roman"/>
                <w:i/>
                <w:lang w:val="en-US"/>
              </w:rPr>
            </w:pPr>
            <w:r w:rsidRPr="009239F8">
              <w:rPr>
                <w:rFonts w:ascii="Times New Roman" w:hAnsi="Times New Roman" w:cs="Times New Roman"/>
                <w:i/>
                <w:iCs/>
                <w:lang w:val="en-US"/>
              </w:rPr>
              <w:t>eGFR (</w:t>
            </w:r>
            <w:r w:rsidRPr="009239F8">
              <w:rPr>
                <w:rFonts w:ascii="Cambria Math" w:hAnsi="Cambria Math" w:cs="Cambria Math"/>
                <w:i/>
                <w:iCs/>
                <w:lang w:val="en-US"/>
              </w:rPr>
              <w:t>𝑚𝐿</w:t>
            </w:r>
            <w:r w:rsidRPr="009239F8">
              <w:rPr>
                <w:rFonts w:ascii="Times New Roman" w:hAnsi="Times New Roman" w:cs="Times New Roman"/>
                <w:i/>
                <w:iCs/>
                <w:lang w:val="en-US"/>
              </w:rPr>
              <w:t>/</w:t>
            </w:r>
            <w:r w:rsidRPr="009239F8">
              <w:rPr>
                <w:rFonts w:ascii="Cambria Math" w:hAnsi="Cambria Math" w:cs="Cambria Math"/>
                <w:i/>
                <w:iCs/>
                <w:lang w:val="en-US"/>
              </w:rPr>
              <w:t>𝑚𝑖𝑛</w:t>
            </w:r>
            <w:r w:rsidRPr="009239F8">
              <w:rPr>
                <w:rFonts w:ascii="Times New Roman" w:hAnsi="Times New Roman" w:cs="Times New Roman"/>
                <w:i/>
                <w:iCs/>
                <w:lang w:val="en-US"/>
              </w:rPr>
              <w:t>/1.73</w:t>
            </w:r>
            <w:r w:rsidRPr="009239F8">
              <w:rPr>
                <w:rFonts w:ascii="Cambria Math" w:hAnsi="Cambria Math" w:cs="Cambria Math"/>
                <w:i/>
                <w:iCs/>
                <w:lang w:val="en-US"/>
              </w:rPr>
              <w:t>𝑚</w:t>
            </w:r>
            <w:r w:rsidRPr="009239F8">
              <w:rPr>
                <w:rFonts w:ascii="Times New Roman" w:hAnsi="Times New Roman" w:cs="Times New Roman"/>
                <w:i/>
                <w:iCs/>
                <w:vertAlign w:val="superscript"/>
                <w:lang w:val="en-US"/>
              </w:rPr>
              <w:t>2</w:t>
            </w:r>
            <w:r w:rsidRPr="009239F8">
              <w:rPr>
                <w:rFonts w:ascii="Times New Roman" w:hAnsi="Times New Roman" w:cs="Times New Roman"/>
                <w:i/>
                <w:iCs/>
                <w:lang w:val="en-US"/>
              </w:rPr>
              <w:t>)</w:t>
            </w:r>
          </w:p>
        </w:tc>
        <w:tc>
          <w:tcPr>
            <w:tcW w:w="2409" w:type="dxa"/>
            <w:vAlign w:val="center"/>
          </w:tcPr>
          <w:p w14:paraId="409AB303"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91.90 [89.45–94.80]</w:t>
            </w:r>
          </w:p>
        </w:tc>
        <w:tc>
          <w:tcPr>
            <w:tcW w:w="2410" w:type="dxa"/>
            <w:vAlign w:val="center"/>
          </w:tcPr>
          <w:p w14:paraId="09D252A9"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91.80 [89.43–93.75]</w:t>
            </w:r>
          </w:p>
        </w:tc>
        <w:tc>
          <w:tcPr>
            <w:tcW w:w="2410" w:type="dxa"/>
            <w:gridSpan w:val="2"/>
            <w:vAlign w:val="center"/>
          </w:tcPr>
          <w:p w14:paraId="64B9C554" w14:textId="77777777"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92.20 [89.90–98.30]</w:t>
            </w:r>
          </w:p>
        </w:tc>
        <w:tc>
          <w:tcPr>
            <w:tcW w:w="1134" w:type="dxa"/>
            <w:vAlign w:val="center"/>
          </w:tcPr>
          <w:p w14:paraId="45D4209A" w14:textId="77777777" w:rsidR="00C83EB5" w:rsidRPr="009239F8" w:rsidRDefault="00C83EB5" w:rsidP="009A5B48">
            <w:pPr>
              <w:spacing w:line="480" w:lineRule="auto"/>
              <w:jc w:val="center"/>
              <w:rPr>
                <w:rFonts w:ascii="Times New Roman" w:hAnsi="Times New Roman" w:cs="Times New Roman"/>
                <w:b/>
                <w:bCs/>
                <w:lang w:val="en-US"/>
              </w:rPr>
            </w:pPr>
            <w:r w:rsidRPr="009239F8">
              <w:rPr>
                <w:rFonts w:ascii="Times New Roman" w:hAnsi="Times New Roman" w:cs="Times New Roman"/>
                <w:lang w:val="en-US"/>
              </w:rPr>
              <w:t>0.524</w:t>
            </w:r>
          </w:p>
        </w:tc>
      </w:tr>
      <w:tr w:rsidR="00C83EB5" w:rsidRPr="009239F8" w14:paraId="15AFFF15" w14:textId="77777777" w:rsidTr="00A72AA9">
        <w:trPr>
          <w:trHeight w:val="66"/>
          <w:jc w:val="center"/>
        </w:trPr>
        <w:tc>
          <w:tcPr>
            <w:tcW w:w="9923" w:type="dxa"/>
            <w:gridSpan w:val="6"/>
            <w:tcBorders>
              <w:top w:val="single" w:sz="4" w:space="0" w:color="auto"/>
              <w:bottom w:val="single" w:sz="4" w:space="0" w:color="auto"/>
            </w:tcBorders>
            <w:vAlign w:val="center"/>
          </w:tcPr>
          <w:p w14:paraId="18E148BB" w14:textId="77777777" w:rsidR="00C83EB5" w:rsidRPr="009239F8" w:rsidRDefault="00C83EB5" w:rsidP="009A5B48">
            <w:pPr>
              <w:spacing w:line="480" w:lineRule="auto"/>
              <w:rPr>
                <w:rFonts w:ascii="Times New Roman" w:hAnsi="Times New Roman" w:cs="Times New Roman"/>
                <w:b/>
                <w:bCs/>
                <w:i/>
                <w:lang w:val="en-US"/>
              </w:rPr>
            </w:pPr>
            <w:r w:rsidRPr="009239F8">
              <w:rPr>
                <w:rFonts w:ascii="Times New Roman" w:hAnsi="Times New Roman" w:cs="Times New Roman"/>
                <w:b/>
                <w:bCs/>
                <w:i/>
                <w:lang w:val="en-US"/>
              </w:rPr>
              <w:t>CMR parameters</w:t>
            </w:r>
          </w:p>
        </w:tc>
      </w:tr>
      <w:tr w:rsidR="00C83EB5" w:rsidRPr="009239F8" w14:paraId="5CCE7889" w14:textId="77777777" w:rsidTr="00A72AA9">
        <w:trPr>
          <w:trHeight w:val="66"/>
          <w:jc w:val="center"/>
        </w:trPr>
        <w:tc>
          <w:tcPr>
            <w:tcW w:w="1560" w:type="dxa"/>
            <w:vAlign w:val="center"/>
          </w:tcPr>
          <w:p w14:paraId="1BD9979B" w14:textId="77777777" w:rsidR="00C83EB5" w:rsidRPr="009239F8" w:rsidRDefault="00C83EB5" w:rsidP="009A5B48">
            <w:pPr>
              <w:spacing w:line="480" w:lineRule="auto"/>
              <w:rPr>
                <w:rFonts w:ascii="Times New Roman" w:hAnsi="Times New Roman" w:cs="Times New Roman"/>
                <w:i/>
                <w:lang w:val="en-US"/>
              </w:rPr>
            </w:pPr>
            <w:r w:rsidRPr="009239F8">
              <w:rPr>
                <w:rFonts w:ascii="Times New Roman" w:hAnsi="Times New Roman" w:cs="Times New Roman"/>
                <w:i/>
                <w:lang w:val="en-US"/>
              </w:rPr>
              <w:t>EDVi (ml/m</w:t>
            </w:r>
            <w:r w:rsidRPr="009239F8">
              <w:rPr>
                <w:rFonts w:ascii="Times New Roman" w:hAnsi="Times New Roman" w:cs="Times New Roman"/>
                <w:i/>
                <w:vertAlign w:val="superscript"/>
                <w:lang w:val="en-US"/>
              </w:rPr>
              <w:t>2</w:t>
            </w:r>
            <w:r w:rsidRPr="009239F8">
              <w:rPr>
                <w:rFonts w:ascii="Times New Roman" w:hAnsi="Times New Roman" w:cs="Times New Roman"/>
                <w:i/>
                <w:lang w:val="en-US"/>
              </w:rPr>
              <w:t>)</w:t>
            </w:r>
          </w:p>
        </w:tc>
        <w:tc>
          <w:tcPr>
            <w:tcW w:w="2409" w:type="dxa"/>
            <w:vAlign w:val="center"/>
          </w:tcPr>
          <w:p w14:paraId="0599DA06"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69.92 [63.59–81.14]</w:t>
            </w:r>
          </w:p>
        </w:tc>
        <w:tc>
          <w:tcPr>
            <w:tcW w:w="2410" w:type="dxa"/>
            <w:vAlign w:val="center"/>
          </w:tcPr>
          <w:p w14:paraId="7A4DBAF1"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65.83 [57.39–74.28]</w:t>
            </w:r>
          </w:p>
        </w:tc>
        <w:tc>
          <w:tcPr>
            <w:tcW w:w="2410" w:type="dxa"/>
            <w:gridSpan w:val="2"/>
            <w:vAlign w:val="center"/>
          </w:tcPr>
          <w:p w14:paraId="1309BA8C"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77.42 [69.60–86.97]</w:t>
            </w:r>
          </w:p>
        </w:tc>
        <w:tc>
          <w:tcPr>
            <w:tcW w:w="1134" w:type="dxa"/>
            <w:vAlign w:val="center"/>
          </w:tcPr>
          <w:p w14:paraId="77463E3C" w14:textId="2072A005" w:rsidR="00C83EB5" w:rsidRPr="009239F8" w:rsidRDefault="00C83EB5" w:rsidP="009A5B48">
            <w:pPr>
              <w:spacing w:line="480" w:lineRule="auto"/>
              <w:jc w:val="center"/>
              <w:rPr>
                <w:rFonts w:ascii="Times New Roman" w:hAnsi="Times New Roman" w:cs="Times New Roman"/>
                <w:b/>
                <w:bCs/>
                <w:lang w:val="en-US"/>
              </w:rPr>
            </w:pPr>
            <w:r w:rsidRPr="009239F8">
              <w:rPr>
                <w:rFonts w:ascii="Times New Roman" w:hAnsi="Times New Roman" w:cs="Times New Roman"/>
                <w:b/>
                <w:lang w:val="en-US"/>
              </w:rPr>
              <w:t>0.006</w:t>
            </w:r>
          </w:p>
        </w:tc>
      </w:tr>
      <w:tr w:rsidR="00C83EB5" w:rsidRPr="009239F8" w14:paraId="233C3AD6" w14:textId="77777777" w:rsidTr="00A72AA9">
        <w:trPr>
          <w:trHeight w:val="66"/>
          <w:jc w:val="center"/>
        </w:trPr>
        <w:tc>
          <w:tcPr>
            <w:tcW w:w="1560" w:type="dxa"/>
            <w:vAlign w:val="center"/>
          </w:tcPr>
          <w:p w14:paraId="77F2F99B" w14:textId="77777777" w:rsidR="00C83EB5" w:rsidRPr="009239F8" w:rsidRDefault="00C83EB5" w:rsidP="009A5B48">
            <w:pPr>
              <w:spacing w:line="480" w:lineRule="auto"/>
              <w:rPr>
                <w:rFonts w:ascii="Times New Roman" w:hAnsi="Times New Roman" w:cs="Times New Roman"/>
                <w:i/>
                <w:lang w:val="en-US"/>
              </w:rPr>
            </w:pPr>
            <w:r w:rsidRPr="009239F8">
              <w:rPr>
                <w:rFonts w:ascii="Times New Roman" w:hAnsi="Times New Roman" w:cs="Times New Roman"/>
                <w:i/>
                <w:lang w:val="en-US"/>
              </w:rPr>
              <w:t>ESVi (ml/m</w:t>
            </w:r>
            <w:r w:rsidRPr="009239F8">
              <w:rPr>
                <w:rFonts w:ascii="Times New Roman" w:hAnsi="Times New Roman" w:cs="Times New Roman"/>
                <w:i/>
                <w:vertAlign w:val="superscript"/>
                <w:lang w:val="en-US"/>
              </w:rPr>
              <w:t>2</w:t>
            </w:r>
            <w:r w:rsidRPr="009239F8">
              <w:rPr>
                <w:rFonts w:ascii="Times New Roman" w:hAnsi="Times New Roman" w:cs="Times New Roman"/>
                <w:i/>
                <w:lang w:val="en-US"/>
              </w:rPr>
              <w:t>)</w:t>
            </w:r>
          </w:p>
        </w:tc>
        <w:tc>
          <w:tcPr>
            <w:tcW w:w="2409" w:type="dxa"/>
            <w:vAlign w:val="center"/>
          </w:tcPr>
          <w:p w14:paraId="3F5EA758"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21.25 [16.29–24.80]</w:t>
            </w:r>
          </w:p>
        </w:tc>
        <w:tc>
          <w:tcPr>
            <w:tcW w:w="2410" w:type="dxa"/>
            <w:vAlign w:val="center"/>
          </w:tcPr>
          <w:p w14:paraId="2D46B482"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18.01 [15.13–23.09]</w:t>
            </w:r>
          </w:p>
        </w:tc>
        <w:tc>
          <w:tcPr>
            <w:tcW w:w="2410" w:type="dxa"/>
            <w:gridSpan w:val="2"/>
            <w:vAlign w:val="center"/>
          </w:tcPr>
          <w:p w14:paraId="0C87BB64"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22.84 [18.36–33.33]</w:t>
            </w:r>
          </w:p>
        </w:tc>
        <w:tc>
          <w:tcPr>
            <w:tcW w:w="1134" w:type="dxa"/>
            <w:vAlign w:val="center"/>
          </w:tcPr>
          <w:p w14:paraId="4E2CAED7" w14:textId="6B571F15" w:rsidR="00C83EB5" w:rsidRPr="009239F8" w:rsidRDefault="00C83EB5" w:rsidP="009A5B48">
            <w:pPr>
              <w:spacing w:line="480" w:lineRule="auto"/>
              <w:jc w:val="center"/>
              <w:rPr>
                <w:rFonts w:ascii="Times New Roman" w:hAnsi="Times New Roman" w:cs="Times New Roman"/>
                <w:b/>
                <w:bCs/>
                <w:lang w:val="en-US"/>
              </w:rPr>
            </w:pPr>
            <w:r w:rsidRPr="009239F8">
              <w:rPr>
                <w:rFonts w:ascii="Times New Roman" w:hAnsi="Times New Roman" w:cs="Times New Roman"/>
                <w:b/>
                <w:lang w:val="en-US"/>
              </w:rPr>
              <w:t>0.030</w:t>
            </w:r>
          </w:p>
        </w:tc>
      </w:tr>
      <w:tr w:rsidR="00C83EB5" w:rsidRPr="009239F8" w14:paraId="2CB56ADA" w14:textId="77777777" w:rsidTr="00A72AA9">
        <w:trPr>
          <w:trHeight w:val="66"/>
          <w:jc w:val="center"/>
        </w:trPr>
        <w:tc>
          <w:tcPr>
            <w:tcW w:w="1560" w:type="dxa"/>
            <w:vAlign w:val="center"/>
          </w:tcPr>
          <w:p w14:paraId="58A9D737" w14:textId="77777777" w:rsidR="00C83EB5" w:rsidRPr="009239F8" w:rsidRDefault="00C83EB5" w:rsidP="009A5B48">
            <w:pPr>
              <w:spacing w:line="480" w:lineRule="auto"/>
              <w:rPr>
                <w:rFonts w:ascii="Times New Roman" w:hAnsi="Times New Roman" w:cs="Times New Roman"/>
                <w:i/>
                <w:lang w:val="en-US"/>
              </w:rPr>
            </w:pPr>
            <w:r w:rsidRPr="009239F8">
              <w:rPr>
                <w:rFonts w:ascii="Times New Roman" w:hAnsi="Times New Roman" w:cs="Times New Roman"/>
                <w:i/>
                <w:lang w:val="en-US"/>
              </w:rPr>
              <w:t>SVi (ml/m</w:t>
            </w:r>
            <w:r w:rsidRPr="009239F8">
              <w:rPr>
                <w:rFonts w:ascii="Times New Roman" w:hAnsi="Times New Roman" w:cs="Times New Roman"/>
                <w:i/>
                <w:vertAlign w:val="superscript"/>
                <w:lang w:val="en-US"/>
              </w:rPr>
              <w:t>2</w:t>
            </w:r>
            <w:r w:rsidRPr="009239F8">
              <w:rPr>
                <w:rFonts w:ascii="Times New Roman" w:hAnsi="Times New Roman" w:cs="Times New Roman"/>
                <w:i/>
                <w:lang w:val="en-US"/>
              </w:rPr>
              <w:t>)</w:t>
            </w:r>
          </w:p>
        </w:tc>
        <w:tc>
          <w:tcPr>
            <w:tcW w:w="2409" w:type="dxa"/>
            <w:vAlign w:val="center"/>
          </w:tcPr>
          <w:p w14:paraId="06B25105"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49.27 [45.23–56.49]</w:t>
            </w:r>
          </w:p>
        </w:tc>
        <w:tc>
          <w:tcPr>
            <w:tcW w:w="2410" w:type="dxa"/>
            <w:vAlign w:val="center"/>
          </w:tcPr>
          <w:p w14:paraId="01DADFD9"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47.97 [42.89–51.25]</w:t>
            </w:r>
          </w:p>
        </w:tc>
        <w:tc>
          <w:tcPr>
            <w:tcW w:w="2410" w:type="dxa"/>
            <w:gridSpan w:val="2"/>
            <w:vAlign w:val="center"/>
          </w:tcPr>
          <w:p w14:paraId="44CA2FB2"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53.04 [47.98–58.67]</w:t>
            </w:r>
          </w:p>
        </w:tc>
        <w:tc>
          <w:tcPr>
            <w:tcW w:w="1134" w:type="dxa"/>
            <w:vAlign w:val="center"/>
          </w:tcPr>
          <w:p w14:paraId="1B948B6C" w14:textId="0E68556D" w:rsidR="00C83EB5" w:rsidRPr="009239F8" w:rsidRDefault="00C83EB5"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0.015</w:t>
            </w:r>
          </w:p>
        </w:tc>
      </w:tr>
      <w:tr w:rsidR="00C83EB5" w:rsidRPr="009239F8" w14:paraId="5C5F05DD" w14:textId="77777777" w:rsidTr="00A72AA9">
        <w:trPr>
          <w:trHeight w:val="66"/>
          <w:jc w:val="center"/>
        </w:trPr>
        <w:tc>
          <w:tcPr>
            <w:tcW w:w="1560" w:type="dxa"/>
            <w:vAlign w:val="center"/>
          </w:tcPr>
          <w:p w14:paraId="46D10503" w14:textId="77777777" w:rsidR="00C83EB5" w:rsidRPr="009239F8" w:rsidRDefault="00C83EB5" w:rsidP="009A5B48">
            <w:pPr>
              <w:spacing w:line="480" w:lineRule="auto"/>
              <w:rPr>
                <w:rFonts w:ascii="Times New Roman" w:hAnsi="Times New Roman" w:cs="Times New Roman"/>
                <w:i/>
                <w:iCs/>
                <w:lang w:val="en-US"/>
              </w:rPr>
            </w:pPr>
            <w:r w:rsidRPr="009239F8">
              <w:rPr>
                <w:rFonts w:ascii="Times New Roman" w:hAnsi="Times New Roman" w:cs="Times New Roman"/>
                <w:i/>
                <w:iCs/>
                <w:lang w:val="en-US"/>
              </w:rPr>
              <w:t>EF (%)</w:t>
            </w:r>
          </w:p>
        </w:tc>
        <w:tc>
          <w:tcPr>
            <w:tcW w:w="2409" w:type="dxa"/>
            <w:vAlign w:val="center"/>
          </w:tcPr>
          <w:p w14:paraId="5BBA196F"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71.15 [65.34–74.62]</w:t>
            </w:r>
          </w:p>
        </w:tc>
        <w:tc>
          <w:tcPr>
            <w:tcW w:w="2410" w:type="dxa"/>
            <w:vAlign w:val="center"/>
          </w:tcPr>
          <w:p w14:paraId="0D6E8CE5"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72.13 [68.47–74.94]</w:t>
            </w:r>
          </w:p>
        </w:tc>
        <w:tc>
          <w:tcPr>
            <w:tcW w:w="2410" w:type="dxa"/>
            <w:gridSpan w:val="2"/>
            <w:vAlign w:val="center"/>
          </w:tcPr>
          <w:p w14:paraId="651FF14D" w14:textId="77777777" w:rsidR="00C83EB5" w:rsidRPr="009239F8" w:rsidRDefault="00C83EB5"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67.19 [63.26–73.96]</w:t>
            </w:r>
          </w:p>
        </w:tc>
        <w:tc>
          <w:tcPr>
            <w:tcW w:w="1134" w:type="dxa"/>
            <w:vAlign w:val="center"/>
          </w:tcPr>
          <w:p w14:paraId="1578F516" w14:textId="77777777" w:rsidR="00C83EB5" w:rsidRPr="009239F8" w:rsidRDefault="00C83EB5" w:rsidP="009A5B48">
            <w:pPr>
              <w:spacing w:line="480" w:lineRule="auto"/>
              <w:jc w:val="center"/>
              <w:rPr>
                <w:rFonts w:ascii="Times New Roman" w:hAnsi="Times New Roman" w:cs="Times New Roman"/>
                <w:b/>
                <w:bCs/>
                <w:lang w:val="en-US"/>
              </w:rPr>
            </w:pPr>
            <w:r w:rsidRPr="009239F8">
              <w:rPr>
                <w:rFonts w:ascii="Times New Roman" w:hAnsi="Times New Roman" w:cs="Times New Roman"/>
                <w:lang w:val="en-US"/>
              </w:rPr>
              <w:t>0.170</w:t>
            </w:r>
          </w:p>
        </w:tc>
      </w:tr>
      <w:tr w:rsidR="00BD28FF" w:rsidRPr="009239F8" w14:paraId="241D6BC5" w14:textId="77777777" w:rsidTr="007377AD">
        <w:trPr>
          <w:trHeight w:val="66"/>
          <w:jc w:val="center"/>
        </w:trPr>
        <w:tc>
          <w:tcPr>
            <w:tcW w:w="1560" w:type="dxa"/>
          </w:tcPr>
          <w:p w14:paraId="1D7390E8" w14:textId="47FE7CD0" w:rsidR="00BD28FF" w:rsidRPr="009239F8" w:rsidRDefault="00BD28FF" w:rsidP="009A5B48">
            <w:pPr>
              <w:spacing w:line="480" w:lineRule="auto"/>
              <w:rPr>
                <w:rFonts w:ascii="Times New Roman" w:hAnsi="Times New Roman" w:cs="Times New Roman"/>
                <w:i/>
                <w:iCs/>
                <w:lang w:val="en-US"/>
              </w:rPr>
            </w:pPr>
            <w:r w:rsidRPr="009239F8">
              <w:rPr>
                <w:rFonts w:ascii="Times New Roman" w:hAnsi="Times New Roman" w:cs="Times New Roman"/>
                <w:i/>
                <w:iCs/>
                <w:lang w:val="en-US"/>
              </w:rPr>
              <w:t>LVMi (g/m²)</w:t>
            </w:r>
          </w:p>
        </w:tc>
        <w:tc>
          <w:tcPr>
            <w:tcW w:w="2409" w:type="dxa"/>
          </w:tcPr>
          <w:p w14:paraId="758ADA09" w14:textId="09072483"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49.75 [43.74–55.69]</w:t>
            </w:r>
          </w:p>
        </w:tc>
        <w:tc>
          <w:tcPr>
            <w:tcW w:w="2410" w:type="dxa"/>
          </w:tcPr>
          <w:p w14:paraId="6ADB8F97" w14:textId="72106D1C"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45.78 [40.54–49.51]</w:t>
            </w:r>
          </w:p>
        </w:tc>
        <w:tc>
          <w:tcPr>
            <w:tcW w:w="2410" w:type="dxa"/>
            <w:gridSpan w:val="2"/>
          </w:tcPr>
          <w:p w14:paraId="04208BAB" w14:textId="7B36BBDC"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55.73 [52.90–61.58]</w:t>
            </w:r>
          </w:p>
        </w:tc>
        <w:tc>
          <w:tcPr>
            <w:tcW w:w="1134" w:type="dxa"/>
            <w:vAlign w:val="center"/>
          </w:tcPr>
          <w:p w14:paraId="6F9AE3AE" w14:textId="5DDF7B15"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0.004</w:t>
            </w:r>
          </w:p>
        </w:tc>
      </w:tr>
      <w:tr w:rsidR="00BD28FF" w:rsidRPr="009239F8" w14:paraId="19B51824" w14:textId="77777777" w:rsidTr="007377AD">
        <w:trPr>
          <w:trHeight w:val="66"/>
          <w:jc w:val="center"/>
        </w:trPr>
        <w:tc>
          <w:tcPr>
            <w:tcW w:w="1560" w:type="dxa"/>
          </w:tcPr>
          <w:p w14:paraId="00E3333E" w14:textId="79B07BF4" w:rsidR="00BD28FF" w:rsidRPr="009239F8" w:rsidRDefault="00BD28FF" w:rsidP="009A5B48">
            <w:pPr>
              <w:spacing w:line="480" w:lineRule="auto"/>
              <w:rPr>
                <w:rFonts w:ascii="Times New Roman" w:hAnsi="Times New Roman" w:cs="Times New Roman"/>
                <w:i/>
                <w:iCs/>
                <w:lang w:val="en-US"/>
              </w:rPr>
            </w:pPr>
            <w:r w:rsidRPr="009239F8">
              <w:rPr>
                <w:rFonts w:ascii="Times New Roman" w:hAnsi="Times New Roman" w:cs="Times New Roman"/>
                <w:i/>
                <w:iCs/>
                <w:lang w:val="en-US"/>
              </w:rPr>
              <w:t>MWT (mm)</w:t>
            </w:r>
          </w:p>
        </w:tc>
        <w:tc>
          <w:tcPr>
            <w:tcW w:w="2409" w:type="dxa"/>
          </w:tcPr>
          <w:p w14:paraId="273178DD" w14:textId="02903A74"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10.96 [9.96–12.38]</w:t>
            </w:r>
          </w:p>
        </w:tc>
        <w:tc>
          <w:tcPr>
            <w:tcW w:w="2410" w:type="dxa"/>
          </w:tcPr>
          <w:p w14:paraId="2FF677A0" w14:textId="721F1C86"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10.65 [9.16–11.17]</w:t>
            </w:r>
          </w:p>
        </w:tc>
        <w:tc>
          <w:tcPr>
            <w:tcW w:w="2410" w:type="dxa"/>
            <w:gridSpan w:val="2"/>
          </w:tcPr>
          <w:p w14:paraId="1D580317" w14:textId="2E963D37"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12.36 [11.62–12.73]</w:t>
            </w:r>
          </w:p>
        </w:tc>
        <w:tc>
          <w:tcPr>
            <w:tcW w:w="1134" w:type="dxa"/>
            <w:vAlign w:val="center"/>
          </w:tcPr>
          <w:p w14:paraId="547B4FE6" w14:textId="47DB1A15"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0.004</w:t>
            </w:r>
          </w:p>
        </w:tc>
      </w:tr>
      <w:tr w:rsidR="00BD28FF" w:rsidRPr="009239F8" w14:paraId="372A23EA" w14:textId="77777777" w:rsidTr="007377AD">
        <w:trPr>
          <w:trHeight w:val="66"/>
          <w:jc w:val="center"/>
        </w:trPr>
        <w:tc>
          <w:tcPr>
            <w:tcW w:w="1560" w:type="dxa"/>
          </w:tcPr>
          <w:p w14:paraId="536BD653" w14:textId="124D6BD9" w:rsidR="00BD28FF" w:rsidRPr="009239F8" w:rsidRDefault="00BD28FF" w:rsidP="009A5B48">
            <w:pPr>
              <w:spacing w:line="480" w:lineRule="auto"/>
              <w:rPr>
                <w:rFonts w:ascii="Times New Roman" w:hAnsi="Times New Roman" w:cs="Times New Roman"/>
                <w:i/>
                <w:iCs/>
                <w:lang w:val="en-US"/>
              </w:rPr>
            </w:pPr>
            <w:r w:rsidRPr="009239F8">
              <w:rPr>
                <w:rFonts w:ascii="Times New Roman" w:hAnsi="Times New Roman" w:cs="Times New Roman"/>
                <w:i/>
                <w:iCs/>
                <w:lang w:val="en-US"/>
              </w:rPr>
              <w:t>LA-EDVi (ml/m²)</w:t>
            </w:r>
          </w:p>
        </w:tc>
        <w:tc>
          <w:tcPr>
            <w:tcW w:w="2409" w:type="dxa"/>
          </w:tcPr>
          <w:p w14:paraId="6B09FF4C" w14:textId="3F2F1C67"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6.80 [5.07–8.46]</w:t>
            </w:r>
          </w:p>
        </w:tc>
        <w:tc>
          <w:tcPr>
            <w:tcW w:w="2410" w:type="dxa"/>
          </w:tcPr>
          <w:p w14:paraId="7993FBF2" w14:textId="0D617A95"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5.59 [3.90–7.76]</w:t>
            </w:r>
          </w:p>
        </w:tc>
        <w:tc>
          <w:tcPr>
            <w:tcW w:w="2410" w:type="dxa"/>
            <w:gridSpan w:val="2"/>
          </w:tcPr>
          <w:p w14:paraId="3D355E23" w14:textId="6FA84D77"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7.67 [5.46–9.10]</w:t>
            </w:r>
          </w:p>
        </w:tc>
        <w:tc>
          <w:tcPr>
            <w:tcW w:w="1134" w:type="dxa"/>
            <w:vAlign w:val="center"/>
          </w:tcPr>
          <w:p w14:paraId="43693BDB" w14:textId="26B0B5EF"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0.068</w:t>
            </w:r>
          </w:p>
        </w:tc>
      </w:tr>
      <w:tr w:rsidR="00BD28FF" w:rsidRPr="009239F8" w14:paraId="5DA99F15" w14:textId="77777777" w:rsidTr="00A72AA9">
        <w:trPr>
          <w:trHeight w:val="66"/>
          <w:jc w:val="center"/>
        </w:trPr>
        <w:tc>
          <w:tcPr>
            <w:tcW w:w="1560" w:type="dxa"/>
            <w:vAlign w:val="center"/>
          </w:tcPr>
          <w:p w14:paraId="4470C3F4" w14:textId="77777777" w:rsidR="00BD28FF" w:rsidRPr="009239F8" w:rsidRDefault="00BD28FF" w:rsidP="009A5B48">
            <w:pPr>
              <w:spacing w:line="480" w:lineRule="auto"/>
              <w:rPr>
                <w:rFonts w:ascii="Times New Roman" w:hAnsi="Times New Roman" w:cs="Times New Roman"/>
                <w:i/>
                <w:iCs/>
                <w:lang w:val="en-US"/>
              </w:rPr>
            </w:pPr>
            <w:r w:rsidRPr="009239F8">
              <w:rPr>
                <w:rFonts w:ascii="Times New Roman" w:hAnsi="Times New Roman" w:cs="Times New Roman"/>
                <w:i/>
                <w:lang w:val="en-US"/>
              </w:rPr>
              <w:t>T1 (ms)</w:t>
            </w:r>
          </w:p>
        </w:tc>
        <w:tc>
          <w:tcPr>
            <w:tcW w:w="2409" w:type="dxa"/>
            <w:vAlign w:val="center"/>
          </w:tcPr>
          <w:p w14:paraId="351A4B39"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1292.49 [1262.37–1317.49]</w:t>
            </w:r>
          </w:p>
        </w:tc>
        <w:tc>
          <w:tcPr>
            <w:tcW w:w="2410" w:type="dxa"/>
            <w:vAlign w:val="center"/>
          </w:tcPr>
          <w:p w14:paraId="4CC48C8B"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1293.04 [1280.84–1311.09]</w:t>
            </w:r>
          </w:p>
        </w:tc>
        <w:tc>
          <w:tcPr>
            <w:tcW w:w="2410" w:type="dxa"/>
            <w:gridSpan w:val="2"/>
            <w:vAlign w:val="center"/>
          </w:tcPr>
          <w:p w14:paraId="2B508B3C"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1279.43 [1241.51–1331.67]</w:t>
            </w:r>
          </w:p>
        </w:tc>
        <w:tc>
          <w:tcPr>
            <w:tcW w:w="1134" w:type="dxa"/>
            <w:vAlign w:val="center"/>
          </w:tcPr>
          <w:p w14:paraId="4BFA555D" w14:textId="77777777"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0.367</w:t>
            </w:r>
          </w:p>
        </w:tc>
      </w:tr>
      <w:tr w:rsidR="00BD28FF" w:rsidRPr="009239F8" w14:paraId="46AB1A16" w14:textId="77777777" w:rsidTr="00A72AA9">
        <w:trPr>
          <w:trHeight w:val="66"/>
          <w:jc w:val="center"/>
        </w:trPr>
        <w:tc>
          <w:tcPr>
            <w:tcW w:w="1560" w:type="dxa"/>
            <w:vAlign w:val="center"/>
          </w:tcPr>
          <w:p w14:paraId="4F48E1B6" w14:textId="77777777" w:rsidR="00BD28FF" w:rsidRPr="009239F8" w:rsidRDefault="00BD28FF" w:rsidP="009A5B48">
            <w:pPr>
              <w:spacing w:line="480" w:lineRule="auto"/>
              <w:rPr>
                <w:rFonts w:ascii="Times New Roman" w:hAnsi="Times New Roman" w:cs="Times New Roman"/>
                <w:i/>
                <w:iCs/>
                <w:lang w:val="en-US"/>
              </w:rPr>
            </w:pPr>
            <w:r w:rsidRPr="009239F8">
              <w:rPr>
                <w:rFonts w:ascii="Times New Roman" w:hAnsi="Times New Roman" w:cs="Times New Roman"/>
                <w:i/>
                <w:lang w:val="en-US"/>
              </w:rPr>
              <w:t>MPR</w:t>
            </w:r>
          </w:p>
        </w:tc>
        <w:tc>
          <w:tcPr>
            <w:tcW w:w="2409" w:type="dxa"/>
            <w:vAlign w:val="center"/>
          </w:tcPr>
          <w:p w14:paraId="3A07F156"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2.66 [2.35–3.00]</w:t>
            </w:r>
          </w:p>
        </w:tc>
        <w:tc>
          <w:tcPr>
            <w:tcW w:w="2410" w:type="dxa"/>
            <w:vAlign w:val="center"/>
          </w:tcPr>
          <w:p w14:paraId="5DC2517F"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2.58 [2.42–2.85]</w:t>
            </w:r>
          </w:p>
        </w:tc>
        <w:tc>
          <w:tcPr>
            <w:tcW w:w="2410" w:type="dxa"/>
            <w:gridSpan w:val="2"/>
            <w:vAlign w:val="center"/>
          </w:tcPr>
          <w:p w14:paraId="02BD6C80"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2.83 [2.31–3.65]</w:t>
            </w:r>
          </w:p>
        </w:tc>
        <w:tc>
          <w:tcPr>
            <w:tcW w:w="1134" w:type="dxa"/>
            <w:vAlign w:val="center"/>
          </w:tcPr>
          <w:p w14:paraId="37F82B8A" w14:textId="77777777" w:rsidR="00BD28FF" w:rsidRPr="009239F8" w:rsidRDefault="00BD28FF" w:rsidP="009A5B48">
            <w:pPr>
              <w:spacing w:line="480" w:lineRule="auto"/>
              <w:jc w:val="center"/>
              <w:rPr>
                <w:rFonts w:ascii="Times New Roman" w:hAnsi="Times New Roman" w:cs="Times New Roman"/>
                <w:b/>
                <w:bCs/>
                <w:lang w:val="en-US"/>
              </w:rPr>
            </w:pPr>
            <w:r w:rsidRPr="009239F8">
              <w:rPr>
                <w:rFonts w:ascii="Times New Roman" w:hAnsi="Times New Roman" w:cs="Times New Roman"/>
                <w:lang w:val="en-US"/>
              </w:rPr>
              <w:t>0.314</w:t>
            </w:r>
          </w:p>
        </w:tc>
      </w:tr>
      <w:tr w:rsidR="00BD28FF" w:rsidRPr="009239F8" w14:paraId="6E424845" w14:textId="77777777" w:rsidTr="00A72AA9">
        <w:trPr>
          <w:trHeight w:val="66"/>
          <w:jc w:val="center"/>
        </w:trPr>
        <w:tc>
          <w:tcPr>
            <w:tcW w:w="1560" w:type="dxa"/>
            <w:vAlign w:val="center"/>
          </w:tcPr>
          <w:p w14:paraId="2D149D61" w14:textId="77777777" w:rsidR="00BD28FF" w:rsidRPr="009239F8" w:rsidRDefault="00BD28FF" w:rsidP="009A5B48">
            <w:pPr>
              <w:spacing w:line="480" w:lineRule="auto"/>
              <w:rPr>
                <w:rFonts w:ascii="Times New Roman" w:hAnsi="Times New Roman" w:cs="Times New Roman"/>
                <w:i/>
                <w:lang w:val="en-US"/>
              </w:rPr>
            </w:pPr>
            <w:r w:rsidRPr="009239F8">
              <w:rPr>
                <w:rFonts w:ascii="Times New Roman" w:hAnsi="Times New Roman" w:cs="Times New Roman"/>
                <w:i/>
                <w:lang w:val="en-US"/>
              </w:rPr>
              <w:t>Core LGE (%)</w:t>
            </w:r>
          </w:p>
        </w:tc>
        <w:tc>
          <w:tcPr>
            <w:tcW w:w="2409" w:type="dxa"/>
            <w:vAlign w:val="center"/>
          </w:tcPr>
          <w:p w14:paraId="0AE64E7C"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0.00 [0.00–0.02]</w:t>
            </w:r>
          </w:p>
        </w:tc>
        <w:tc>
          <w:tcPr>
            <w:tcW w:w="2410" w:type="dxa"/>
            <w:vAlign w:val="center"/>
          </w:tcPr>
          <w:p w14:paraId="405DA006"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0.00 [0.00–0.00]</w:t>
            </w:r>
          </w:p>
        </w:tc>
        <w:tc>
          <w:tcPr>
            <w:tcW w:w="2410" w:type="dxa"/>
            <w:gridSpan w:val="2"/>
            <w:vAlign w:val="center"/>
          </w:tcPr>
          <w:p w14:paraId="62D0C9C3"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0.00 [0.00–0.47]</w:t>
            </w:r>
          </w:p>
        </w:tc>
        <w:tc>
          <w:tcPr>
            <w:tcW w:w="1134" w:type="dxa"/>
            <w:vAlign w:val="center"/>
          </w:tcPr>
          <w:p w14:paraId="7ED937E5" w14:textId="6515A257"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0.008</w:t>
            </w:r>
          </w:p>
        </w:tc>
      </w:tr>
      <w:tr w:rsidR="00BD28FF" w:rsidRPr="009239F8" w14:paraId="134F6D30" w14:textId="77777777" w:rsidTr="00A72AA9">
        <w:trPr>
          <w:trHeight w:val="66"/>
          <w:jc w:val="center"/>
        </w:trPr>
        <w:tc>
          <w:tcPr>
            <w:tcW w:w="1560" w:type="dxa"/>
            <w:vAlign w:val="center"/>
          </w:tcPr>
          <w:p w14:paraId="7FDB7779" w14:textId="77777777" w:rsidR="00BD28FF" w:rsidRPr="009239F8" w:rsidRDefault="00BD28FF" w:rsidP="009A5B48">
            <w:pPr>
              <w:spacing w:line="480" w:lineRule="auto"/>
              <w:rPr>
                <w:rFonts w:ascii="Times New Roman" w:hAnsi="Times New Roman" w:cs="Times New Roman"/>
                <w:i/>
                <w:lang w:val="en-US"/>
              </w:rPr>
            </w:pPr>
            <w:r w:rsidRPr="009239F8">
              <w:rPr>
                <w:rFonts w:ascii="Times New Roman" w:hAnsi="Times New Roman" w:cs="Times New Roman"/>
                <w:i/>
                <w:lang w:val="en-US"/>
              </w:rPr>
              <w:t>ECV (%)</w:t>
            </w:r>
          </w:p>
        </w:tc>
        <w:tc>
          <w:tcPr>
            <w:tcW w:w="2409" w:type="dxa"/>
            <w:vAlign w:val="center"/>
          </w:tcPr>
          <w:p w14:paraId="21835944"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26.20 [24.63–28.05]</w:t>
            </w:r>
          </w:p>
        </w:tc>
        <w:tc>
          <w:tcPr>
            <w:tcW w:w="2410" w:type="dxa"/>
            <w:vAlign w:val="center"/>
          </w:tcPr>
          <w:p w14:paraId="4704465E"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27.00 [25.16–28.22]</w:t>
            </w:r>
          </w:p>
        </w:tc>
        <w:tc>
          <w:tcPr>
            <w:tcW w:w="2410" w:type="dxa"/>
            <w:gridSpan w:val="2"/>
            <w:vAlign w:val="center"/>
          </w:tcPr>
          <w:p w14:paraId="0A0C54A0"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25.28 [24.34–26.56]</w:t>
            </w:r>
          </w:p>
        </w:tc>
        <w:tc>
          <w:tcPr>
            <w:tcW w:w="1134" w:type="dxa"/>
            <w:vAlign w:val="center"/>
          </w:tcPr>
          <w:p w14:paraId="161734C0" w14:textId="77777777"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0.180</w:t>
            </w:r>
          </w:p>
        </w:tc>
      </w:tr>
      <w:tr w:rsidR="00BD28FF" w:rsidRPr="009239F8" w14:paraId="71130724" w14:textId="77777777" w:rsidTr="00A72AA9">
        <w:trPr>
          <w:trHeight w:val="66"/>
          <w:jc w:val="center"/>
        </w:trPr>
        <w:tc>
          <w:tcPr>
            <w:tcW w:w="9923" w:type="dxa"/>
            <w:gridSpan w:val="6"/>
            <w:tcBorders>
              <w:top w:val="single" w:sz="4" w:space="0" w:color="auto"/>
              <w:bottom w:val="single" w:sz="4" w:space="0" w:color="auto"/>
            </w:tcBorders>
            <w:vAlign w:val="center"/>
          </w:tcPr>
          <w:p w14:paraId="2CCDDFE4" w14:textId="77777777" w:rsidR="00BD28FF" w:rsidRPr="009239F8" w:rsidRDefault="00BD28FF" w:rsidP="009A5B48">
            <w:pPr>
              <w:spacing w:line="480" w:lineRule="auto"/>
              <w:rPr>
                <w:rFonts w:ascii="Times New Roman" w:hAnsi="Times New Roman" w:cs="Times New Roman"/>
                <w:b/>
                <w:bCs/>
                <w:i/>
                <w:lang w:val="en-US"/>
              </w:rPr>
            </w:pPr>
            <w:r w:rsidRPr="009239F8">
              <w:rPr>
                <w:rFonts w:ascii="Times New Roman" w:hAnsi="Times New Roman" w:cs="Times New Roman"/>
                <w:b/>
                <w:bCs/>
                <w:i/>
                <w:lang w:val="en-US"/>
              </w:rPr>
              <w:t>ECGI parameters</w:t>
            </w:r>
          </w:p>
        </w:tc>
      </w:tr>
      <w:tr w:rsidR="00BD28FF" w:rsidRPr="009239F8" w14:paraId="54414AAA" w14:textId="77777777" w:rsidTr="00A72AA9">
        <w:trPr>
          <w:trHeight w:val="66"/>
          <w:jc w:val="center"/>
        </w:trPr>
        <w:tc>
          <w:tcPr>
            <w:tcW w:w="1560" w:type="dxa"/>
            <w:tcBorders>
              <w:top w:val="single" w:sz="4" w:space="0" w:color="auto"/>
            </w:tcBorders>
            <w:vAlign w:val="center"/>
          </w:tcPr>
          <w:p w14:paraId="0205DDB4" w14:textId="77777777" w:rsidR="00BD28FF" w:rsidRPr="009239F8" w:rsidRDefault="00BD28FF" w:rsidP="009A5B48">
            <w:pPr>
              <w:spacing w:line="480" w:lineRule="auto"/>
              <w:rPr>
                <w:rFonts w:ascii="Times New Roman" w:hAnsi="Times New Roman" w:cs="Times New Roman"/>
                <w:i/>
                <w:lang w:val="en-US"/>
              </w:rPr>
            </w:pPr>
            <w:r w:rsidRPr="009239F8">
              <w:rPr>
                <w:rFonts w:ascii="Times New Roman" w:hAnsi="Times New Roman" w:cs="Times New Roman"/>
                <w:i/>
                <w:lang w:val="en-US"/>
              </w:rPr>
              <w:t>RR (ms)</w:t>
            </w:r>
          </w:p>
        </w:tc>
        <w:tc>
          <w:tcPr>
            <w:tcW w:w="2409" w:type="dxa"/>
            <w:tcBorders>
              <w:top w:val="single" w:sz="4" w:space="0" w:color="auto"/>
            </w:tcBorders>
            <w:vAlign w:val="center"/>
          </w:tcPr>
          <w:p w14:paraId="3616EBFA"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1001.00 [899.00–1047.50]</w:t>
            </w:r>
          </w:p>
        </w:tc>
        <w:tc>
          <w:tcPr>
            <w:tcW w:w="2410" w:type="dxa"/>
            <w:tcBorders>
              <w:top w:val="single" w:sz="4" w:space="0" w:color="auto"/>
            </w:tcBorders>
            <w:vAlign w:val="center"/>
          </w:tcPr>
          <w:p w14:paraId="2867A865"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992.50 [878.00–1047.75]</w:t>
            </w:r>
          </w:p>
        </w:tc>
        <w:tc>
          <w:tcPr>
            <w:tcW w:w="2410" w:type="dxa"/>
            <w:gridSpan w:val="2"/>
            <w:tcBorders>
              <w:top w:val="single" w:sz="4" w:space="0" w:color="auto"/>
            </w:tcBorders>
            <w:vAlign w:val="center"/>
          </w:tcPr>
          <w:p w14:paraId="2BB3FB9E"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1002.00 [900.00–1045.00]</w:t>
            </w:r>
          </w:p>
        </w:tc>
        <w:tc>
          <w:tcPr>
            <w:tcW w:w="1134" w:type="dxa"/>
            <w:vAlign w:val="center"/>
          </w:tcPr>
          <w:p w14:paraId="32C89678" w14:textId="77777777" w:rsidR="00BD28FF" w:rsidRPr="009239F8" w:rsidRDefault="00BD28FF" w:rsidP="009A5B48">
            <w:pPr>
              <w:spacing w:line="480" w:lineRule="auto"/>
              <w:jc w:val="center"/>
              <w:rPr>
                <w:rFonts w:ascii="Times New Roman" w:hAnsi="Times New Roman" w:cs="Times New Roman"/>
                <w:iCs/>
                <w:lang w:val="en-US"/>
              </w:rPr>
            </w:pPr>
            <w:r w:rsidRPr="009239F8">
              <w:rPr>
                <w:rFonts w:ascii="Times New Roman" w:hAnsi="Times New Roman" w:cs="Times New Roman"/>
                <w:lang w:val="en-US"/>
              </w:rPr>
              <w:t>0.912</w:t>
            </w:r>
          </w:p>
        </w:tc>
      </w:tr>
      <w:tr w:rsidR="00BD28FF" w:rsidRPr="009239F8" w14:paraId="06334BC2" w14:textId="77777777" w:rsidTr="00A72AA9">
        <w:trPr>
          <w:trHeight w:val="66"/>
          <w:jc w:val="center"/>
        </w:trPr>
        <w:tc>
          <w:tcPr>
            <w:tcW w:w="1560" w:type="dxa"/>
            <w:vAlign w:val="center"/>
          </w:tcPr>
          <w:p w14:paraId="67DA4A20" w14:textId="77777777" w:rsidR="00BD28FF" w:rsidRPr="009239F8" w:rsidRDefault="00BD28FF" w:rsidP="009A5B48">
            <w:pPr>
              <w:spacing w:line="480" w:lineRule="auto"/>
              <w:rPr>
                <w:rFonts w:ascii="Times New Roman" w:hAnsi="Times New Roman" w:cs="Times New Roman"/>
                <w:i/>
                <w:lang w:val="en-US"/>
              </w:rPr>
            </w:pPr>
            <w:r w:rsidRPr="009239F8">
              <w:rPr>
                <w:rFonts w:ascii="Times New Roman" w:hAnsi="Times New Roman" w:cs="Times New Roman"/>
                <w:i/>
                <w:lang w:val="en-US"/>
              </w:rPr>
              <w:t>CV (m/s)</w:t>
            </w:r>
          </w:p>
        </w:tc>
        <w:tc>
          <w:tcPr>
            <w:tcW w:w="2409" w:type="dxa"/>
            <w:vAlign w:val="center"/>
          </w:tcPr>
          <w:p w14:paraId="3C5A9CD2"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0.89 [0.80–1.03]</w:t>
            </w:r>
          </w:p>
        </w:tc>
        <w:tc>
          <w:tcPr>
            <w:tcW w:w="2410" w:type="dxa"/>
            <w:vAlign w:val="center"/>
          </w:tcPr>
          <w:p w14:paraId="7B3EED0B"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0.93 [0.80–1.03]</w:t>
            </w:r>
          </w:p>
        </w:tc>
        <w:tc>
          <w:tcPr>
            <w:tcW w:w="2410" w:type="dxa"/>
            <w:gridSpan w:val="2"/>
            <w:vAlign w:val="center"/>
          </w:tcPr>
          <w:p w14:paraId="3818A726"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0.89 [0.81–0.92]</w:t>
            </w:r>
          </w:p>
        </w:tc>
        <w:tc>
          <w:tcPr>
            <w:tcW w:w="1134" w:type="dxa"/>
            <w:vAlign w:val="center"/>
          </w:tcPr>
          <w:p w14:paraId="24D122DD" w14:textId="77777777"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0.578</w:t>
            </w:r>
          </w:p>
        </w:tc>
      </w:tr>
      <w:tr w:rsidR="00BD28FF" w:rsidRPr="009239F8" w14:paraId="464C4051" w14:textId="77777777" w:rsidTr="00A72AA9">
        <w:trPr>
          <w:trHeight w:val="66"/>
          <w:jc w:val="center"/>
        </w:trPr>
        <w:tc>
          <w:tcPr>
            <w:tcW w:w="1560" w:type="dxa"/>
            <w:vAlign w:val="center"/>
          </w:tcPr>
          <w:p w14:paraId="78EE1249" w14:textId="0A79AA1B" w:rsidR="00BD28FF" w:rsidRPr="009239F8" w:rsidRDefault="00BD28FF" w:rsidP="009A5B48">
            <w:pPr>
              <w:spacing w:line="480" w:lineRule="auto"/>
              <w:rPr>
                <w:rFonts w:ascii="Times New Roman" w:hAnsi="Times New Roman" w:cs="Times New Roman"/>
                <w:i/>
                <w:lang w:val="en-US"/>
              </w:rPr>
            </w:pPr>
            <w:r w:rsidRPr="009239F8">
              <w:rPr>
                <w:rFonts w:ascii="Times New Roman" w:hAnsi="Times New Roman" w:cs="Times New Roman"/>
                <w:i/>
                <w:lang w:val="en-US"/>
              </w:rPr>
              <w:t>AT90</w:t>
            </w:r>
            <w:r w:rsidR="008F7CBA" w:rsidRPr="009239F8">
              <w:rPr>
                <w:rFonts w:ascii="Times New Roman" w:hAnsi="Times New Roman" w:cs="Times New Roman"/>
                <w:i/>
                <w:lang w:val="en-US"/>
              </w:rPr>
              <w:t xml:space="preserve"> (ms)</w:t>
            </w:r>
          </w:p>
        </w:tc>
        <w:tc>
          <w:tcPr>
            <w:tcW w:w="2409" w:type="dxa"/>
            <w:vAlign w:val="center"/>
          </w:tcPr>
          <w:p w14:paraId="60407F4A"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53.38 [49.40–58.41]</w:t>
            </w:r>
          </w:p>
        </w:tc>
        <w:tc>
          <w:tcPr>
            <w:tcW w:w="2410" w:type="dxa"/>
            <w:vAlign w:val="center"/>
          </w:tcPr>
          <w:p w14:paraId="256034FE"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51.74 [44.11–57.56]</w:t>
            </w:r>
          </w:p>
        </w:tc>
        <w:tc>
          <w:tcPr>
            <w:tcW w:w="2410" w:type="dxa"/>
            <w:gridSpan w:val="2"/>
            <w:vAlign w:val="center"/>
          </w:tcPr>
          <w:p w14:paraId="76DDB875"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54.36 [52.20–61.67]</w:t>
            </w:r>
          </w:p>
        </w:tc>
        <w:tc>
          <w:tcPr>
            <w:tcW w:w="1134" w:type="dxa"/>
            <w:vAlign w:val="center"/>
          </w:tcPr>
          <w:p w14:paraId="32FA4595" w14:textId="00772876"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0.045</w:t>
            </w:r>
          </w:p>
        </w:tc>
      </w:tr>
      <w:tr w:rsidR="00BD28FF" w:rsidRPr="009239F8" w14:paraId="7E088172" w14:textId="77777777" w:rsidTr="00A72AA9">
        <w:trPr>
          <w:trHeight w:val="66"/>
          <w:jc w:val="center"/>
        </w:trPr>
        <w:tc>
          <w:tcPr>
            <w:tcW w:w="1560" w:type="dxa"/>
            <w:vAlign w:val="center"/>
          </w:tcPr>
          <w:p w14:paraId="764C3F6F" w14:textId="4C9E5590" w:rsidR="00BD28FF" w:rsidRPr="009239F8" w:rsidRDefault="00BD28FF" w:rsidP="009A5B48">
            <w:pPr>
              <w:spacing w:line="480" w:lineRule="auto"/>
              <w:rPr>
                <w:rFonts w:ascii="Times New Roman" w:hAnsi="Times New Roman" w:cs="Times New Roman"/>
                <w:i/>
                <w:lang w:val="en-US"/>
              </w:rPr>
            </w:pPr>
            <w:r w:rsidRPr="009239F8">
              <w:rPr>
                <w:rFonts w:ascii="Times New Roman" w:hAnsi="Times New Roman" w:cs="Times New Roman"/>
                <w:i/>
                <w:lang w:val="en-US"/>
              </w:rPr>
              <w:t>RT90</w:t>
            </w:r>
            <w:r w:rsidR="008F7CBA" w:rsidRPr="009239F8">
              <w:rPr>
                <w:rFonts w:ascii="Times New Roman" w:hAnsi="Times New Roman" w:cs="Times New Roman"/>
                <w:i/>
                <w:lang w:val="en-US"/>
              </w:rPr>
              <w:t xml:space="preserve"> (ms)</w:t>
            </w:r>
          </w:p>
        </w:tc>
        <w:tc>
          <w:tcPr>
            <w:tcW w:w="2409" w:type="dxa"/>
            <w:vAlign w:val="center"/>
          </w:tcPr>
          <w:p w14:paraId="662A879F"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302.38 [277.21–336.91]</w:t>
            </w:r>
          </w:p>
        </w:tc>
        <w:tc>
          <w:tcPr>
            <w:tcW w:w="2410" w:type="dxa"/>
            <w:vAlign w:val="center"/>
          </w:tcPr>
          <w:p w14:paraId="08A1DA2C"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316.84 [276.94–336.14]</w:t>
            </w:r>
          </w:p>
        </w:tc>
        <w:tc>
          <w:tcPr>
            <w:tcW w:w="2410" w:type="dxa"/>
            <w:gridSpan w:val="2"/>
            <w:vAlign w:val="center"/>
          </w:tcPr>
          <w:p w14:paraId="443B83AE"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299.49 [283.64–336.89]</w:t>
            </w:r>
          </w:p>
        </w:tc>
        <w:tc>
          <w:tcPr>
            <w:tcW w:w="1134" w:type="dxa"/>
            <w:vAlign w:val="center"/>
          </w:tcPr>
          <w:p w14:paraId="3A377ECE" w14:textId="77777777"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0.991</w:t>
            </w:r>
          </w:p>
        </w:tc>
      </w:tr>
      <w:tr w:rsidR="00BD28FF" w:rsidRPr="009239F8" w14:paraId="5E187418" w14:textId="77777777" w:rsidTr="00A72AA9">
        <w:trPr>
          <w:trHeight w:val="66"/>
          <w:jc w:val="center"/>
        </w:trPr>
        <w:tc>
          <w:tcPr>
            <w:tcW w:w="1560" w:type="dxa"/>
            <w:vAlign w:val="center"/>
          </w:tcPr>
          <w:p w14:paraId="275ADFBC" w14:textId="5B25A32E" w:rsidR="00BD28FF" w:rsidRPr="009239F8" w:rsidRDefault="00BD28FF" w:rsidP="009A5B48">
            <w:pPr>
              <w:spacing w:line="480" w:lineRule="auto"/>
              <w:rPr>
                <w:rFonts w:ascii="Times New Roman" w:hAnsi="Times New Roman" w:cs="Times New Roman"/>
                <w:i/>
                <w:lang w:val="en-US"/>
              </w:rPr>
            </w:pPr>
            <w:r w:rsidRPr="009239F8">
              <w:rPr>
                <w:rFonts w:ascii="Times New Roman" w:hAnsi="Times New Roman" w:cs="Times New Roman"/>
                <w:i/>
                <w:lang w:val="en-US"/>
              </w:rPr>
              <w:t>ARI90</w:t>
            </w:r>
            <w:r w:rsidR="008F7CBA" w:rsidRPr="009239F8">
              <w:rPr>
                <w:rFonts w:ascii="Times New Roman" w:hAnsi="Times New Roman" w:cs="Times New Roman"/>
                <w:i/>
                <w:lang w:val="en-US"/>
              </w:rPr>
              <w:t xml:space="preserve"> (ms)</w:t>
            </w:r>
          </w:p>
        </w:tc>
        <w:tc>
          <w:tcPr>
            <w:tcW w:w="2409" w:type="dxa"/>
            <w:vAlign w:val="center"/>
          </w:tcPr>
          <w:p w14:paraId="644609BC"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336.72 [308.21–357.92]</w:t>
            </w:r>
          </w:p>
        </w:tc>
        <w:tc>
          <w:tcPr>
            <w:tcW w:w="2410" w:type="dxa"/>
            <w:vAlign w:val="center"/>
          </w:tcPr>
          <w:p w14:paraId="6DF05459"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337.03 [306.96–355.09]</w:t>
            </w:r>
          </w:p>
        </w:tc>
        <w:tc>
          <w:tcPr>
            <w:tcW w:w="2410" w:type="dxa"/>
            <w:gridSpan w:val="2"/>
            <w:vAlign w:val="center"/>
          </w:tcPr>
          <w:p w14:paraId="37E0DF7B"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332.72 [311.64–358.73]</w:t>
            </w:r>
          </w:p>
        </w:tc>
        <w:tc>
          <w:tcPr>
            <w:tcW w:w="1134" w:type="dxa"/>
            <w:vAlign w:val="center"/>
          </w:tcPr>
          <w:p w14:paraId="48EA42FB" w14:textId="77777777"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0.838</w:t>
            </w:r>
          </w:p>
        </w:tc>
      </w:tr>
      <w:tr w:rsidR="00BD28FF" w:rsidRPr="009239F8" w14:paraId="5D37AE1A" w14:textId="77777777" w:rsidTr="00A72AA9">
        <w:trPr>
          <w:trHeight w:val="66"/>
          <w:jc w:val="center"/>
        </w:trPr>
        <w:tc>
          <w:tcPr>
            <w:tcW w:w="9923" w:type="dxa"/>
            <w:gridSpan w:val="6"/>
            <w:tcBorders>
              <w:top w:val="single" w:sz="4" w:space="0" w:color="auto"/>
              <w:bottom w:val="single" w:sz="4" w:space="0" w:color="auto"/>
            </w:tcBorders>
            <w:vAlign w:val="center"/>
          </w:tcPr>
          <w:p w14:paraId="6B2A9F8C" w14:textId="77777777" w:rsidR="00BD28FF" w:rsidRPr="009239F8" w:rsidRDefault="00BD28FF" w:rsidP="009A5B48">
            <w:pPr>
              <w:spacing w:line="480" w:lineRule="auto"/>
              <w:rPr>
                <w:rFonts w:ascii="Times New Roman" w:hAnsi="Times New Roman" w:cs="Times New Roman"/>
                <w:b/>
                <w:bCs/>
                <w:i/>
                <w:lang w:val="en-US"/>
              </w:rPr>
            </w:pPr>
            <w:r w:rsidRPr="009239F8">
              <w:rPr>
                <w:rFonts w:ascii="Times New Roman" w:hAnsi="Times New Roman" w:cs="Times New Roman"/>
                <w:b/>
                <w:bCs/>
                <w:i/>
                <w:lang w:val="en-US"/>
              </w:rPr>
              <w:t>In silico parametrization</w:t>
            </w:r>
          </w:p>
        </w:tc>
      </w:tr>
      <w:tr w:rsidR="00BD28FF" w:rsidRPr="009239F8" w14:paraId="378A3CCC" w14:textId="77777777" w:rsidTr="00A72AA9">
        <w:trPr>
          <w:trHeight w:val="64"/>
          <w:jc w:val="center"/>
        </w:trPr>
        <w:tc>
          <w:tcPr>
            <w:tcW w:w="1560" w:type="dxa"/>
            <w:tcBorders>
              <w:top w:val="single" w:sz="4" w:space="0" w:color="auto"/>
            </w:tcBorders>
            <w:vAlign w:val="center"/>
          </w:tcPr>
          <w:p w14:paraId="3C1EF92E" w14:textId="77777777" w:rsidR="00BD28FF" w:rsidRPr="009239F8" w:rsidRDefault="001A5E20" w:rsidP="009A5B48">
            <w:pPr>
              <w:spacing w:line="480" w:lineRule="auto"/>
              <w:rPr>
                <w:rFonts w:ascii="Times New Roman" w:hAnsi="Times New Roman" w:cs="Times New Roman"/>
                <w:lang w:val="en-US"/>
              </w:rPr>
            </w:pPr>
            <m:oMath>
              <m:sSub>
                <m:sSubPr>
                  <m:ctrlPr>
                    <w:rPr>
                      <w:rFonts w:ascii="Cambria Math" w:hAnsi="Cambria Math" w:cs="Times New Roman"/>
                      <w:i/>
                      <w:iCs/>
                      <w:lang w:val="en-US"/>
                    </w:rPr>
                  </m:ctrlPr>
                </m:sSubPr>
                <m:e>
                  <m:r>
                    <w:rPr>
                      <w:rFonts w:ascii="Cambria Math" w:hAnsi="Cambria Math" w:cs="Times New Roman"/>
                      <w:lang w:val="en-US"/>
                    </w:rPr>
                    <m:t>D</m:t>
                  </m:r>
                </m:e>
                <m:sub>
                  <m:r>
                    <w:rPr>
                      <w:rFonts w:ascii="Cambria Math" w:hAnsi="Cambria Math" w:cs="Times New Roman"/>
                      <w:lang w:val="en-US"/>
                    </w:rPr>
                    <m:t>f</m:t>
                  </m:r>
                </m:sub>
              </m:sSub>
            </m:oMath>
            <w:r w:rsidR="00BD28FF" w:rsidRPr="009239F8">
              <w:rPr>
                <w:rFonts w:ascii="Times New Roman" w:hAnsi="Times New Roman" w:cs="Times New Roman"/>
                <w:lang w:val="en-US"/>
              </w:rPr>
              <w:t xml:space="preserve"> </w:t>
            </w:r>
            <w:r w:rsidR="00BD28FF" w:rsidRPr="009239F8">
              <w:rPr>
                <w:rFonts w:ascii="Times New Roman" w:hAnsi="Times New Roman" w:cs="Times New Roman"/>
                <w:i/>
                <w:iCs/>
                <w:lang w:val="en-US"/>
              </w:rPr>
              <w:t>(cm</w:t>
            </w:r>
            <w:r w:rsidR="00BD28FF" w:rsidRPr="009239F8">
              <w:rPr>
                <w:rFonts w:ascii="Times New Roman" w:hAnsi="Times New Roman" w:cs="Times New Roman"/>
                <w:i/>
                <w:iCs/>
                <w:vertAlign w:val="superscript"/>
                <w:lang w:val="en-US"/>
              </w:rPr>
              <w:t>2</w:t>
            </w:r>
            <w:r w:rsidR="00BD28FF" w:rsidRPr="009239F8">
              <w:rPr>
                <w:rFonts w:ascii="Times New Roman" w:hAnsi="Times New Roman" w:cs="Times New Roman"/>
                <w:i/>
                <w:iCs/>
                <w:lang w:val="en-US"/>
              </w:rPr>
              <w:t>/ms)</w:t>
            </w:r>
          </w:p>
        </w:tc>
        <w:tc>
          <w:tcPr>
            <w:tcW w:w="2409" w:type="dxa"/>
            <w:tcBorders>
              <w:top w:val="single" w:sz="4" w:space="0" w:color="auto"/>
            </w:tcBorders>
            <w:vAlign w:val="center"/>
          </w:tcPr>
          <w:p w14:paraId="0B4A3C78"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0.0023 [0.0019–0.0032]</w:t>
            </w:r>
          </w:p>
        </w:tc>
        <w:tc>
          <w:tcPr>
            <w:tcW w:w="2410" w:type="dxa"/>
            <w:tcBorders>
              <w:top w:val="single" w:sz="4" w:space="0" w:color="auto"/>
            </w:tcBorders>
            <w:vAlign w:val="center"/>
          </w:tcPr>
          <w:p w14:paraId="39FE8A81"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0.0024 [0.0022–0.0033]</w:t>
            </w:r>
          </w:p>
        </w:tc>
        <w:tc>
          <w:tcPr>
            <w:tcW w:w="2410" w:type="dxa"/>
            <w:gridSpan w:val="2"/>
            <w:tcBorders>
              <w:top w:val="single" w:sz="4" w:space="0" w:color="auto"/>
            </w:tcBorders>
            <w:vAlign w:val="center"/>
          </w:tcPr>
          <w:p w14:paraId="75145891"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0.0021 [0.0015–0.0029]</w:t>
            </w:r>
          </w:p>
        </w:tc>
        <w:tc>
          <w:tcPr>
            <w:tcW w:w="1134" w:type="dxa"/>
            <w:vAlign w:val="center"/>
          </w:tcPr>
          <w:p w14:paraId="2896AD7C" w14:textId="77777777" w:rsidR="00BD28FF" w:rsidRPr="009239F8" w:rsidRDefault="00BD28FF"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0.073</w:t>
            </w:r>
          </w:p>
        </w:tc>
      </w:tr>
      <w:tr w:rsidR="00BD28FF" w:rsidRPr="009239F8" w14:paraId="07AF4681" w14:textId="77777777" w:rsidTr="00A72AA9">
        <w:trPr>
          <w:trHeight w:val="74"/>
          <w:jc w:val="center"/>
        </w:trPr>
        <w:tc>
          <w:tcPr>
            <w:tcW w:w="1560" w:type="dxa"/>
            <w:vAlign w:val="center"/>
          </w:tcPr>
          <w:p w14:paraId="4D4B3447" w14:textId="77777777" w:rsidR="00BD28FF" w:rsidRPr="009239F8" w:rsidRDefault="00BD28FF" w:rsidP="009A5B48">
            <w:pPr>
              <w:spacing w:line="480" w:lineRule="auto"/>
              <w:rPr>
                <w:rFonts w:ascii="Times New Roman" w:hAnsi="Times New Roman" w:cs="Times New Roman"/>
                <w:lang w:val="en-US"/>
              </w:rPr>
            </w:pPr>
            <w:r w:rsidRPr="009239F8">
              <w:rPr>
                <w:rFonts w:ascii="Times New Roman" w:hAnsi="Times New Roman" w:cs="Times New Roman"/>
                <w:lang w:val="en-US"/>
              </w:rPr>
              <w:t>g</w:t>
            </w:r>
            <w:r w:rsidRPr="009239F8">
              <w:rPr>
                <w:rFonts w:ascii="Times New Roman" w:hAnsi="Times New Roman" w:cs="Times New Roman"/>
                <w:vertAlign w:val="subscript"/>
                <w:lang w:val="en-US"/>
              </w:rPr>
              <w:t>Ks</w:t>
            </w:r>
          </w:p>
        </w:tc>
        <w:tc>
          <w:tcPr>
            <w:tcW w:w="2409" w:type="dxa"/>
            <w:vAlign w:val="center"/>
          </w:tcPr>
          <w:p w14:paraId="59215D49"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2.20 [1.34–3.02]</w:t>
            </w:r>
          </w:p>
        </w:tc>
        <w:tc>
          <w:tcPr>
            <w:tcW w:w="2410" w:type="dxa"/>
            <w:vAlign w:val="center"/>
          </w:tcPr>
          <w:p w14:paraId="70049D06"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2.89 [2.22–3.28]</w:t>
            </w:r>
          </w:p>
        </w:tc>
        <w:tc>
          <w:tcPr>
            <w:tcW w:w="2410" w:type="dxa"/>
            <w:gridSpan w:val="2"/>
            <w:vAlign w:val="center"/>
          </w:tcPr>
          <w:p w14:paraId="7C08D168"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1.34 [1.16–1.92]</w:t>
            </w:r>
          </w:p>
        </w:tc>
        <w:tc>
          <w:tcPr>
            <w:tcW w:w="1134" w:type="dxa"/>
            <w:vAlign w:val="center"/>
          </w:tcPr>
          <w:p w14:paraId="79568813" w14:textId="7C5C4FA5" w:rsidR="00BD28FF" w:rsidRPr="009239F8" w:rsidRDefault="00BD28FF" w:rsidP="009A5B48">
            <w:pPr>
              <w:spacing w:line="480" w:lineRule="auto"/>
              <w:jc w:val="center"/>
              <w:rPr>
                <w:rFonts w:ascii="Times New Roman" w:hAnsi="Times New Roman" w:cs="Times New Roman"/>
                <w:b/>
                <w:bCs/>
                <w:lang w:val="en-US"/>
              </w:rPr>
            </w:pPr>
            <w:r w:rsidRPr="009239F8">
              <w:rPr>
                <w:rFonts w:ascii="Times New Roman" w:hAnsi="Times New Roman" w:cs="Times New Roman"/>
                <w:b/>
                <w:lang w:val="en-US"/>
              </w:rPr>
              <w:t>0.004</w:t>
            </w:r>
          </w:p>
        </w:tc>
      </w:tr>
      <w:tr w:rsidR="00BD28FF" w:rsidRPr="009239F8" w14:paraId="0E19A1EA" w14:textId="77777777" w:rsidTr="00A72AA9">
        <w:trPr>
          <w:trHeight w:val="311"/>
          <w:jc w:val="center"/>
        </w:trPr>
        <w:tc>
          <w:tcPr>
            <w:tcW w:w="1560" w:type="dxa"/>
            <w:vAlign w:val="center"/>
          </w:tcPr>
          <w:p w14:paraId="6A30713E" w14:textId="07D5FD5F" w:rsidR="00BD28FF" w:rsidRPr="009239F8" w:rsidRDefault="00BD28FF" w:rsidP="009A5B48">
            <w:pPr>
              <w:spacing w:line="480" w:lineRule="auto"/>
              <w:rPr>
                <w:rFonts w:ascii="Times New Roman" w:hAnsi="Times New Roman" w:cs="Times New Roman"/>
                <w:lang w:val="en-US"/>
              </w:rPr>
            </w:pPr>
            <w:r w:rsidRPr="009239F8">
              <w:rPr>
                <w:rFonts w:ascii="Times New Roman" w:hAnsi="Times New Roman" w:cs="Times New Roman"/>
                <w:lang w:val="en-US"/>
              </w:rPr>
              <w:t>AgR</w:t>
            </w:r>
          </w:p>
        </w:tc>
        <w:tc>
          <w:tcPr>
            <w:tcW w:w="2409" w:type="dxa"/>
            <w:vAlign w:val="center"/>
          </w:tcPr>
          <w:p w14:paraId="5F754212"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1.02 [0.97–1.14]</w:t>
            </w:r>
          </w:p>
        </w:tc>
        <w:tc>
          <w:tcPr>
            <w:tcW w:w="2410" w:type="dxa"/>
            <w:vAlign w:val="center"/>
          </w:tcPr>
          <w:p w14:paraId="3074919E"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1.13 [1.02–1.23]</w:t>
            </w:r>
          </w:p>
        </w:tc>
        <w:tc>
          <w:tcPr>
            <w:tcW w:w="2410" w:type="dxa"/>
            <w:gridSpan w:val="2"/>
            <w:vAlign w:val="center"/>
          </w:tcPr>
          <w:p w14:paraId="03033584"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0.97 [0.95–1.01]</w:t>
            </w:r>
          </w:p>
        </w:tc>
        <w:tc>
          <w:tcPr>
            <w:tcW w:w="1134" w:type="dxa"/>
            <w:vAlign w:val="center"/>
          </w:tcPr>
          <w:p w14:paraId="2D28B7A3" w14:textId="4EE306FA" w:rsidR="00BD28FF" w:rsidRPr="009239F8" w:rsidRDefault="00BD28FF" w:rsidP="009A5B48">
            <w:pPr>
              <w:spacing w:line="480" w:lineRule="auto"/>
              <w:jc w:val="center"/>
              <w:rPr>
                <w:rFonts w:ascii="Times New Roman" w:hAnsi="Times New Roman" w:cs="Times New Roman"/>
                <w:b/>
                <w:bCs/>
                <w:lang w:val="en-US"/>
              </w:rPr>
            </w:pPr>
            <w:r w:rsidRPr="009239F8">
              <w:rPr>
                <w:rFonts w:ascii="Times New Roman" w:hAnsi="Times New Roman" w:cs="Times New Roman"/>
                <w:b/>
                <w:lang w:val="en-US"/>
              </w:rPr>
              <w:t>0.004</w:t>
            </w:r>
          </w:p>
        </w:tc>
      </w:tr>
      <w:tr w:rsidR="00BD28FF" w:rsidRPr="009239F8" w14:paraId="042495A2" w14:textId="77777777" w:rsidTr="00A72AA9">
        <w:trPr>
          <w:trHeight w:val="74"/>
          <w:jc w:val="center"/>
        </w:trPr>
        <w:tc>
          <w:tcPr>
            <w:tcW w:w="1560" w:type="dxa"/>
            <w:tcBorders>
              <w:bottom w:val="single" w:sz="4" w:space="0" w:color="auto"/>
            </w:tcBorders>
            <w:vAlign w:val="center"/>
          </w:tcPr>
          <w:p w14:paraId="0865533F" w14:textId="77777777" w:rsidR="00BD28FF" w:rsidRPr="009239F8" w:rsidRDefault="00BD28FF" w:rsidP="009A5B48">
            <w:pPr>
              <w:spacing w:line="480" w:lineRule="auto"/>
              <w:rPr>
                <w:rFonts w:ascii="Times New Roman" w:hAnsi="Times New Roman" w:cs="Times New Roman"/>
                <w:lang w:val="en-US"/>
              </w:rPr>
            </w:pPr>
            <w:r w:rsidRPr="009239F8">
              <w:rPr>
                <w:rFonts w:ascii="Times New Roman" w:hAnsi="Times New Roman" w:cs="Times New Roman"/>
                <w:lang w:val="en-US"/>
              </w:rPr>
              <w:t>PMJs</w:t>
            </w:r>
          </w:p>
        </w:tc>
        <w:tc>
          <w:tcPr>
            <w:tcW w:w="2409" w:type="dxa"/>
            <w:tcBorders>
              <w:bottom w:val="single" w:sz="4" w:space="0" w:color="auto"/>
            </w:tcBorders>
            <w:vAlign w:val="center"/>
          </w:tcPr>
          <w:p w14:paraId="32374512"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20.00 [12.50–50.50]</w:t>
            </w:r>
          </w:p>
        </w:tc>
        <w:tc>
          <w:tcPr>
            <w:tcW w:w="2410" w:type="dxa"/>
            <w:tcBorders>
              <w:bottom w:val="single" w:sz="4" w:space="0" w:color="auto"/>
            </w:tcBorders>
            <w:vAlign w:val="center"/>
          </w:tcPr>
          <w:p w14:paraId="0D618B53"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14.00 [9.25–25.25]</w:t>
            </w:r>
          </w:p>
        </w:tc>
        <w:tc>
          <w:tcPr>
            <w:tcW w:w="2410" w:type="dxa"/>
            <w:gridSpan w:val="2"/>
            <w:tcBorders>
              <w:bottom w:val="single" w:sz="4" w:space="0" w:color="auto"/>
            </w:tcBorders>
            <w:vAlign w:val="center"/>
          </w:tcPr>
          <w:p w14:paraId="722AA313" w14:textId="77777777" w:rsidR="00BD28FF" w:rsidRPr="009239F8" w:rsidRDefault="00BD28FF" w:rsidP="009A5B48">
            <w:pPr>
              <w:spacing w:line="480" w:lineRule="auto"/>
              <w:jc w:val="center"/>
              <w:rPr>
                <w:rFonts w:ascii="Times New Roman" w:hAnsi="Times New Roman" w:cs="Times New Roman"/>
                <w:szCs w:val="32"/>
                <w:lang w:val="en-US"/>
              </w:rPr>
            </w:pPr>
            <w:r w:rsidRPr="009239F8">
              <w:rPr>
                <w:rFonts w:ascii="Times New Roman" w:hAnsi="Times New Roman" w:cs="Times New Roman"/>
                <w:lang w:val="en-US"/>
              </w:rPr>
              <w:t>50.00 [20.00–98.00]</w:t>
            </w:r>
          </w:p>
        </w:tc>
        <w:tc>
          <w:tcPr>
            <w:tcW w:w="1134" w:type="dxa"/>
            <w:tcBorders>
              <w:bottom w:val="single" w:sz="4" w:space="0" w:color="auto"/>
            </w:tcBorders>
            <w:vAlign w:val="center"/>
          </w:tcPr>
          <w:p w14:paraId="68BF0B62" w14:textId="23C37ACB" w:rsidR="00BD28FF" w:rsidRPr="009239F8" w:rsidRDefault="00BD28FF" w:rsidP="009A5B48">
            <w:pPr>
              <w:keepNext/>
              <w:spacing w:line="480" w:lineRule="auto"/>
              <w:jc w:val="center"/>
              <w:rPr>
                <w:rFonts w:ascii="Times New Roman" w:hAnsi="Times New Roman" w:cs="Times New Roman"/>
                <w:lang w:val="en-US"/>
              </w:rPr>
            </w:pPr>
            <w:r w:rsidRPr="009239F8">
              <w:rPr>
                <w:rFonts w:ascii="Times New Roman" w:hAnsi="Times New Roman" w:cs="Times New Roman"/>
                <w:b/>
                <w:lang w:val="en-US"/>
              </w:rPr>
              <w:t>0.004</w:t>
            </w:r>
          </w:p>
        </w:tc>
      </w:tr>
    </w:tbl>
    <w:p w14:paraId="68F8AD78" w14:textId="77777777" w:rsidR="00207445" w:rsidRPr="009239F8" w:rsidRDefault="00207445" w:rsidP="009A5B48">
      <w:pPr>
        <w:spacing w:line="480" w:lineRule="auto"/>
        <w:rPr>
          <w:rFonts w:ascii="Times New Roman" w:hAnsi="Times New Roman" w:cs="Times New Roman"/>
          <w:lang w:val="en-US"/>
        </w:rPr>
      </w:pPr>
    </w:p>
    <w:p w14:paraId="0F38DF34" w14:textId="6C3A9C9D" w:rsidR="0029321D" w:rsidRPr="009239F8" w:rsidRDefault="00207445"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w:t>
      </w:r>
      <w:r w:rsidR="004C2417" w:rsidRPr="009239F8">
        <w:rPr>
          <w:rFonts w:ascii="Times New Roman" w:hAnsi="Times New Roman" w:cs="Times New Roman"/>
          <w:color w:val="auto"/>
          <w:lang w:val="en-US"/>
        </w:rPr>
        <w:t>5</w:t>
      </w:r>
      <w:r w:rsidRPr="009239F8">
        <w:rPr>
          <w:rFonts w:ascii="Times New Roman" w:hAnsi="Times New Roman" w:cs="Times New Roman"/>
          <w:color w:val="auto"/>
          <w:lang w:val="en-US"/>
        </w:rPr>
        <w:t xml:space="preserve">: </w:t>
      </w:r>
      <w:r w:rsidR="0029321D" w:rsidRPr="009239F8">
        <w:rPr>
          <w:rFonts w:ascii="Times New Roman" w:hAnsi="Times New Roman" w:cs="Times New Roman"/>
          <w:color w:val="auto"/>
          <w:lang w:val="en-US"/>
        </w:rPr>
        <w:t>eHTN and hea</w:t>
      </w:r>
      <w:r w:rsidRPr="009239F8">
        <w:rPr>
          <w:rFonts w:ascii="Times New Roman" w:hAnsi="Times New Roman" w:cs="Times New Roman"/>
          <w:color w:val="auto"/>
          <w:lang w:val="en-US"/>
        </w:rPr>
        <w:t xml:space="preserve">lthy </w:t>
      </w:r>
      <w:r w:rsidR="00342793" w:rsidRPr="009239F8">
        <w:rPr>
          <w:rFonts w:ascii="Times New Roman" w:hAnsi="Times New Roman" w:cs="Times New Roman"/>
          <w:color w:val="auto"/>
          <w:lang w:val="en-US"/>
        </w:rPr>
        <w:t xml:space="preserve">demographic </w:t>
      </w:r>
      <w:r w:rsidRPr="009239F8">
        <w:rPr>
          <w:rFonts w:ascii="Times New Roman" w:hAnsi="Times New Roman" w:cs="Times New Roman"/>
          <w:color w:val="auto"/>
          <w:lang w:val="en-US"/>
        </w:rPr>
        <w:t>comparison</w:t>
      </w:r>
    </w:p>
    <w:p w14:paraId="020B1295" w14:textId="24B0CB47" w:rsidR="00E848BC" w:rsidRPr="009239F8" w:rsidRDefault="00DA01B4" w:rsidP="009A5B48">
      <w:pPr>
        <w:spacing w:line="480" w:lineRule="auto"/>
        <w:jc w:val="both"/>
        <w:rPr>
          <w:rFonts w:ascii="Times New Roman" w:hAnsi="Times New Roman" w:cs="Times New Roman"/>
          <w:lang w:val="en-US"/>
        </w:rPr>
      </w:pPr>
      <w:r w:rsidRPr="009239F8">
        <w:rPr>
          <w:rFonts w:ascii="Times New Roman" w:hAnsi="Times New Roman" w:cs="Times New Roman"/>
          <w:b/>
          <w:bCs/>
          <w:lang w:val="en-US"/>
        </w:rPr>
        <w:fldChar w:fldCharType="begin"/>
      </w:r>
      <w:r w:rsidRPr="009239F8">
        <w:rPr>
          <w:rFonts w:ascii="Times New Roman" w:hAnsi="Times New Roman" w:cs="Times New Roman"/>
          <w:lang w:val="en-US"/>
        </w:rPr>
        <w:instrText xml:space="preserve"> REF _Ref232675772 \h </w:instrText>
      </w:r>
      <w:r w:rsidR="009A5B18" w:rsidRPr="009239F8">
        <w:rPr>
          <w:rFonts w:ascii="Times New Roman" w:hAnsi="Times New Roman" w:cs="Times New Roman"/>
          <w:b/>
          <w:bCs/>
          <w:lang w:val="en-US"/>
        </w:rPr>
        <w:instrText xml:space="preserve"> \* MERGEFORMAT </w:instrText>
      </w:r>
      <w:r w:rsidRPr="009239F8">
        <w:rPr>
          <w:rFonts w:ascii="Times New Roman" w:hAnsi="Times New Roman" w:cs="Times New Roman"/>
          <w:b/>
          <w:bCs/>
          <w:lang w:val="en-US"/>
        </w:rPr>
      </w:r>
      <w:r w:rsidRPr="009239F8">
        <w:rPr>
          <w:rFonts w:ascii="Times New Roman" w:hAnsi="Times New Roman" w:cs="Times New Roman"/>
          <w:b/>
          <w:bCs/>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noProof/>
          <w:lang w:val="en-US"/>
        </w:rPr>
        <w:t>4</w:t>
      </w:r>
      <w:r w:rsidRPr="009239F8">
        <w:rPr>
          <w:rFonts w:ascii="Times New Roman" w:hAnsi="Times New Roman" w:cs="Times New Roman"/>
          <w:b/>
          <w:bCs/>
          <w:lang w:val="en-US"/>
        </w:rPr>
        <w:fldChar w:fldCharType="end"/>
      </w:r>
      <w:r w:rsidRPr="009239F8">
        <w:rPr>
          <w:rFonts w:ascii="Times New Roman" w:hAnsi="Times New Roman" w:cs="Times New Roman"/>
          <w:b/>
          <w:bCs/>
          <w:lang w:val="en-US"/>
        </w:rPr>
        <w:t xml:space="preserve"> </w:t>
      </w:r>
      <w:r w:rsidR="00B9160B" w:rsidRPr="009239F8">
        <w:rPr>
          <w:rFonts w:ascii="Times New Roman" w:hAnsi="Times New Roman" w:cs="Times New Roman"/>
          <w:lang w:val="en-US"/>
        </w:rPr>
        <w:t>summarizes the demographic and clinical comparison between the healthy and eHTN cohorts. The only statistically significant differences were observed in systolic and diastolic blood pressure, both elevated in the eHTN cohort (</w:t>
      </w:r>
      <w:r w:rsidR="00B9160B" w:rsidRPr="009239F8">
        <w:rPr>
          <w:rFonts w:ascii="Times New Roman" w:hAnsi="Times New Roman" w:cs="Times New Roman"/>
          <w:i/>
          <w:iCs/>
          <w:lang w:val="en-US"/>
        </w:rPr>
        <w:t>p</w:t>
      </w:r>
      <w:r w:rsidR="00B9160B" w:rsidRPr="009239F8">
        <w:rPr>
          <w:rFonts w:ascii="Times New Roman" w:hAnsi="Times New Roman" w:cs="Times New Roman"/>
          <w:vertAlign w:val="subscript"/>
          <w:lang w:val="en-US"/>
        </w:rPr>
        <w:t>adj</w:t>
      </w:r>
      <w:r w:rsidR="00B9160B" w:rsidRPr="009239F8">
        <w:rPr>
          <w:rFonts w:ascii="Times New Roman" w:hAnsi="Times New Roman" w:cs="Times New Roman"/>
          <w:lang w:val="en-US"/>
        </w:rPr>
        <w:t xml:space="preserve"> = 0.014), confirming the expected distinction between groups. A trend towards higher left ventricular mass index in the eHTN cohort was found but did not reach statistical significance. The same pattern was observed for </w:t>
      </w:r>
      <w:r w:rsidR="00485CCE" w:rsidRPr="009239F8">
        <w:rPr>
          <w:rFonts w:ascii="Times New Roman" w:hAnsi="Times New Roman" w:cs="Times New Roman"/>
          <w:lang w:val="en-US"/>
        </w:rPr>
        <w:t>AT90</w:t>
      </w:r>
      <w:r w:rsidR="00B9160B" w:rsidRPr="009239F8">
        <w:rPr>
          <w:rFonts w:ascii="Times New Roman" w:hAnsi="Times New Roman" w:cs="Times New Roman"/>
          <w:lang w:val="en-US"/>
        </w:rPr>
        <w:t xml:space="preserve">, </w:t>
      </w:r>
      <w:r w:rsidR="00485CCE" w:rsidRPr="009239F8">
        <w:rPr>
          <w:rFonts w:ascii="Times New Roman" w:hAnsi="Times New Roman" w:cs="Times New Roman"/>
          <w:lang w:val="en-US"/>
        </w:rPr>
        <w:t>RT90</w:t>
      </w:r>
      <w:r w:rsidR="00B9160B" w:rsidRPr="009239F8">
        <w:rPr>
          <w:rFonts w:ascii="Times New Roman" w:hAnsi="Times New Roman" w:cs="Times New Roman"/>
          <w:lang w:val="en-US"/>
        </w:rPr>
        <w:t xml:space="preserve">, and </w:t>
      </w:r>
      <w:r w:rsidR="00485CCE" w:rsidRPr="009239F8">
        <w:rPr>
          <w:rFonts w:ascii="Times New Roman" w:hAnsi="Times New Roman" w:cs="Times New Roman"/>
          <w:lang w:val="en-US"/>
        </w:rPr>
        <w:t xml:space="preserve">ARI90, </w:t>
      </w:r>
      <w:r w:rsidR="00B9160B" w:rsidRPr="009239F8">
        <w:rPr>
          <w:rFonts w:ascii="Times New Roman" w:hAnsi="Times New Roman" w:cs="Times New Roman"/>
          <w:lang w:val="en-US"/>
        </w:rPr>
        <w:t xml:space="preserve">all directionally longer in the eHTN cohort but not reaching significance after correction. </w:t>
      </w:r>
      <w:r w:rsidR="00485CCE" w:rsidRPr="009239F8">
        <w:rPr>
          <w:rFonts w:ascii="Times New Roman" w:hAnsi="Times New Roman" w:cs="Times New Roman"/>
          <w:lang w:val="en-US"/>
        </w:rPr>
        <w:t>R</w:t>
      </w:r>
      <w:r w:rsidR="00B9160B" w:rsidRPr="009239F8">
        <w:rPr>
          <w:rFonts w:ascii="Times New Roman" w:hAnsi="Times New Roman" w:cs="Times New Roman"/>
          <w:lang w:val="en-US"/>
        </w:rPr>
        <w:t xml:space="preserve">emaining demographic, structural CMR, and </w:t>
      </w:r>
      <w:r w:rsidR="00B9160B" w:rsidRPr="009239F8">
        <w:rPr>
          <w:rFonts w:ascii="Times New Roman" w:hAnsi="Times New Roman" w:cs="Times New Roman"/>
          <w:i/>
          <w:iCs/>
          <w:lang w:val="en-US"/>
        </w:rPr>
        <w:t>in silico</w:t>
      </w:r>
      <w:r w:rsidR="00B9160B" w:rsidRPr="009239F8">
        <w:rPr>
          <w:rFonts w:ascii="Times New Roman" w:hAnsi="Times New Roman" w:cs="Times New Roman"/>
          <w:lang w:val="en-US"/>
        </w:rPr>
        <w:t xml:space="preserve"> electrophysiological parameters</w:t>
      </w:r>
      <w:r w:rsidR="00B018B7" w:rsidRPr="009239F8">
        <w:rPr>
          <w:rFonts w:ascii="Times New Roman" w:hAnsi="Times New Roman" w:cs="Times New Roman"/>
          <w:lang w:val="en-US"/>
        </w:rPr>
        <w:t xml:space="preserve"> </w:t>
      </w:r>
      <w:r w:rsidR="009625D3" w:rsidRPr="009239F8">
        <w:rPr>
          <w:rFonts w:ascii="Times New Roman" w:hAnsi="Times New Roman" w:cs="Times New Roman"/>
          <w:lang w:val="en-US"/>
        </w:rPr>
        <w:t xml:space="preserve">were not significantly different </w:t>
      </w:r>
      <w:r w:rsidR="00B9160B" w:rsidRPr="009239F8">
        <w:rPr>
          <w:rFonts w:ascii="Times New Roman" w:hAnsi="Times New Roman" w:cs="Times New Roman"/>
          <w:lang w:val="en-US"/>
        </w:rPr>
        <w:t>between cohorts</w:t>
      </w:r>
      <w:r w:rsidR="00B018B7" w:rsidRPr="009239F8">
        <w:rPr>
          <w:rFonts w:ascii="Times New Roman" w:hAnsi="Times New Roman" w:cs="Times New Roman"/>
          <w:lang w:val="en-US"/>
        </w:rPr>
        <w:t>.</w:t>
      </w:r>
    </w:p>
    <w:p w14:paraId="6D303A99" w14:textId="5FD57260" w:rsidR="007B0594" w:rsidRPr="009239F8" w:rsidRDefault="007B0594" w:rsidP="009A5B48">
      <w:pPr>
        <w:pStyle w:val="Caption"/>
        <w:keepNext/>
        <w:spacing w:line="480" w:lineRule="auto"/>
        <w:jc w:val="both"/>
        <w:rPr>
          <w:rFonts w:cs="Times New Roman"/>
          <w:color w:val="auto"/>
          <w:lang w:val="en-US"/>
        </w:rPr>
      </w:pPr>
      <w:bookmarkStart w:id="7" w:name="_Ref232675772"/>
      <w:r w:rsidRPr="009239F8">
        <w:rPr>
          <w:rFonts w:cs="Times New Roman"/>
          <w:b/>
          <w:color w:val="auto"/>
          <w:lang w:val="en-US"/>
        </w:rPr>
        <w:t xml:space="preserve">Table S </w:t>
      </w:r>
      <w:r w:rsidRPr="009239F8">
        <w:rPr>
          <w:rFonts w:cs="Times New Roman"/>
          <w:b/>
          <w:color w:val="auto"/>
          <w:lang w:val="en-US"/>
        </w:rPr>
        <w:fldChar w:fldCharType="begin"/>
      </w:r>
      <w:r w:rsidRPr="009239F8">
        <w:rPr>
          <w:rFonts w:cs="Times New Roman"/>
          <w:b/>
          <w:color w:val="auto"/>
          <w:lang w:val="en-US"/>
        </w:rPr>
        <w:instrText xml:space="preserve"> SEQ Table_S \* ARABIC </w:instrText>
      </w:r>
      <w:r w:rsidRPr="009239F8">
        <w:rPr>
          <w:rFonts w:cs="Times New Roman"/>
          <w:b/>
          <w:color w:val="auto"/>
          <w:lang w:val="en-US"/>
        </w:rPr>
        <w:fldChar w:fldCharType="separate"/>
      </w:r>
      <w:r w:rsidR="00890076" w:rsidRPr="009239F8">
        <w:rPr>
          <w:rFonts w:cs="Times New Roman"/>
          <w:b/>
          <w:color w:val="auto"/>
          <w:lang w:val="en-US"/>
        </w:rPr>
        <w:t>4</w:t>
      </w:r>
      <w:r w:rsidRPr="009239F8">
        <w:rPr>
          <w:rFonts w:cs="Times New Roman"/>
          <w:b/>
          <w:color w:val="auto"/>
          <w:lang w:val="en-US"/>
        </w:rPr>
        <w:fldChar w:fldCharType="end"/>
      </w:r>
      <w:bookmarkEnd w:id="7"/>
      <w:r w:rsidRPr="009239F8">
        <w:rPr>
          <w:rFonts w:cs="Times New Roman"/>
          <w:b/>
          <w:color w:val="auto"/>
          <w:lang w:val="en-US"/>
        </w:rPr>
        <w:t xml:space="preserve">. Demographics comparison between healthy and </w:t>
      </w:r>
      <w:r w:rsidR="00B21EF8" w:rsidRPr="009239F8">
        <w:rPr>
          <w:rFonts w:cs="Times New Roman"/>
          <w:b/>
          <w:color w:val="auto"/>
          <w:lang w:val="en-US"/>
        </w:rPr>
        <w:t>early-stage hypertensive (eHTN)</w:t>
      </w:r>
      <w:r w:rsidRPr="009239F8">
        <w:rPr>
          <w:rFonts w:cs="Times New Roman"/>
          <w:b/>
          <w:color w:val="auto"/>
          <w:lang w:val="en-US"/>
        </w:rPr>
        <w:t xml:space="preserve"> MyoFit46 cohort. </w:t>
      </w:r>
      <w:r w:rsidRPr="009239F8">
        <w:rPr>
          <w:rFonts w:cs="Times New Roman"/>
          <w:color w:val="auto"/>
          <w:lang w:val="en-US"/>
        </w:rPr>
        <w:t>Variables are expressed as median and interquartile range and Mann-Whitney U test with Benjamini–Hochberg correction was used for sex group comparison (p</w:t>
      </w:r>
      <w:r w:rsidRPr="009239F8">
        <w:rPr>
          <w:rFonts w:cs="Times New Roman"/>
          <w:color w:val="auto"/>
          <w:vertAlign w:val="subscript"/>
          <w:lang w:val="en-US"/>
        </w:rPr>
        <w:t>adj</w:t>
      </w:r>
      <w:r w:rsidRPr="009239F8">
        <w:rPr>
          <w:rFonts w:cs="Times New Roman"/>
          <w:color w:val="auto"/>
          <w:lang w:val="en-US"/>
        </w:rPr>
        <w:t xml:space="preserve">-value). </w:t>
      </w:r>
      <w:r w:rsidR="00B21EF8" w:rsidRPr="009239F8">
        <w:rPr>
          <w:rFonts w:cs="Times New Roman"/>
          <w:color w:val="auto"/>
          <w:lang w:val="en-US"/>
        </w:rPr>
        <w:t xml:space="preserve">ARI90: time to 90% of epicardial tissue activation-repolarization interval; AgR: Aging repolarization; AT90: time to 90% of epicardial activation; BMI: body mass index; BSA: body surface area; CV: conduction velocity; D-BP: diastolic blood pressure; </w:t>
      </w:r>
      <m:oMath>
        <m:sSub>
          <m:sSubPr>
            <m:ctrlPr>
              <w:rPr>
                <w:rFonts w:ascii="Cambria Math" w:hAnsi="Cambria Math" w:cs="Times New Roman"/>
                <w:color w:val="auto"/>
                <w:lang w:val="en-US"/>
              </w:rPr>
            </m:ctrlPr>
          </m:sSubPr>
          <m:e>
            <m:r>
              <w:rPr>
                <w:rFonts w:ascii="Cambria Math" w:hAnsi="Cambria Math" w:cs="Times New Roman"/>
                <w:color w:val="auto"/>
                <w:lang w:val="en-US"/>
              </w:rPr>
              <m:t>D</m:t>
            </m:r>
          </m:e>
          <m:sub>
            <m:r>
              <w:rPr>
                <w:rFonts w:ascii="Cambria Math" w:hAnsi="Cambria Math" w:cs="Times New Roman"/>
                <w:color w:val="auto"/>
                <w:lang w:val="en-US"/>
              </w:rPr>
              <m:t>f</m:t>
            </m:r>
          </m:sub>
        </m:sSub>
      </m:oMath>
      <w:r w:rsidR="00B21EF8" w:rsidRPr="009239F8">
        <w:rPr>
          <w:rFonts w:eastAsiaTheme="minorEastAsia" w:cs="Times New Roman"/>
          <w:color w:val="auto"/>
          <w:lang w:val="en-US"/>
        </w:rPr>
        <w:t xml:space="preserve">: Fiber-direction diffusion coefficient; </w:t>
      </w:r>
      <w:r w:rsidR="00B21EF8" w:rsidRPr="009239F8">
        <w:rPr>
          <w:rFonts w:cs="Times New Roman"/>
          <w:color w:val="auto"/>
          <w:lang w:val="en-US"/>
        </w:rPr>
        <w:t>ECV: extracellular fluid volume; EDVi: end-diastolic volume indexed; EF: ejection fraction; eGFR: estimated glomerular filtration rate; ESVi: end-systolic volume indexed; LA-EDVi: indexed left atrial end-diastolic volume; g</w:t>
      </w:r>
      <w:r w:rsidR="00B21EF8" w:rsidRPr="009239F8">
        <w:rPr>
          <w:rFonts w:cs="Times New Roman"/>
          <w:color w:val="auto"/>
          <w:vertAlign w:val="subscript"/>
          <w:lang w:val="en-US"/>
        </w:rPr>
        <w:t>Ks</w:t>
      </w:r>
      <w:r w:rsidR="00B21EF8" w:rsidRPr="009239F8">
        <w:rPr>
          <w:rFonts w:cs="Times New Roman"/>
          <w:color w:val="auto"/>
          <w:lang w:val="en-US"/>
        </w:rPr>
        <w:t>: slow delayed rectifier potassium current conductance scaling factor; LGE: late gadolinium enhancement; LVMi: indexed left ventricular mass; MWT: maximal wall thickness; PMJs: Purkinje-myocardial junctions; RR: R-R interval; RT90: time to 90% of epicardial repolarization; S-BP: systolic blood pressure; SVi: indexed stroke volume; T1: native T1 relaxation time</w:t>
      </w:r>
      <w:r w:rsidRPr="009239F8">
        <w:rPr>
          <w:rFonts w:cs="Times New Roman"/>
          <w:color w:val="auto"/>
          <w:lang w:val="en-US"/>
        </w:rPr>
        <w:t>.</w:t>
      </w:r>
    </w:p>
    <w:tbl>
      <w:tblPr>
        <w:tblStyle w:val="TableGrid"/>
        <w:tblW w:w="9691" w:type="dxa"/>
        <w:tblLook w:val="04A0" w:firstRow="1" w:lastRow="0" w:firstColumn="1" w:lastColumn="0" w:noHBand="0" w:noVBand="1"/>
      </w:tblPr>
      <w:tblGrid>
        <w:gridCol w:w="2558"/>
        <w:gridCol w:w="2699"/>
        <w:gridCol w:w="2841"/>
        <w:gridCol w:w="1593"/>
      </w:tblGrid>
      <w:tr w:rsidR="007B0594" w:rsidRPr="009239F8" w14:paraId="036DF650" w14:textId="77777777" w:rsidTr="00A72AA9">
        <w:trPr>
          <w:trHeight w:val="220"/>
        </w:trPr>
        <w:tc>
          <w:tcPr>
            <w:tcW w:w="2558" w:type="dxa"/>
            <w:tcBorders>
              <w:top w:val="nil"/>
              <w:left w:val="nil"/>
              <w:bottom w:val="single" w:sz="4" w:space="0" w:color="auto"/>
              <w:right w:val="nil"/>
            </w:tcBorders>
          </w:tcPr>
          <w:p w14:paraId="6E44F405"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Variable</w:t>
            </w:r>
          </w:p>
        </w:tc>
        <w:tc>
          <w:tcPr>
            <w:tcW w:w="2699" w:type="dxa"/>
            <w:tcBorders>
              <w:top w:val="nil"/>
              <w:left w:val="nil"/>
              <w:bottom w:val="single" w:sz="4" w:space="0" w:color="auto"/>
              <w:right w:val="nil"/>
            </w:tcBorders>
          </w:tcPr>
          <w:p w14:paraId="66524825"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Healthy (n=30)</w:t>
            </w:r>
          </w:p>
        </w:tc>
        <w:tc>
          <w:tcPr>
            <w:tcW w:w="2841" w:type="dxa"/>
            <w:tcBorders>
              <w:top w:val="nil"/>
              <w:left w:val="nil"/>
              <w:bottom w:val="single" w:sz="4" w:space="0" w:color="auto"/>
              <w:right w:val="nil"/>
            </w:tcBorders>
          </w:tcPr>
          <w:p w14:paraId="7DA695AB" w14:textId="7BB23448" w:rsidR="007B0594" w:rsidRPr="009239F8" w:rsidRDefault="00760B73"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eHTN (</w:t>
            </w:r>
            <w:r w:rsidR="007B0594" w:rsidRPr="009239F8">
              <w:rPr>
                <w:rFonts w:ascii="Times New Roman" w:hAnsi="Times New Roman" w:cs="Times New Roman"/>
                <w:b/>
                <w:lang w:val="en-US"/>
              </w:rPr>
              <w:t>n=47)</w:t>
            </w:r>
          </w:p>
        </w:tc>
        <w:tc>
          <w:tcPr>
            <w:tcW w:w="1593" w:type="dxa"/>
            <w:tcBorders>
              <w:top w:val="nil"/>
              <w:left w:val="nil"/>
              <w:bottom w:val="single" w:sz="4" w:space="0" w:color="auto"/>
              <w:right w:val="nil"/>
            </w:tcBorders>
          </w:tcPr>
          <w:p w14:paraId="7AC8C657"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b/>
                <w:i/>
                <w:lang w:val="en-US"/>
              </w:rPr>
              <w:t>p</w:t>
            </w:r>
            <w:r w:rsidRPr="009239F8">
              <w:rPr>
                <w:rFonts w:ascii="Times New Roman" w:hAnsi="Times New Roman" w:cs="Times New Roman"/>
                <w:b/>
                <w:i/>
                <w:vertAlign w:val="subscript"/>
                <w:lang w:val="en-US"/>
              </w:rPr>
              <w:t>adj</w:t>
            </w:r>
            <w:r w:rsidRPr="009239F8">
              <w:rPr>
                <w:rFonts w:ascii="Times New Roman" w:hAnsi="Times New Roman" w:cs="Times New Roman"/>
                <w:b/>
                <w:lang w:val="en-US"/>
              </w:rPr>
              <w:t>-value</w:t>
            </w:r>
          </w:p>
        </w:tc>
      </w:tr>
      <w:tr w:rsidR="007B0594" w:rsidRPr="009239F8" w14:paraId="08138B76" w14:textId="77777777" w:rsidTr="00A72AA9">
        <w:trPr>
          <w:trHeight w:val="119"/>
        </w:trPr>
        <w:tc>
          <w:tcPr>
            <w:tcW w:w="9691" w:type="dxa"/>
            <w:gridSpan w:val="4"/>
            <w:tcBorders>
              <w:top w:val="single" w:sz="4" w:space="0" w:color="auto"/>
              <w:left w:val="nil"/>
              <w:bottom w:val="single" w:sz="4" w:space="0" w:color="auto"/>
              <w:right w:val="nil"/>
            </w:tcBorders>
          </w:tcPr>
          <w:p w14:paraId="2C8F1489" w14:textId="77777777" w:rsidR="007B0594" w:rsidRPr="009239F8" w:rsidRDefault="007B0594" w:rsidP="009A5B48">
            <w:pPr>
              <w:spacing w:line="480" w:lineRule="auto"/>
              <w:rPr>
                <w:rFonts w:ascii="Times New Roman" w:hAnsi="Times New Roman" w:cs="Times New Roman"/>
                <w:lang w:val="en-US"/>
              </w:rPr>
            </w:pPr>
            <w:r w:rsidRPr="009239F8">
              <w:rPr>
                <w:rFonts w:ascii="Times New Roman" w:hAnsi="Times New Roman" w:cs="Times New Roman"/>
                <w:b/>
                <w:i/>
                <w:lang w:val="en-US"/>
              </w:rPr>
              <w:t>Demographics</w:t>
            </w:r>
          </w:p>
        </w:tc>
      </w:tr>
      <w:tr w:rsidR="007B0594" w:rsidRPr="009239F8" w14:paraId="3DCC7FF3" w14:textId="77777777" w:rsidTr="00A72AA9">
        <w:trPr>
          <w:trHeight w:val="289"/>
        </w:trPr>
        <w:tc>
          <w:tcPr>
            <w:tcW w:w="2558" w:type="dxa"/>
            <w:tcBorders>
              <w:top w:val="single" w:sz="4" w:space="0" w:color="auto"/>
              <w:left w:val="nil"/>
              <w:bottom w:val="nil"/>
              <w:right w:val="nil"/>
            </w:tcBorders>
          </w:tcPr>
          <w:p w14:paraId="70D9F07A"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Age (years)</w:t>
            </w:r>
          </w:p>
        </w:tc>
        <w:tc>
          <w:tcPr>
            <w:tcW w:w="2699" w:type="dxa"/>
            <w:tcBorders>
              <w:top w:val="single" w:sz="4" w:space="0" w:color="auto"/>
              <w:left w:val="nil"/>
              <w:bottom w:val="nil"/>
              <w:right w:val="nil"/>
            </w:tcBorders>
          </w:tcPr>
          <w:p w14:paraId="73EB6484"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76.68 [76.33–77.44]</w:t>
            </w:r>
          </w:p>
        </w:tc>
        <w:tc>
          <w:tcPr>
            <w:tcW w:w="2841" w:type="dxa"/>
            <w:tcBorders>
              <w:top w:val="single" w:sz="4" w:space="0" w:color="auto"/>
              <w:left w:val="nil"/>
              <w:bottom w:val="nil"/>
              <w:right w:val="nil"/>
            </w:tcBorders>
          </w:tcPr>
          <w:p w14:paraId="287C00E2"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76.48 [76.00–77.03]</w:t>
            </w:r>
          </w:p>
        </w:tc>
        <w:tc>
          <w:tcPr>
            <w:tcW w:w="1593" w:type="dxa"/>
            <w:tcBorders>
              <w:top w:val="single" w:sz="4" w:space="0" w:color="auto"/>
              <w:left w:val="nil"/>
              <w:bottom w:val="nil"/>
              <w:right w:val="nil"/>
            </w:tcBorders>
          </w:tcPr>
          <w:p w14:paraId="383AAB5A" w14:textId="77777777" w:rsidR="007B0594" w:rsidRPr="009239F8" w:rsidRDefault="007B0594" w:rsidP="009A5B48">
            <w:pPr>
              <w:spacing w:line="480" w:lineRule="auto"/>
              <w:jc w:val="center"/>
              <w:rPr>
                <w:rFonts w:ascii="Times New Roman" w:hAnsi="Times New Roman" w:cs="Times New Roman"/>
                <w:b/>
                <w:lang w:val="en-US"/>
              </w:rPr>
            </w:pPr>
            <w:r w:rsidRPr="009239F8">
              <w:rPr>
                <w:rFonts w:ascii="Times New Roman" w:hAnsi="Times New Roman" w:cs="Times New Roman"/>
                <w:lang w:val="en-US"/>
              </w:rPr>
              <w:t>0.161</w:t>
            </w:r>
          </w:p>
        </w:tc>
      </w:tr>
      <w:tr w:rsidR="007B0594" w:rsidRPr="009239F8" w14:paraId="3599B4D5" w14:textId="77777777" w:rsidTr="00A72AA9">
        <w:trPr>
          <w:trHeight w:val="289"/>
        </w:trPr>
        <w:tc>
          <w:tcPr>
            <w:tcW w:w="2558" w:type="dxa"/>
            <w:tcBorders>
              <w:top w:val="nil"/>
              <w:left w:val="nil"/>
              <w:bottom w:val="nil"/>
              <w:right w:val="nil"/>
            </w:tcBorders>
          </w:tcPr>
          <w:p w14:paraId="69556876"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Height (cm)</w:t>
            </w:r>
          </w:p>
        </w:tc>
        <w:tc>
          <w:tcPr>
            <w:tcW w:w="2699" w:type="dxa"/>
            <w:tcBorders>
              <w:top w:val="nil"/>
              <w:left w:val="nil"/>
              <w:bottom w:val="nil"/>
              <w:right w:val="nil"/>
            </w:tcBorders>
          </w:tcPr>
          <w:p w14:paraId="0C95793F"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162.95 [160.85–172.75]</w:t>
            </w:r>
          </w:p>
        </w:tc>
        <w:tc>
          <w:tcPr>
            <w:tcW w:w="2841" w:type="dxa"/>
            <w:tcBorders>
              <w:top w:val="nil"/>
              <w:left w:val="nil"/>
              <w:bottom w:val="nil"/>
              <w:right w:val="nil"/>
            </w:tcBorders>
          </w:tcPr>
          <w:p w14:paraId="5D591B76"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163.70 [159.25–173.10]</w:t>
            </w:r>
          </w:p>
        </w:tc>
        <w:tc>
          <w:tcPr>
            <w:tcW w:w="1593" w:type="dxa"/>
            <w:tcBorders>
              <w:top w:val="nil"/>
              <w:left w:val="nil"/>
              <w:bottom w:val="nil"/>
              <w:right w:val="nil"/>
            </w:tcBorders>
          </w:tcPr>
          <w:p w14:paraId="3E7F52D6"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0.925</w:t>
            </w:r>
          </w:p>
        </w:tc>
      </w:tr>
      <w:tr w:rsidR="007B0594" w:rsidRPr="009239F8" w14:paraId="4A4F9EB3" w14:textId="77777777" w:rsidTr="00A72AA9">
        <w:trPr>
          <w:trHeight w:val="295"/>
        </w:trPr>
        <w:tc>
          <w:tcPr>
            <w:tcW w:w="2558" w:type="dxa"/>
            <w:tcBorders>
              <w:top w:val="nil"/>
              <w:left w:val="nil"/>
              <w:bottom w:val="nil"/>
              <w:right w:val="nil"/>
            </w:tcBorders>
          </w:tcPr>
          <w:p w14:paraId="64BB2818"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Weight (kg)</w:t>
            </w:r>
          </w:p>
        </w:tc>
        <w:tc>
          <w:tcPr>
            <w:tcW w:w="2699" w:type="dxa"/>
            <w:tcBorders>
              <w:top w:val="nil"/>
              <w:left w:val="nil"/>
              <w:bottom w:val="nil"/>
              <w:right w:val="nil"/>
            </w:tcBorders>
          </w:tcPr>
          <w:p w14:paraId="7AFDFCF4"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66.20 [59.50–74.88]</w:t>
            </w:r>
          </w:p>
        </w:tc>
        <w:tc>
          <w:tcPr>
            <w:tcW w:w="2841" w:type="dxa"/>
            <w:tcBorders>
              <w:top w:val="nil"/>
              <w:left w:val="nil"/>
              <w:bottom w:val="nil"/>
              <w:right w:val="nil"/>
            </w:tcBorders>
          </w:tcPr>
          <w:p w14:paraId="7CDE0D7B"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71.00 [61.40–82.45]</w:t>
            </w:r>
          </w:p>
        </w:tc>
        <w:tc>
          <w:tcPr>
            <w:tcW w:w="1593" w:type="dxa"/>
            <w:tcBorders>
              <w:top w:val="nil"/>
              <w:left w:val="nil"/>
              <w:bottom w:val="nil"/>
              <w:right w:val="nil"/>
            </w:tcBorders>
          </w:tcPr>
          <w:p w14:paraId="6DB816CD"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0.313</w:t>
            </w:r>
          </w:p>
        </w:tc>
      </w:tr>
      <w:tr w:rsidR="007B0594" w:rsidRPr="009239F8" w14:paraId="2D3F2841" w14:textId="77777777" w:rsidTr="00A72AA9">
        <w:trPr>
          <w:trHeight w:val="289"/>
        </w:trPr>
        <w:tc>
          <w:tcPr>
            <w:tcW w:w="2558" w:type="dxa"/>
            <w:tcBorders>
              <w:top w:val="nil"/>
              <w:left w:val="nil"/>
              <w:bottom w:val="nil"/>
              <w:right w:val="nil"/>
            </w:tcBorders>
          </w:tcPr>
          <w:p w14:paraId="6B8805FA"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BSA (m²)</w:t>
            </w:r>
          </w:p>
        </w:tc>
        <w:tc>
          <w:tcPr>
            <w:tcW w:w="2699" w:type="dxa"/>
            <w:tcBorders>
              <w:top w:val="nil"/>
              <w:left w:val="nil"/>
              <w:bottom w:val="nil"/>
              <w:right w:val="nil"/>
            </w:tcBorders>
          </w:tcPr>
          <w:p w14:paraId="5C5A3690"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1.72 [1.61–1.82]</w:t>
            </w:r>
          </w:p>
        </w:tc>
        <w:tc>
          <w:tcPr>
            <w:tcW w:w="2841" w:type="dxa"/>
            <w:tcBorders>
              <w:top w:val="nil"/>
              <w:left w:val="nil"/>
              <w:bottom w:val="nil"/>
              <w:right w:val="nil"/>
            </w:tcBorders>
          </w:tcPr>
          <w:p w14:paraId="0BEC1E23"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1.78 [1.60–1.94]</w:t>
            </w:r>
          </w:p>
        </w:tc>
        <w:tc>
          <w:tcPr>
            <w:tcW w:w="1593" w:type="dxa"/>
            <w:tcBorders>
              <w:top w:val="nil"/>
              <w:left w:val="nil"/>
              <w:bottom w:val="nil"/>
              <w:right w:val="nil"/>
            </w:tcBorders>
          </w:tcPr>
          <w:p w14:paraId="7C4CE6CC"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0.499</w:t>
            </w:r>
          </w:p>
        </w:tc>
      </w:tr>
      <w:tr w:rsidR="007B0594" w:rsidRPr="009239F8" w14:paraId="63E02A84" w14:textId="77777777" w:rsidTr="00A72AA9">
        <w:trPr>
          <w:trHeight w:val="289"/>
        </w:trPr>
        <w:tc>
          <w:tcPr>
            <w:tcW w:w="2558" w:type="dxa"/>
            <w:tcBorders>
              <w:top w:val="nil"/>
              <w:left w:val="nil"/>
              <w:bottom w:val="nil"/>
              <w:right w:val="nil"/>
            </w:tcBorders>
          </w:tcPr>
          <w:p w14:paraId="6AF82119"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BMI (kg/m²)</w:t>
            </w:r>
          </w:p>
        </w:tc>
        <w:tc>
          <w:tcPr>
            <w:tcW w:w="2699" w:type="dxa"/>
            <w:tcBorders>
              <w:top w:val="nil"/>
              <w:left w:val="nil"/>
              <w:bottom w:val="nil"/>
              <w:right w:val="nil"/>
            </w:tcBorders>
          </w:tcPr>
          <w:p w14:paraId="4C1AB3F8"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24.92 [21.74–26.75]</w:t>
            </w:r>
          </w:p>
        </w:tc>
        <w:tc>
          <w:tcPr>
            <w:tcW w:w="2841" w:type="dxa"/>
            <w:tcBorders>
              <w:top w:val="nil"/>
              <w:left w:val="nil"/>
              <w:bottom w:val="nil"/>
              <w:right w:val="nil"/>
            </w:tcBorders>
          </w:tcPr>
          <w:p w14:paraId="3776FC8C"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25.54 [23.51–29.06]</w:t>
            </w:r>
          </w:p>
        </w:tc>
        <w:tc>
          <w:tcPr>
            <w:tcW w:w="1593" w:type="dxa"/>
            <w:tcBorders>
              <w:top w:val="nil"/>
              <w:left w:val="nil"/>
              <w:bottom w:val="nil"/>
              <w:right w:val="nil"/>
            </w:tcBorders>
          </w:tcPr>
          <w:p w14:paraId="6AC35D53"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0.264</w:t>
            </w:r>
          </w:p>
        </w:tc>
      </w:tr>
      <w:tr w:rsidR="007B0594" w:rsidRPr="009239F8" w14:paraId="15D222DA" w14:textId="77777777" w:rsidTr="00A72AA9">
        <w:trPr>
          <w:trHeight w:val="295"/>
        </w:trPr>
        <w:tc>
          <w:tcPr>
            <w:tcW w:w="2558" w:type="dxa"/>
            <w:tcBorders>
              <w:top w:val="nil"/>
              <w:left w:val="nil"/>
              <w:bottom w:val="nil"/>
              <w:right w:val="nil"/>
            </w:tcBorders>
          </w:tcPr>
          <w:p w14:paraId="29CC0357"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S-BP (mmHg)</w:t>
            </w:r>
          </w:p>
        </w:tc>
        <w:tc>
          <w:tcPr>
            <w:tcW w:w="2699" w:type="dxa"/>
            <w:tcBorders>
              <w:top w:val="nil"/>
              <w:left w:val="nil"/>
              <w:bottom w:val="nil"/>
              <w:right w:val="nil"/>
            </w:tcBorders>
          </w:tcPr>
          <w:p w14:paraId="12A8DDFA"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123.00 [118.50–130.75]</w:t>
            </w:r>
          </w:p>
        </w:tc>
        <w:tc>
          <w:tcPr>
            <w:tcW w:w="2841" w:type="dxa"/>
            <w:tcBorders>
              <w:top w:val="nil"/>
              <w:left w:val="nil"/>
              <w:bottom w:val="nil"/>
              <w:right w:val="nil"/>
            </w:tcBorders>
          </w:tcPr>
          <w:p w14:paraId="73586A3A"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146.33 [141.67–156.00]</w:t>
            </w:r>
          </w:p>
        </w:tc>
        <w:tc>
          <w:tcPr>
            <w:tcW w:w="1593" w:type="dxa"/>
            <w:tcBorders>
              <w:top w:val="nil"/>
              <w:left w:val="nil"/>
              <w:bottom w:val="nil"/>
              <w:right w:val="nil"/>
            </w:tcBorders>
          </w:tcPr>
          <w:p w14:paraId="21F02BEF" w14:textId="77777777" w:rsidR="007B0594" w:rsidRPr="009239F8" w:rsidRDefault="007B0594" w:rsidP="009A5B48">
            <w:pPr>
              <w:spacing w:line="480" w:lineRule="auto"/>
              <w:jc w:val="center"/>
              <w:rPr>
                <w:rFonts w:ascii="Times New Roman" w:hAnsi="Times New Roman" w:cs="Times New Roman"/>
                <w:b/>
                <w:lang w:val="en-US"/>
              </w:rPr>
            </w:pPr>
            <w:r w:rsidRPr="009239F8">
              <w:rPr>
                <w:rFonts w:ascii="Times New Roman" w:hAnsi="Times New Roman" w:cs="Times New Roman"/>
                <w:b/>
                <w:lang w:val="en-US"/>
              </w:rPr>
              <w:t>0.014</w:t>
            </w:r>
          </w:p>
        </w:tc>
      </w:tr>
      <w:tr w:rsidR="007B0594" w:rsidRPr="009239F8" w14:paraId="3BC39DDA" w14:textId="77777777" w:rsidTr="00A72AA9">
        <w:trPr>
          <w:trHeight w:val="289"/>
        </w:trPr>
        <w:tc>
          <w:tcPr>
            <w:tcW w:w="2558" w:type="dxa"/>
            <w:tcBorders>
              <w:top w:val="nil"/>
              <w:left w:val="nil"/>
              <w:bottom w:val="nil"/>
              <w:right w:val="nil"/>
            </w:tcBorders>
          </w:tcPr>
          <w:p w14:paraId="398FD36C"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D-BP (mmHg)</w:t>
            </w:r>
          </w:p>
        </w:tc>
        <w:tc>
          <w:tcPr>
            <w:tcW w:w="2699" w:type="dxa"/>
            <w:tcBorders>
              <w:top w:val="nil"/>
              <w:left w:val="nil"/>
              <w:bottom w:val="nil"/>
              <w:right w:val="nil"/>
            </w:tcBorders>
          </w:tcPr>
          <w:p w14:paraId="5DAEA1FC"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72.83 [66.08–78.16]</w:t>
            </w:r>
          </w:p>
        </w:tc>
        <w:tc>
          <w:tcPr>
            <w:tcW w:w="2841" w:type="dxa"/>
            <w:tcBorders>
              <w:top w:val="nil"/>
              <w:left w:val="nil"/>
              <w:bottom w:val="nil"/>
              <w:right w:val="nil"/>
            </w:tcBorders>
          </w:tcPr>
          <w:p w14:paraId="0F8932E4"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83.67 [78.50–89.67]</w:t>
            </w:r>
          </w:p>
        </w:tc>
        <w:tc>
          <w:tcPr>
            <w:tcW w:w="1593" w:type="dxa"/>
            <w:tcBorders>
              <w:top w:val="nil"/>
              <w:left w:val="nil"/>
              <w:bottom w:val="nil"/>
              <w:right w:val="nil"/>
            </w:tcBorders>
          </w:tcPr>
          <w:p w14:paraId="1D720F59" w14:textId="77777777" w:rsidR="007B0594" w:rsidRPr="009239F8" w:rsidRDefault="007B0594" w:rsidP="009A5B48">
            <w:pPr>
              <w:spacing w:line="480" w:lineRule="auto"/>
              <w:jc w:val="center"/>
              <w:rPr>
                <w:rFonts w:ascii="Times New Roman" w:hAnsi="Times New Roman" w:cs="Times New Roman"/>
                <w:b/>
                <w:lang w:val="en-US"/>
              </w:rPr>
            </w:pPr>
            <w:r w:rsidRPr="009239F8">
              <w:rPr>
                <w:rFonts w:ascii="Times New Roman" w:hAnsi="Times New Roman" w:cs="Times New Roman"/>
                <w:b/>
                <w:lang w:val="en-US"/>
              </w:rPr>
              <w:t>0.014</w:t>
            </w:r>
          </w:p>
        </w:tc>
      </w:tr>
      <w:tr w:rsidR="007B0594" w:rsidRPr="009239F8" w14:paraId="5CD9C661" w14:textId="77777777" w:rsidTr="00A72AA9">
        <w:trPr>
          <w:trHeight w:val="289"/>
        </w:trPr>
        <w:tc>
          <w:tcPr>
            <w:tcW w:w="2558" w:type="dxa"/>
            <w:tcBorders>
              <w:top w:val="nil"/>
              <w:left w:val="nil"/>
              <w:bottom w:val="single" w:sz="4" w:space="0" w:color="auto"/>
              <w:right w:val="nil"/>
            </w:tcBorders>
          </w:tcPr>
          <w:p w14:paraId="5A8B89D6"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eGFR (mL/min/1.73m²)</w:t>
            </w:r>
          </w:p>
        </w:tc>
        <w:tc>
          <w:tcPr>
            <w:tcW w:w="2699" w:type="dxa"/>
            <w:tcBorders>
              <w:top w:val="nil"/>
              <w:left w:val="nil"/>
              <w:bottom w:val="single" w:sz="4" w:space="0" w:color="auto"/>
              <w:right w:val="nil"/>
            </w:tcBorders>
          </w:tcPr>
          <w:p w14:paraId="3633C82F"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90.15 [77.03–95.45]</w:t>
            </w:r>
          </w:p>
        </w:tc>
        <w:tc>
          <w:tcPr>
            <w:tcW w:w="2841" w:type="dxa"/>
            <w:tcBorders>
              <w:top w:val="nil"/>
              <w:left w:val="nil"/>
              <w:bottom w:val="single" w:sz="4" w:space="0" w:color="auto"/>
              <w:right w:val="nil"/>
            </w:tcBorders>
          </w:tcPr>
          <w:p w14:paraId="7B938D0F"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91.90 [89.45–94.80]</w:t>
            </w:r>
          </w:p>
        </w:tc>
        <w:tc>
          <w:tcPr>
            <w:tcW w:w="1593" w:type="dxa"/>
            <w:tcBorders>
              <w:top w:val="nil"/>
              <w:left w:val="nil"/>
              <w:bottom w:val="single" w:sz="4" w:space="0" w:color="auto"/>
              <w:right w:val="nil"/>
            </w:tcBorders>
          </w:tcPr>
          <w:p w14:paraId="66977E6B"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0.569</w:t>
            </w:r>
          </w:p>
        </w:tc>
      </w:tr>
      <w:tr w:rsidR="007B0594" w:rsidRPr="009239F8" w14:paraId="0AA64C73" w14:textId="77777777" w:rsidTr="00A72AA9">
        <w:trPr>
          <w:trHeight w:val="189"/>
        </w:trPr>
        <w:tc>
          <w:tcPr>
            <w:tcW w:w="2558" w:type="dxa"/>
            <w:tcBorders>
              <w:top w:val="single" w:sz="4" w:space="0" w:color="auto"/>
              <w:left w:val="nil"/>
              <w:bottom w:val="single" w:sz="4" w:space="0" w:color="auto"/>
              <w:right w:val="nil"/>
            </w:tcBorders>
          </w:tcPr>
          <w:p w14:paraId="299C6C94"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b/>
                <w:i/>
                <w:lang w:val="en-US"/>
              </w:rPr>
              <w:t>CMR parameters</w:t>
            </w:r>
          </w:p>
        </w:tc>
        <w:tc>
          <w:tcPr>
            <w:tcW w:w="2699" w:type="dxa"/>
            <w:tcBorders>
              <w:top w:val="single" w:sz="4" w:space="0" w:color="auto"/>
              <w:left w:val="nil"/>
              <w:bottom w:val="single" w:sz="4" w:space="0" w:color="auto"/>
              <w:right w:val="nil"/>
            </w:tcBorders>
          </w:tcPr>
          <w:p w14:paraId="70FE2E79" w14:textId="77777777" w:rsidR="007B0594" w:rsidRPr="009239F8" w:rsidRDefault="007B0594" w:rsidP="009A5B48">
            <w:pPr>
              <w:spacing w:line="480" w:lineRule="auto"/>
              <w:jc w:val="center"/>
              <w:rPr>
                <w:rFonts w:ascii="Times New Roman" w:hAnsi="Times New Roman" w:cs="Times New Roman"/>
                <w:lang w:val="en-US"/>
              </w:rPr>
            </w:pPr>
          </w:p>
        </w:tc>
        <w:tc>
          <w:tcPr>
            <w:tcW w:w="2841" w:type="dxa"/>
            <w:tcBorders>
              <w:top w:val="single" w:sz="4" w:space="0" w:color="auto"/>
              <w:left w:val="nil"/>
              <w:bottom w:val="single" w:sz="4" w:space="0" w:color="auto"/>
              <w:right w:val="nil"/>
            </w:tcBorders>
          </w:tcPr>
          <w:p w14:paraId="6249C773" w14:textId="77777777" w:rsidR="007B0594" w:rsidRPr="009239F8" w:rsidRDefault="007B0594" w:rsidP="009A5B48">
            <w:pPr>
              <w:spacing w:line="480" w:lineRule="auto"/>
              <w:jc w:val="center"/>
              <w:rPr>
                <w:rFonts w:ascii="Times New Roman" w:hAnsi="Times New Roman" w:cs="Times New Roman"/>
                <w:lang w:val="en-US"/>
              </w:rPr>
            </w:pPr>
          </w:p>
        </w:tc>
        <w:tc>
          <w:tcPr>
            <w:tcW w:w="1593" w:type="dxa"/>
            <w:tcBorders>
              <w:top w:val="single" w:sz="4" w:space="0" w:color="auto"/>
              <w:left w:val="nil"/>
              <w:bottom w:val="single" w:sz="4" w:space="0" w:color="auto"/>
              <w:right w:val="nil"/>
            </w:tcBorders>
            <w:vAlign w:val="center"/>
          </w:tcPr>
          <w:p w14:paraId="43756B68" w14:textId="77777777" w:rsidR="007B0594" w:rsidRPr="009239F8" w:rsidRDefault="007B0594" w:rsidP="009A5B48">
            <w:pPr>
              <w:spacing w:line="480" w:lineRule="auto"/>
              <w:jc w:val="center"/>
              <w:rPr>
                <w:rFonts w:ascii="Times New Roman" w:hAnsi="Times New Roman" w:cs="Times New Roman"/>
                <w:lang w:val="en-US"/>
              </w:rPr>
            </w:pPr>
          </w:p>
        </w:tc>
      </w:tr>
      <w:tr w:rsidR="007B0594" w:rsidRPr="009239F8" w14:paraId="768BEDEA" w14:textId="77777777" w:rsidTr="00A72AA9">
        <w:trPr>
          <w:trHeight w:val="289"/>
        </w:trPr>
        <w:tc>
          <w:tcPr>
            <w:tcW w:w="2558" w:type="dxa"/>
            <w:tcBorders>
              <w:top w:val="single" w:sz="4" w:space="0" w:color="auto"/>
              <w:left w:val="nil"/>
              <w:bottom w:val="nil"/>
              <w:right w:val="nil"/>
            </w:tcBorders>
          </w:tcPr>
          <w:p w14:paraId="28CF9F30"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EDVi (ml/m²)</w:t>
            </w:r>
          </w:p>
        </w:tc>
        <w:tc>
          <w:tcPr>
            <w:tcW w:w="2699" w:type="dxa"/>
            <w:tcBorders>
              <w:top w:val="single" w:sz="4" w:space="0" w:color="auto"/>
              <w:left w:val="nil"/>
              <w:bottom w:val="nil"/>
              <w:right w:val="nil"/>
            </w:tcBorders>
          </w:tcPr>
          <w:p w14:paraId="401AABE2"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67.76 [61.72–74.26]</w:t>
            </w:r>
          </w:p>
        </w:tc>
        <w:tc>
          <w:tcPr>
            <w:tcW w:w="2841" w:type="dxa"/>
            <w:tcBorders>
              <w:top w:val="single" w:sz="4" w:space="0" w:color="auto"/>
              <w:left w:val="nil"/>
              <w:bottom w:val="nil"/>
              <w:right w:val="nil"/>
            </w:tcBorders>
          </w:tcPr>
          <w:p w14:paraId="5A40E6D3"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69.92 [63.59–81.14]</w:t>
            </w:r>
          </w:p>
        </w:tc>
        <w:tc>
          <w:tcPr>
            <w:tcW w:w="1593" w:type="dxa"/>
            <w:tcBorders>
              <w:top w:val="single" w:sz="4" w:space="0" w:color="auto"/>
              <w:left w:val="nil"/>
              <w:bottom w:val="nil"/>
              <w:right w:val="nil"/>
            </w:tcBorders>
          </w:tcPr>
          <w:p w14:paraId="06E411CF"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0.439</w:t>
            </w:r>
          </w:p>
        </w:tc>
      </w:tr>
      <w:tr w:rsidR="007B0594" w:rsidRPr="009239F8" w14:paraId="6C57CBC3" w14:textId="77777777" w:rsidTr="00A72AA9">
        <w:trPr>
          <w:trHeight w:val="295"/>
        </w:trPr>
        <w:tc>
          <w:tcPr>
            <w:tcW w:w="2558" w:type="dxa"/>
            <w:tcBorders>
              <w:top w:val="nil"/>
              <w:left w:val="nil"/>
              <w:bottom w:val="nil"/>
              <w:right w:val="nil"/>
            </w:tcBorders>
          </w:tcPr>
          <w:p w14:paraId="7133214A"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ESVi (ml/m²)</w:t>
            </w:r>
          </w:p>
        </w:tc>
        <w:tc>
          <w:tcPr>
            <w:tcW w:w="2699" w:type="dxa"/>
            <w:tcBorders>
              <w:top w:val="nil"/>
              <w:left w:val="nil"/>
              <w:bottom w:val="nil"/>
              <w:right w:val="nil"/>
            </w:tcBorders>
          </w:tcPr>
          <w:p w14:paraId="51911AAE"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20.15 [17.23–24.17]</w:t>
            </w:r>
          </w:p>
        </w:tc>
        <w:tc>
          <w:tcPr>
            <w:tcW w:w="2841" w:type="dxa"/>
            <w:tcBorders>
              <w:top w:val="nil"/>
              <w:left w:val="nil"/>
              <w:bottom w:val="nil"/>
              <w:right w:val="nil"/>
            </w:tcBorders>
          </w:tcPr>
          <w:p w14:paraId="46B9565C"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21.25 [16.29–24.80]</w:t>
            </w:r>
          </w:p>
        </w:tc>
        <w:tc>
          <w:tcPr>
            <w:tcW w:w="1593" w:type="dxa"/>
            <w:tcBorders>
              <w:top w:val="nil"/>
              <w:left w:val="nil"/>
              <w:bottom w:val="nil"/>
              <w:right w:val="nil"/>
            </w:tcBorders>
          </w:tcPr>
          <w:p w14:paraId="4F32D665"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0.864</w:t>
            </w:r>
          </w:p>
        </w:tc>
      </w:tr>
      <w:tr w:rsidR="007B0594" w:rsidRPr="009239F8" w14:paraId="62260B48" w14:textId="77777777" w:rsidTr="00A72AA9">
        <w:trPr>
          <w:trHeight w:val="289"/>
        </w:trPr>
        <w:tc>
          <w:tcPr>
            <w:tcW w:w="2558" w:type="dxa"/>
            <w:tcBorders>
              <w:top w:val="nil"/>
              <w:left w:val="nil"/>
              <w:bottom w:val="nil"/>
              <w:right w:val="nil"/>
            </w:tcBorders>
          </w:tcPr>
          <w:p w14:paraId="7F30E754"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SVi (ml/m²)</w:t>
            </w:r>
          </w:p>
        </w:tc>
        <w:tc>
          <w:tcPr>
            <w:tcW w:w="2699" w:type="dxa"/>
            <w:tcBorders>
              <w:top w:val="nil"/>
              <w:left w:val="nil"/>
              <w:bottom w:val="nil"/>
              <w:right w:val="nil"/>
            </w:tcBorders>
          </w:tcPr>
          <w:p w14:paraId="12278C83"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48.69 [44.23–50.23]</w:t>
            </w:r>
          </w:p>
        </w:tc>
        <w:tc>
          <w:tcPr>
            <w:tcW w:w="2841" w:type="dxa"/>
            <w:tcBorders>
              <w:top w:val="nil"/>
              <w:left w:val="nil"/>
              <w:bottom w:val="nil"/>
              <w:right w:val="nil"/>
            </w:tcBorders>
          </w:tcPr>
          <w:p w14:paraId="12462EF9"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49.27 [45.23–56.49]</w:t>
            </w:r>
          </w:p>
        </w:tc>
        <w:tc>
          <w:tcPr>
            <w:tcW w:w="1593" w:type="dxa"/>
            <w:tcBorders>
              <w:top w:val="nil"/>
              <w:left w:val="nil"/>
              <w:bottom w:val="nil"/>
              <w:right w:val="nil"/>
            </w:tcBorders>
          </w:tcPr>
          <w:p w14:paraId="2984AE78"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0.351</w:t>
            </w:r>
          </w:p>
        </w:tc>
      </w:tr>
      <w:tr w:rsidR="007B0594" w:rsidRPr="009239F8" w14:paraId="0E9F88F5" w14:textId="77777777" w:rsidTr="00A72AA9">
        <w:trPr>
          <w:trHeight w:val="289"/>
        </w:trPr>
        <w:tc>
          <w:tcPr>
            <w:tcW w:w="2558" w:type="dxa"/>
            <w:tcBorders>
              <w:top w:val="nil"/>
              <w:left w:val="nil"/>
              <w:bottom w:val="nil"/>
              <w:right w:val="nil"/>
            </w:tcBorders>
          </w:tcPr>
          <w:p w14:paraId="688BB341"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EF (%)</w:t>
            </w:r>
          </w:p>
        </w:tc>
        <w:tc>
          <w:tcPr>
            <w:tcW w:w="2699" w:type="dxa"/>
            <w:tcBorders>
              <w:top w:val="nil"/>
              <w:left w:val="nil"/>
              <w:bottom w:val="nil"/>
              <w:right w:val="nil"/>
            </w:tcBorders>
          </w:tcPr>
          <w:p w14:paraId="5268A63E"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70.06 [66.59–73.52]</w:t>
            </w:r>
          </w:p>
        </w:tc>
        <w:tc>
          <w:tcPr>
            <w:tcW w:w="2841" w:type="dxa"/>
            <w:tcBorders>
              <w:top w:val="nil"/>
              <w:left w:val="nil"/>
              <w:bottom w:val="nil"/>
              <w:right w:val="nil"/>
            </w:tcBorders>
          </w:tcPr>
          <w:p w14:paraId="13BE8C5E"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71.15 [65.34–74.62]</w:t>
            </w:r>
          </w:p>
        </w:tc>
        <w:tc>
          <w:tcPr>
            <w:tcW w:w="1593" w:type="dxa"/>
            <w:tcBorders>
              <w:top w:val="nil"/>
              <w:left w:val="nil"/>
              <w:bottom w:val="nil"/>
              <w:right w:val="nil"/>
            </w:tcBorders>
          </w:tcPr>
          <w:p w14:paraId="101B9E96"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0.864</w:t>
            </w:r>
          </w:p>
        </w:tc>
      </w:tr>
      <w:tr w:rsidR="007B0594" w:rsidRPr="009239F8" w14:paraId="0F99A65B" w14:textId="77777777" w:rsidTr="00A72AA9">
        <w:trPr>
          <w:trHeight w:val="295"/>
        </w:trPr>
        <w:tc>
          <w:tcPr>
            <w:tcW w:w="2558" w:type="dxa"/>
            <w:tcBorders>
              <w:top w:val="nil"/>
              <w:left w:val="nil"/>
              <w:bottom w:val="nil"/>
              <w:right w:val="nil"/>
            </w:tcBorders>
            <w:vAlign w:val="center"/>
          </w:tcPr>
          <w:p w14:paraId="1955D5C7"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iCs/>
                <w:lang w:val="en-US"/>
              </w:rPr>
              <w:t>LVMi (g/m</w:t>
            </w:r>
            <w:r w:rsidRPr="009239F8">
              <w:rPr>
                <w:rFonts w:ascii="Times New Roman" w:hAnsi="Times New Roman" w:cs="Times New Roman"/>
                <w:i/>
                <w:iCs/>
                <w:vertAlign w:val="superscript"/>
                <w:lang w:val="en-US"/>
              </w:rPr>
              <w:t>2</w:t>
            </w:r>
            <w:r w:rsidRPr="009239F8">
              <w:rPr>
                <w:rFonts w:ascii="Times New Roman" w:hAnsi="Times New Roman" w:cs="Times New Roman"/>
                <w:i/>
                <w:iCs/>
                <w:lang w:val="en-US"/>
              </w:rPr>
              <w:t>)</w:t>
            </w:r>
          </w:p>
        </w:tc>
        <w:tc>
          <w:tcPr>
            <w:tcW w:w="2699" w:type="dxa"/>
            <w:tcBorders>
              <w:top w:val="nil"/>
              <w:left w:val="nil"/>
              <w:bottom w:val="nil"/>
              <w:right w:val="nil"/>
            </w:tcBorders>
          </w:tcPr>
          <w:p w14:paraId="0CF704AB"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46.18 [41.26–50.26]</w:t>
            </w:r>
          </w:p>
        </w:tc>
        <w:tc>
          <w:tcPr>
            <w:tcW w:w="2841" w:type="dxa"/>
            <w:tcBorders>
              <w:top w:val="nil"/>
              <w:left w:val="nil"/>
              <w:bottom w:val="nil"/>
              <w:right w:val="nil"/>
            </w:tcBorders>
          </w:tcPr>
          <w:p w14:paraId="7B7AD1A2"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49.75 [43.74–55.69]</w:t>
            </w:r>
          </w:p>
        </w:tc>
        <w:tc>
          <w:tcPr>
            <w:tcW w:w="1593" w:type="dxa"/>
            <w:tcBorders>
              <w:top w:val="nil"/>
              <w:left w:val="nil"/>
              <w:bottom w:val="nil"/>
              <w:right w:val="nil"/>
            </w:tcBorders>
          </w:tcPr>
          <w:p w14:paraId="31C938ED"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0.160</w:t>
            </w:r>
          </w:p>
        </w:tc>
      </w:tr>
      <w:tr w:rsidR="007B0594" w:rsidRPr="009239F8" w14:paraId="764F47A6" w14:textId="77777777" w:rsidTr="00A72AA9">
        <w:trPr>
          <w:trHeight w:val="295"/>
        </w:trPr>
        <w:tc>
          <w:tcPr>
            <w:tcW w:w="2558" w:type="dxa"/>
            <w:tcBorders>
              <w:top w:val="nil"/>
              <w:left w:val="nil"/>
              <w:bottom w:val="nil"/>
              <w:right w:val="nil"/>
            </w:tcBorders>
            <w:vAlign w:val="center"/>
          </w:tcPr>
          <w:p w14:paraId="148FA4C3"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iCs/>
                <w:lang w:val="en-US"/>
              </w:rPr>
              <w:t>MWT (mm)</w:t>
            </w:r>
          </w:p>
        </w:tc>
        <w:tc>
          <w:tcPr>
            <w:tcW w:w="2699" w:type="dxa"/>
            <w:tcBorders>
              <w:top w:val="nil"/>
              <w:left w:val="nil"/>
              <w:bottom w:val="nil"/>
              <w:right w:val="nil"/>
            </w:tcBorders>
          </w:tcPr>
          <w:p w14:paraId="65B08D0D"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10.54 [9.53–11.29]</w:t>
            </w:r>
          </w:p>
        </w:tc>
        <w:tc>
          <w:tcPr>
            <w:tcW w:w="2841" w:type="dxa"/>
            <w:tcBorders>
              <w:top w:val="nil"/>
              <w:left w:val="nil"/>
              <w:bottom w:val="nil"/>
              <w:right w:val="nil"/>
            </w:tcBorders>
          </w:tcPr>
          <w:p w14:paraId="41201F1D"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10.96 [9.96–12.38]</w:t>
            </w:r>
          </w:p>
        </w:tc>
        <w:tc>
          <w:tcPr>
            <w:tcW w:w="1593" w:type="dxa"/>
            <w:tcBorders>
              <w:top w:val="nil"/>
              <w:left w:val="nil"/>
              <w:bottom w:val="nil"/>
              <w:right w:val="nil"/>
            </w:tcBorders>
          </w:tcPr>
          <w:p w14:paraId="08566AE3"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0.311</w:t>
            </w:r>
          </w:p>
        </w:tc>
      </w:tr>
      <w:tr w:rsidR="007B0594" w:rsidRPr="009239F8" w14:paraId="6A75B946" w14:textId="77777777" w:rsidTr="00A72AA9">
        <w:trPr>
          <w:trHeight w:val="295"/>
        </w:trPr>
        <w:tc>
          <w:tcPr>
            <w:tcW w:w="2558" w:type="dxa"/>
            <w:tcBorders>
              <w:top w:val="nil"/>
              <w:left w:val="nil"/>
              <w:bottom w:val="nil"/>
              <w:right w:val="nil"/>
            </w:tcBorders>
            <w:vAlign w:val="center"/>
          </w:tcPr>
          <w:p w14:paraId="5A7CAC8E"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iCs/>
                <w:lang w:val="en-US"/>
              </w:rPr>
              <w:t>LA-EDVi (ml/m²)</w:t>
            </w:r>
          </w:p>
        </w:tc>
        <w:tc>
          <w:tcPr>
            <w:tcW w:w="2699" w:type="dxa"/>
            <w:tcBorders>
              <w:top w:val="nil"/>
              <w:left w:val="nil"/>
              <w:bottom w:val="nil"/>
              <w:right w:val="nil"/>
            </w:tcBorders>
          </w:tcPr>
          <w:p w14:paraId="7BF4AA29"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6.44 [4.75–7.52]</w:t>
            </w:r>
          </w:p>
        </w:tc>
        <w:tc>
          <w:tcPr>
            <w:tcW w:w="2841" w:type="dxa"/>
            <w:tcBorders>
              <w:top w:val="nil"/>
              <w:left w:val="nil"/>
              <w:bottom w:val="nil"/>
              <w:right w:val="nil"/>
            </w:tcBorders>
          </w:tcPr>
          <w:p w14:paraId="7430DA48"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6.80 [5.07–8.46]</w:t>
            </w:r>
          </w:p>
        </w:tc>
        <w:tc>
          <w:tcPr>
            <w:tcW w:w="1593" w:type="dxa"/>
            <w:tcBorders>
              <w:top w:val="nil"/>
              <w:left w:val="nil"/>
              <w:bottom w:val="nil"/>
              <w:right w:val="nil"/>
            </w:tcBorders>
          </w:tcPr>
          <w:p w14:paraId="1132F1DF"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0.461</w:t>
            </w:r>
          </w:p>
        </w:tc>
      </w:tr>
      <w:tr w:rsidR="007B0594" w:rsidRPr="009239F8" w14:paraId="2BB19A97" w14:textId="77777777" w:rsidTr="00A72AA9">
        <w:trPr>
          <w:trHeight w:val="295"/>
        </w:trPr>
        <w:tc>
          <w:tcPr>
            <w:tcW w:w="2558" w:type="dxa"/>
            <w:tcBorders>
              <w:top w:val="nil"/>
              <w:left w:val="nil"/>
              <w:bottom w:val="nil"/>
              <w:right w:val="nil"/>
            </w:tcBorders>
          </w:tcPr>
          <w:p w14:paraId="41519449"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T1 (ms)</w:t>
            </w:r>
          </w:p>
        </w:tc>
        <w:tc>
          <w:tcPr>
            <w:tcW w:w="2699" w:type="dxa"/>
            <w:tcBorders>
              <w:top w:val="nil"/>
              <w:left w:val="nil"/>
              <w:bottom w:val="nil"/>
              <w:right w:val="nil"/>
            </w:tcBorders>
          </w:tcPr>
          <w:p w14:paraId="71B296E6"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1297.82 [1282.34–1319.39]</w:t>
            </w:r>
          </w:p>
        </w:tc>
        <w:tc>
          <w:tcPr>
            <w:tcW w:w="2841" w:type="dxa"/>
            <w:tcBorders>
              <w:top w:val="nil"/>
              <w:left w:val="nil"/>
              <w:bottom w:val="nil"/>
              <w:right w:val="nil"/>
            </w:tcBorders>
          </w:tcPr>
          <w:p w14:paraId="6B53E259"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1292.49 [1262.37–1317.49]</w:t>
            </w:r>
          </w:p>
        </w:tc>
        <w:tc>
          <w:tcPr>
            <w:tcW w:w="1593" w:type="dxa"/>
            <w:tcBorders>
              <w:top w:val="nil"/>
              <w:left w:val="nil"/>
              <w:bottom w:val="nil"/>
              <w:right w:val="nil"/>
            </w:tcBorders>
          </w:tcPr>
          <w:p w14:paraId="0C1F66A6"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0.617</w:t>
            </w:r>
          </w:p>
        </w:tc>
      </w:tr>
      <w:tr w:rsidR="007B0594" w:rsidRPr="009239F8" w14:paraId="5B348437" w14:textId="77777777" w:rsidTr="00A72AA9">
        <w:trPr>
          <w:trHeight w:val="289"/>
        </w:trPr>
        <w:tc>
          <w:tcPr>
            <w:tcW w:w="2558" w:type="dxa"/>
            <w:tcBorders>
              <w:top w:val="nil"/>
              <w:left w:val="nil"/>
              <w:bottom w:val="nil"/>
              <w:right w:val="nil"/>
            </w:tcBorders>
          </w:tcPr>
          <w:p w14:paraId="578453BE"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MPR</w:t>
            </w:r>
          </w:p>
        </w:tc>
        <w:tc>
          <w:tcPr>
            <w:tcW w:w="2699" w:type="dxa"/>
            <w:tcBorders>
              <w:top w:val="nil"/>
              <w:left w:val="nil"/>
              <w:bottom w:val="nil"/>
              <w:right w:val="nil"/>
            </w:tcBorders>
          </w:tcPr>
          <w:p w14:paraId="0A8D8568"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2.68 [2.06–3.20]</w:t>
            </w:r>
          </w:p>
        </w:tc>
        <w:tc>
          <w:tcPr>
            <w:tcW w:w="2841" w:type="dxa"/>
            <w:tcBorders>
              <w:top w:val="nil"/>
              <w:left w:val="nil"/>
              <w:bottom w:val="nil"/>
              <w:right w:val="nil"/>
            </w:tcBorders>
          </w:tcPr>
          <w:p w14:paraId="7243910A"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2.66 [2.35–3.00]</w:t>
            </w:r>
          </w:p>
        </w:tc>
        <w:tc>
          <w:tcPr>
            <w:tcW w:w="1593" w:type="dxa"/>
            <w:tcBorders>
              <w:top w:val="nil"/>
              <w:left w:val="nil"/>
              <w:bottom w:val="nil"/>
              <w:right w:val="nil"/>
            </w:tcBorders>
          </w:tcPr>
          <w:p w14:paraId="2520178F"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0.805</w:t>
            </w:r>
          </w:p>
        </w:tc>
      </w:tr>
      <w:tr w:rsidR="007B0594" w:rsidRPr="009239F8" w14:paraId="00F46030" w14:textId="77777777" w:rsidTr="00A72AA9">
        <w:trPr>
          <w:trHeight w:val="289"/>
        </w:trPr>
        <w:tc>
          <w:tcPr>
            <w:tcW w:w="2558" w:type="dxa"/>
            <w:tcBorders>
              <w:top w:val="nil"/>
              <w:left w:val="nil"/>
              <w:bottom w:val="nil"/>
              <w:right w:val="nil"/>
            </w:tcBorders>
          </w:tcPr>
          <w:p w14:paraId="08C125D3"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Core LGE (%)</w:t>
            </w:r>
          </w:p>
        </w:tc>
        <w:tc>
          <w:tcPr>
            <w:tcW w:w="2699" w:type="dxa"/>
            <w:tcBorders>
              <w:top w:val="nil"/>
              <w:left w:val="nil"/>
              <w:bottom w:val="nil"/>
              <w:right w:val="nil"/>
            </w:tcBorders>
          </w:tcPr>
          <w:p w14:paraId="74D4BC15"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0.00 [0.00–0.04]</w:t>
            </w:r>
          </w:p>
        </w:tc>
        <w:tc>
          <w:tcPr>
            <w:tcW w:w="2841" w:type="dxa"/>
            <w:tcBorders>
              <w:top w:val="nil"/>
              <w:left w:val="nil"/>
              <w:bottom w:val="nil"/>
              <w:right w:val="nil"/>
            </w:tcBorders>
          </w:tcPr>
          <w:p w14:paraId="204066D2"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0.00 [0.00–0.02]</w:t>
            </w:r>
          </w:p>
        </w:tc>
        <w:tc>
          <w:tcPr>
            <w:tcW w:w="1593" w:type="dxa"/>
            <w:tcBorders>
              <w:top w:val="nil"/>
              <w:left w:val="nil"/>
              <w:bottom w:val="nil"/>
              <w:right w:val="nil"/>
            </w:tcBorders>
          </w:tcPr>
          <w:p w14:paraId="61B53D0F"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0.864</w:t>
            </w:r>
          </w:p>
        </w:tc>
      </w:tr>
      <w:tr w:rsidR="007B0594" w:rsidRPr="009239F8" w14:paraId="37EF3C88" w14:textId="77777777" w:rsidTr="00A72AA9">
        <w:trPr>
          <w:trHeight w:val="289"/>
        </w:trPr>
        <w:tc>
          <w:tcPr>
            <w:tcW w:w="2558" w:type="dxa"/>
            <w:tcBorders>
              <w:top w:val="nil"/>
              <w:left w:val="nil"/>
              <w:bottom w:val="nil"/>
              <w:right w:val="nil"/>
            </w:tcBorders>
          </w:tcPr>
          <w:p w14:paraId="3A1ACEF4"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ECV (%)</w:t>
            </w:r>
          </w:p>
        </w:tc>
        <w:tc>
          <w:tcPr>
            <w:tcW w:w="2699" w:type="dxa"/>
            <w:tcBorders>
              <w:top w:val="nil"/>
              <w:left w:val="nil"/>
              <w:bottom w:val="nil"/>
              <w:right w:val="nil"/>
            </w:tcBorders>
          </w:tcPr>
          <w:p w14:paraId="3182455A"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27.78 [24.93–28.98]</w:t>
            </w:r>
          </w:p>
        </w:tc>
        <w:tc>
          <w:tcPr>
            <w:tcW w:w="2841" w:type="dxa"/>
            <w:tcBorders>
              <w:top w:val="nil"/>
              <w:left w:val="nil"/>
              <w:bottom w:val="nil"/>
              <w:right w:val="nil"/>
            </w:tcBorders>
          </w:tcPr>
          <w:p w14:paraId="6DAB6369"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26.20 [24.63–28.05]</w:t>
            </w:r>
          </w:p>
        </w:tc>
        <w:tc>
          <w:tcPr>
            <w:tcW w:w="1593" w:type="dxa"/>
            <w:tcBorders>
              <w:top w:val="nil"/>
              <w:left w:val="nil"/>
              <w:bottom w:val="nil"/>
              <w:right w:val="nil"/>
            </w:tcBorders>
          </w:tcPr>
          <w:p w14:paraId="6311AB8D"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0.514</w:t>
            </w:r>
          </w:p>
        </w:tc>
      </w:tr>
      <w:tr w:rsidR="007B0594" w:rsidRPr="009239F8" w14:paraId="09C178AD" w14:textId="77777777" w:rsidTr="00A72AA9">
        <w:trPr>
          <w:trHeight w:val="289"/>
        </w:trPr>
        <w:tc>
          <w:tcPr>
            <w:tcW w:w="2558" w:type="dxa"/>
            <w:tcBorders>
              <w:top w:val="single" w:sz="4" w:space="0" w:color="auto"/>
              <w:left w:val="nil"/>
              <w:bottom w:val="single" w:sz="4" w:space="0" w:color="auto"/>
              <w:right w:val="nil"/>
            </w:tcBorders>
          </w:tcPr>
          <w:p w14:paraId="6FF1EDFE" w14:textId="77777777" w:rsidR="007B0594" w:rsidRPr="009239F8" w:rsidRDefault="007B0594" w:rsidP="009A5B48">
            <w:pPr>
              <w:spacing w:line="480" w:lineRule="auto"/>
              <w:rPr>
                <w:rFonts w:ascii="Times New Roman" w:hAnsi="Times New Roman" w:cs="Times New Roman"/>
                <w:b/>
                <w:i/>
                <w:lang w:val="en-US"/>
              </w:rPr>
            </w:pPr>
            <w:r w:rsidRPr="009239F8">
              <w:rPr>
                <w:rFonts w:ascii="Times New Roman" w:hAnsi="Times New Roman" w:cs="Times New Roman"/>
                <w:b/>
                <w:i/>
                <w:lang w:val="en-US"/>
              </w:rPr>
              <w:t>ECGI parameters</w:t>
            </w:r>
          </w:p>
        </w:tc>
        <w:tc>
          <w:tcPr>
            <w:tcW w:w="2699" w:type="dxa"/>
            <w:tcBorders>
              <w:top w:val="single" w:sz="4" w:space="0" w:color="auto"/>
              <w:left w:val="nil"/>
              <w:bottom w:val="single" w:sz="4" w:space="0" w:color="auto"/>
              <w:right w:val="nil"/>
            </w:tcBorders>
          </w:tcPr>
          <w:p w14:paraId="2F441925" w14:textId="77777777" w:rsidR="007B0594" w:rsidRPr="009239F8" w:rsidRDefault="007B0594" w:rsidP="009A5B48">
            <w:pPr>
              <w:spacing w:line="480" w:lineRule="auto"/>
              <w:jc w:val="center"/>
              <w:rPr>
                <w:rFonts w:ascii="Times New Roman" w:hAnsi="Times New Roman" w:cs="Times New Roman"/>
                <w:lang w:val="en-US"/>
              </w:rPr>
            </w:pPr>
          </w:p>
        </w:tc>
        <w:tc>
          <w:tcPr>
            <w:tcW w:w="2841" w:type="dxa"/>
            <w:tcBorders>
              <w:top w:val="single" w:sz="4" w:space="0" w:color="auto"/>
              <w:left w:val="nil"/>
              <w:bottom w:val="single" w:sz="4" w:space="0" w:color="auto"/>
              <w:right w:val="nil"/>
            </w:tcBorders>
          </w:tcPr>
          <w:p w14:paraId="62855B42" w14:textId="77777777" w:rsidR="007B0594" w:rsidRPr="009239F8" w:rsidRDefault="007B0594" w:rsidP="009A5B48">
            <w:pPr>
              <w:spacing w:line="480" w:lineRule="auto"/>
              <w:jc w:val="center"/>
              <w:rPr>
                <w:rFonts w:ascii="Times New Roman" w:hAnsi="Times New Roman" w:cs="Times New Roman"/>
                <w:lang w:val="en-US"/>
              </w:rPr>
            </w:pPr>
          </w:p>
        </w:tc>
        <w:tc>
          <w:tcPr>
            <w:tcW w:w="1593" w:type="dxa"/>
            <w:tcBorders>
              <w:top w:val="single" w:sz="4" w:space="0" w:color="auto"/>
              <w:left w:val="nil"/>
              <w:bottom w:val="single" w:sz="4" w:space="0" w:color="auto"/>
              <w:right w:val="nil"/>
            </w:tcBorders>
            <w:vAlign w:val="center"/>
          </w:tcPr>
          <w:p w14:paraId="310AE35F" w14:textId="77777777" w:rsidR="007B0594" w:rsidRPr="009239F8" w:rsidRDefault="007B0594" w:rsidP="009A5B48">
            <w:pPr>
              <w:spacing w:line="480" w:lineRule="auto"/>
              <w:jc w:val="center"/>
              <w:rPr>
                <w:rFonts w:ascii="Times New Roman" w:hAnsi="Times New Roman" w:cs="Times New Roman"/>
                <w:lang w:val="en-US"/>
              </w:rPr>
            </w:pPr>
          </w:p>
        </w:tc>
      </w:tr>
      <w:tr w:rsidR="007B0594" w:rsidRPr="009239F8" w14:paraId="6845C725" w14:textId="77777777" w:rsidTr="00A72AA9">
        <w:trPr>
          <w:trHeight w:val="289"/>
        </w:trPr>
        <w:tc>
          <w:tcPr>
            <w:tcW w:w="2558" w:type="dxa"/>
            <w:tcBorders>
              <w:top w:val="single" w:sz="4" w:space="0" w:color="auto"/>
              <w:left w:val="nil"/>
              <w:bottom w:val="nil"/>
              <w:right w:val="nil"/>
            </w:tcBorders>
          </w:tcPr>
          <w:p w14:paraId="5E3F2B0F"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RR (ms)</w:t>
            </w:r>
          </w:p>
        </w:tc>
        <w:tc>
          <w:tcPr>
            <w:tcW w:w="2699" w:type="dxa"/>
            <w:tcBorders>
              <w:top w:val="single" w:sz="4" w:space="0" w:color="auto"/>
              <w:left w:val="nil"/>
              <w:bottom w:val="nil"/>
              <w:right w:val="nil"/>
            </w:tcBorders>
          </w:tcPr>
          <w:p w14:paraId="3863D0B7"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931.25 [855.50–993.88]</w:t>
            </w:r>
          </w:p>
        </w:tc>
        <w:tc>
          <w:tcPr>
            <w:tcW w:w="2841" w:type="dxa"/>
            <w:tcBorders>
              <w:top w:val="single" w:sz="4" w:space="0" w:color="auto"/>
              <w:left w:val="nil"/>
              <w:bottom w:val="nil"/>
              <w:right w:val="nil"/>
            </w:tcBorders>
          </w:tcPr>
          <w:p w14:paraId="684AD664"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1001.00 [899.00–1047.50]</w:t>
            </w:r>
          </w:p>
        </w:tc>
        <w:tc>
          <w:tcPr>
            <w:tcW w:w="1593" w:type="dxa"/>
            <w:tcBorders>
              <w:top w:val="single" w:sz="4" w:space="0" w:color="auto"/>
              <w:left w:val="nil"/>
              <w:bottom w:val="nil"/>
              <w:right w:val="nil"/>
            </w:tcBorders>
          </w:tcPr>
          <w:p w14:paraId="1A0FB956" w14:textId="77777777" w:rsidR="007B0594" w:rsidRPr="009239F8" w:rsidRDefault="007B0594" w:rsidP="009A5B48">
            <w:pPr>
              <w:spacing w:line="480" w:lineRule="auto"/>
              <w:jc w:val="center"/>
              <w:rPr>
                <w:rFonts w:ascii="Times New Roman" w:hAnsi="Times New Roman" w:cs="Times New Roman"/>
                <w:b/>
                <w:lang w:val="en-US"/>
              </w:rPr>
            </w:pPr>
            <w:r w:rsidRPr="009239F8">
              <w:rPr>
                <w:rFonts w:ascii="Times New Roman" w:hAnsi="Times New Roman" w:cs="Times New Roman"/>
                <w:lang w:val="en-US"/>
              </w:rPr>
              <w:t>0.160</w:t>
            </w:r>
          </w:p>
        </w:tc>
      </w:tr>
      <w:tr w:rsidR="007B0594" w:rsidRPr="009239F8" w14:paraId="1646BD0F" w14:textId="77777777" w:rsidTr="00A72AA9">
        <w:trPr>
          <w:trHeight w:val="289"/>
        </w:trPr>
        <w:tc>
          <w:tcPr>
            <w:tcW w:w="2558" w:type="dxa"/>
            <w:tcBorders>
              <w:top w:val="nil"/>
              <w:left w:val="nil"/>
              <w:bottom w:val="nil"/>
              <w:right w:val="nil"/>
            </w:tcBorders>
          </w:tcPr>
          <w:p w14:paraId="57F5CB67"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AT90 (ms)</w:t>
            </w:r>
          </w:p>
        </w:tc>
        <w:tc>
          <w:tcPr>
            <w:tcW w:w="2699" w:type="dxa"/>
            <w:tcBorders>
              <w:top w:val="nil"/>
              <w:left w:val="nil"/>
              <w:bottom w:val="nil"/>
              <w:right w:val="nil"/>
            </w:tcBorders>
          </w:tcPr>
          <w:p w14:paraId="0B891D04"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50.20 [44.26–54.04]</w:t>
            </w:r>
          </w:p>
        </w:tc>
        <w:tc>
          <w:tcPr>
            <w:tcW w:w="2841" w:type="dxa"/>
            <w:tcBorders>
              <w:top w:val="nil"/>
              <w:left w:val="nil"/>
              <w:bottom w:val="nil"/>
              <w:right w:val="nil"/>
            </w:tcBorders>
          </w:tcPr>
          <w:p w14:paraId="262AD9D4"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53.38 [49.40–58.41]</w:t>
            </w:r>
          </w:p>
        </w:tc>
        <w:tc>
          <w:tcPr>
            <w:tcW w:w="1593" w:type="dxa"/>
            <w:tcBorders>
              <w:top w:val="nil"/>
              <w:left w:val="nil"/>
              <w:bottom w:val="nil"/>
              <w:right w:val="nil"/>
            </w:tcBorders>
          </w:tcPr>
          <w:p w14:paraId="54F35668" w14:textId="77777777" w:rsidR="007B0594" w:rsidRPr="009239F8" w:rsidRDefault="007B0594" w:rsidP="009A5B48">
            <w:pPr>
              <w:spacing w:line="480" w:lineRule="auto"/>
              <w:jc w:val="center"/>
              <w:rPr>
                <w:rFonts w:ascii="Times New Roman" w:hAnsi="Times New Roman" w:cs="Times New Roman"/>
                <w:b/>
                <w:lang w:val="en-US"/>
              </w:rPr>
            </w:pPr>
            <w:r w:rsidRPr="009239F8">
              <w:rPr>
                <w:rFonts w:ascii="Times New Roman" w:hAnsi="Times New Roman" w:cs="Times New Roman"/>
                <w:lang w:val="en-US"/>
              </w:rPr>
              <w:t>0.160</w:t>
            </w:r>
          </w:p>
        </w:tc>
      </w:tr>
      <w:tr w:rsidR="007B0594" w:rsidRPr="009239F8" w14:paraId="07A74BEF" w14:textId="77777777" w:rsidTr="00A72AA9">
        <w:trPr>
          <w:trHeight w:val="289"/>
        </w:trPr>
        <w:tc>
          <w:tcPr>
            <w:tcW w:w="2558" w:type="dxa"/>
            <w:tcBorders>
              <w:top w:val="nil"/>
              <w:left w:val="nil"/>
              <w:bottom w:val="nil"/>
              <w:right w:val="nil"/>
            </w:tcBorders>
          </w:tcPr>
          <w:p w14:paraId="32CFA3CB"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RT90 (ms)</w:t>
            </w:r>
          </w:p>
        </w:tc>
        <w:tc>
          <w:tcPr>
            <w:tcW w:w="2699" w:type="dxa"/>
            <w:tcBorders>
              <w:top w:val="nil"/>
              <w:left w:val="nil"/>
              <w:bottom w:val="nil"/>
              <w:right w:val="nil"/>
            </w:tcBorders>
          </w:tcPr>
          <w:p w14:paraId="62CB7730"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275.32 [232.17–320.89]</w:t>
            </w:r>
          </w:p>
        </w:tc>
        <w:tc>
          <w:tcPr>
            <w:tcW w:w="2841" w:type="dxa"/>
            <w:tcBorders>
              <w:top w:val="nil"/>
              <w:left w:val="nil"/>
              <w:bottom w:val="nil"/>
              <w:right w:val="nil"/>
            </w:tcBorders>
          </w:tcPr>
          <w:p w14:paraId="32A8617A"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302.38 [277.21–336.91]</w:t>
            </w:r>
          </w:p>
        </w:tc>
        <w:tc>
          <w:tcPr>
            <w:tcW w:w="1593" w:type="dxa"/>
            <w:tcBorders>
              <w:top w:val="nil"/>
              <w:left w:val="nil"/>
              <w:bottom w:val="nil"/>
              <w:right w:val="nil"/>
            </w:tcBorders>
          </w:tcPr>
          <w:p w14:paraId="00B05486" w14:textId="77777777" w:rsidR="007B0594" w:rsidRPr="009239F8" w:rsidRDefault="007B0594" w:rsidP="009A5B48">
            <w:pPr>
              <w:spacing w:line="480" w:lineRule="auto"/>
              <w:jc w:val="center"/>
              <w:rPr>
                <w:rFonts w:ascii="Times New Roman" w:hAnsi="Times New Roman" w:cs="Times New Roman"/>
                <w:b/>
                <w:lang w:val="en-US"/>
              </w:rPr>
            </w:pPr>
            <w:r w:rsidRPr="009239F8">
              <w:rPr>
                <w:rFonts w:ascii="Times New Roman" w:hAnsi="Times New Roman" w:cs="Times New Roman"/>
                <w:lang w:val="en-US"/>
              </w:rPr>
              <w:t>0.160</w:t>
            </w:r>
          </w:p>
        </w:tc>
      </w:tr>
      <w:tr w:rsidR="007B0594" w:rsidRPr="009239F8" w14:paraId="6446EF7E" w14:textId="77777777" w:rsidTr="00A72AA9">
        <w:trPr>
          <w:trHeight w:val="295"/>
        </w:trPr>
        <w:tc>
          <w:tcPr>
            <w:tcW w:w="2558" w:type="dxa"/>
            <w:tcBorders>
              <w:top w:val="nil"/>
              <w:left w:val="nil"/>
              <w:bottom w:val="nil"/>
              <w:right w:val="nil"/>
            </w:tcBorders>
          </w:tcPr>
          <w:p w14:paraId="3818CC98"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ARI90 (ms)</w:t>
            </w:r>
          </w:p>
        </w:tc>
        <w:tc>
          <w:tcPr>
            <w:tcW w:w="2699" w:type="dxa"/>
            <w:tcBorders>
              <w:top w:val="nil"/>
              <w:left w:val="nil"/>
              <w:bottom w:val="nil"/>
              <w:right w:val="nil"/>
            </w:tcBorders>
          </w:tcPr>
          <w:p w14:paraId="2A6DAE1C"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308.13 [275.97–338.91]</w:t>
            </w:r>
          </w:p>
        </w:tc>
        <w:tc>
          <w:tcPr>
            <w:tcW w:w="2841" w:type="dxa"/>
            <w:tcBorders>
              <w:top w:val="nil"/>
              <w:left w:val="nil"/>
              <w:bottom w:val="nil"/>
              <w:right w:val="nil"/>
            </w:tcBorders>
          </w:tcPr>
          <w:p w14:paraId="4CBD43E2"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336.72 [308.21–357.92]</w:t>
            </w:r>
          </w:p>
        </w:tc>
        <w:tc>
          <w:tcPr>
            <w:tcW w:w="1593" w:type="dxa"/>
            <w:tcBorders>
              <w:top w:val="nil"/>
              <w:left w:val="nil"/>
              <w:bottom w:val="nil"/>
              <w:right w:val="nil"/>
            </w:tcBorders>
          </w:tcPr>
          <w:p w14:paraId="13E21B88" w14:textId="77777777" w:rsidR="007B0594" w:rsidRPr="009239F8" w:rsidRDefault="007B0594" w:rsidP="009A5B48">
            <w:pPr>
              <w:spacing w:line="480" w:lineRule="auto"/>
              <w:jc w:val="center"/>
              <w:rPr>
                <w:rFonts w:ascii="Times New Roman" w:hAnsi="Times New Roman" w:cs="Times New Roman"/>
                <w:b/>
                <w:lang w:val="en-US"/>
              </w:rPr>
            </w:pPr>
            <w:r w:rsidRPr="009239F8">
              <w:rPr>
                <w:rFonts w:ascii="Times New Roman" w:hAnsi="Times New Roman" w:cs="Times New Roman"/>
                <w:lang w:val="en-US"/>
              </w:rPr>
              <w:t>0.160</w:t>
            </w:r>
          </w:p>
        </w:tc>
      </w:tr>
      <w:tr w:rsidR="007B0594" w:rsidRPr="009239F8" w14:paraId="5DDD67BA" w14:textId="77777777" w:rsidTr="00A72AA9">
        <w:trPr>
          <w:trHeight w:val="295"/>
        </w:trPr>
        <w:tc>
          <w:tcPr>
            <w:tcW w:w="2558" w:type="dxa"/>
            <w:tcBorders>
              <w:top w:val="nil"/>
              <w:left w:val="nil"/>
              <w:bottom w:val="single" w:sz="4" w:space="0" w:color="auto"/>
              <w:right w:val="nil"/>
            </w:tcBorders>
          </w:tcPr>
          <w:p w14:paraId="105EB2BB"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CV (m/s)</w:t>
            </w:r>
          </w:p>
        </w:tc>
        <w:tc>
          <w:tcPr>
            <w:tcW w:w="2699" w:type="dxa"/>
            <w:tcBorders>
              <w:top w:val="nil"/>
              <w:left w:val="nil"/>
              <w:bottom w:val="single" w:sz="4" w:space="0" w:color="auto"/>
              <w:right w:val="nil"/>
            </w:tcBorders>
          </w:tcPr>
          <w:p w14:paraId="1BFB7060"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0.83 [0.73–0.94]</w:t>
            </w:r>
          </w:p>
        </w:tc>
        <w:tc>
          <w:tcPr>
            <w:tcW w:w="2841" w:type="dxa"/>
            <w:tcBorders>
              <w:top w:val="nil"/>
              <w:left w:val="nil"/>
              <w:bottom w:val="single" w:sz="4" w:space="0" w:color="auto"/>
              <w:right w:val="nil"/>
            </w:tcBorders>
          </w:tcPr>
          <w:p w14:paraId="1812CE72"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0.89 [0.80–1.03]</w:t>
            </w:r>
          </w:p>
        </w:tc>
        <w:tc>
          <w:tcPr>
            <w:tcW w:w="1593" w:type="dxa"/>
            <w:tcBorders>
              <w:top w:val="nil"/>
              <w:left w:val="nil"/>
              <w:bottom w:val="single" w:sz="4" w:space="0" w:color="auto"/>
              <w:right w:val="nil"/>
            </w:tcBorders>
          </w:tcPr>
          <w:p w14:paraId="2486AE67" w14:textId="77777777" w:rsidR="007B0594" w:rsidRPr="009239F8" w:rsidRDefault="007B0594" w:rsidP="009A5B48">
            <w:pPr>
              <w:spacing w:line="480" w:lineRule="auto"/>
              <w:jc w:val="center"/>
              <w:rPr>
                <w:rFonts w:ascii="Times New Roman" w:hAnsi="Times New Roman" w:cs="Times New Roman"/>
                <w:b/>
                <w:lang w:val="en-US"/>
              </w:rPr>
            </w:pPr>
            <w:r w:rsidRPr="009239F8">
              <w:rPr>
                <w:rFonts w:ascii="Times New Roman" w:hAnsi="Times New Roman" w:cs="Times New Roman"/>
                <w:lang w:val="en-US"/>
              </w:rPr>
              <w:t>0.375</w:t>
            </w:r>
          </w:p>
        </w:tc>
      </w:tr>
      <w:tr w:rsidR="007B0594" w:rsidRPr="009239F8" w14:paraId="604D2C7B" w14:textId="77777777" w:rsidTr="00A72AA9">
        <w:trPr>
          <w:trHeight w:val="295"/>
        </w:trPr>
        <w:tc>
          <w:tcPr>
            <w:tcW w:w="2558" w:type="dxa"/>
            <w:tcBorders>
              <w:top w:val="single" w:sz="4" w:space="0" w:color="auto"/>
              <w:left w:val="nil"/>
              <w:bottom w:val="single" w:sz="4" w:space="0" w:color="auto"/>
              <w:right w:val="nil"/>
            </w:tcBorders>
          </w:tcPr>
          <w:p w14:paraId="11E14143" w14:textId="77777777" w:rsidR="007B0594" w:rsidRPr="009239F8" w:rsidRDefault="007B0594" w:rsidP="009A5B48">
            <w:pPr>
              <w:spacing w:line="480" w:lineRule="auto"/>
              <w:rPr>
                <w:rFonts w:ascii="Times New Roman" w:hAnsi="Times New Roman" w:cs="Times New Roman"/>
                <w:b/>
                <w:i/>
                <w:lang w:val="en-US"/>
              </w:rPr>
            </w:pPr>
            <w:r w:rsidRPr="009239F8">
              <w:rPr>
                <w:rFonts w:ascii="Times New Roman" w:hAnsi="Times New Roman" w:cs="Times New Roman"/>
                <w:b/>
                <w:i/>
                <w:lang w:val="en-US"/>
              </w:rPr>
              <w:t>In silico parametrization</w:t>
            </w:r>
          </w:p>
        </w:tc>
        <w:tc>
          <w:tcPr>
            <w:tcW w:w="2699" w:type="dxa"/>
            <w:tcBorders>
              <w:top w:val="single" w:sz="4" w:space="0" w:color="auto"/>
              <w:left w:val="nil"/>
              <w:bottom w:val="single" w:sz="4" w:space="0" w:color="auto"/>
              <w:right w:val="nil"/>
            </w:tcBorders>
          </w:tcPr>
          <w:p w14:paraId="09915008" w14:textId="77777777" w:rsidR="007B0594" w:rsidRPr="009239F8" w:rsidRDefault="007B0594" w:rsidP="009A5B48">
            <w:pPr>
              <w:spacing w:line="480" w:lineRule="auto"/>
              <w:jc w:val="center"/>
              <w:rPr>
                <w:rFonts w:ascii="Times New Roman" w:hAnsi="Times New Roman" w:cs="Times New Roman"/>
                <w:lang w:val="en-US"/>
              </w:rPr>
            </w:pPr>
          </w:p>
        </w:tc>
        <w:tc>
          <w:tcPr>
            <w:tcW w:w="2841" w:type="dxa"/>
            <w:tcBorders>
              <w:top w:val="single" w:sz="4" w:space="0" w:color="auto"/>
              <w:left w:val="nil"/>
              <w:bottom w:val="single" w:sz="4" w:space="0" w:color="auto"/>
              <w:right w:val="nil"/>
            </w:tcBorders>
          </w:tcPr>
          <w:p w14:paraId="26B7E839" w14:textId="77777777" w:rsidR="007B0594" w:rsidRPr="009239F8" w:rsidRDefault="007B0594" w:rsidP="009A5B48">
            <w:pPr>
              <w:spacing w:line="480" w:lineRule="auto"/>
              <w:jc w:val="center"/>
              <w:rPr>
                <w:rFonts w:ascii="Times New Roman" w:hAnsi="Times New Roman" w:cs="Times New Roman"/>
                <w:lang w:val="en-US"/>
              </w:rPr>
            </w:pPr>
          </w:p>
        </w:tc>
        <w:tc>
          <w:tcPr>
            <w:tcW w:w="1593" w:type="dxa"/>
            <w:tcBorders>
              <w:top w:val="single" w:sz="4" w:space="0" w:color="auto"/>
              <w:left w:val="nil"/>
              <w:bottom w:val="single" w:sz="4" w:space="0" w:color="auto"/>
              <w:right w:val="nil"/>
            </w:tcBorders>
            <w:vAlign w:val="center"/>
          </w:tcPr>
          <w:p w14:paraId="785497B6" w14:textId="77777777" w:rsidR="007B0594" w:rsidRPr="009239F8" w:rsidRDefault="007B0594" w:rsidP="009A5B48">
            <w:pPr>
              <w:spacing w:line="480" w:lineRule="auto"/>
              <w:jc w:val="center"/>
              <w:rPr>
                <w:rFonts w:ascii="Times New Roman" w:hAnsi="Times New Roman" w:cs="Times New Roman"/>
                <w:lang w:val="en-US"/>
              </w:rPr>
            </w:pPr>
          </w:p>
        </w:tc>
      </w:tr>
      <w:tr w:rsidR="007B0594" w:rsidRPr="009239F8" w14:paraId="447CF6FA" w14:textId="77777777" w:rsidTr="00A72AA9">
        <w:trPr>
          <w:trHeight w:val="295"/>
        </w:trPr>
        <w:tc>
          <w:tcPr>
            <w:tcW w:w="2558" w:type="dxa"/>
            <w:tcBorders>
              <w:top w:val="single" w:sz="4" w:space="0" w:color="auto"/>
              <w:left w:val="nil"/>
              <w:bottom w:val="nil"/>
              <w:right w:val="nil"/>
            </w:tcBorders>
          </w:tcPr>
          <w:p w14:paraId="0BB06532" w14:textId="77777777" w:rsidR="007B0594" w:rsidRPr="009239F8" w:rsidRDefault="007B0594" w:rsidP="009A5B48">
            <w:pPr>
              <w:spacing w:line="480" w:lineRule="auto"/>
              <w:rPr>
                <w:rFonts w:ascii="Times New Roman" w:hAnsi="Times New Roman" w:cs="Times New Roman"/>
                <w:b/>
                <w:i/>
                <w:lang w:val="en-US"/>
              </w:rPr>
            </w:pPr>
            <w:r w:rsidRPr="009239F8">
              <w:rPr>
                <w:rFonts w:ascii="Times New Roman" w:hAnsi="Times New Roman" w:cs="Times New Roman"/>
                <w:i/>
                <w:lang w:val="en-US"/>
              </w:rPr>
              <w:t>Df (cm²/ms)</w:t>
            </w:r>
          </w:p>
        </w:tc>
        <w:tc>
          <w:tcPr>
            <w:tcW w:w="2699" w:type="dxa"/>
            <w:tcBorders>
              <w:top w:val="single" w:sz="4" w:space="0" w:color="auto"/>
              <w:left w:val="nil"/>
              <w:bottom w:val="nil"/>
              <w:right w:val="nil"/>
            </w:tcBorders>
          </w:tcPr>
          <w:p w14:paraId="0926E1F8"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0.0020 [0.0015–0.0026]</w:t>
            </w:r>
          </w:p>
        </w:tc>
        <w:tc>
          <w:tcPr>
            <w:tcW w:w="2841" w:type="dxa"/>
            <w:tcBorders>
              <w:top w:val="single" w:sz="4" w:space="0" w:color="auto"/>
              <w:left w:val="nil"/>
              <w:bottom w:val="nil"/>
              <w:right w:val="nil"/>
            </w:tcBorders>
          </w:tcPr>
          <w:p w14:paraId="33B7A06A"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0.0023 [0.0019–0.0032]</w:t>
            </w:r>
          </w:p>
        </w:tc>
        <w:tc>
          <w:tcPr>
            <w:tcW w:w="1593" w:type="dxa"/>
            <w:tcBorders>
              <w:top w:val="single" w:sz="4" w:space="0" w:color="auto"/>
              <w:left w:val="nil"/>
              <w:bottom w:val="nil"/>
              <w:right w:val="nil"/>
            </w:tcBorders>
          </w:tcPr>
          <w:p w14:paraId="2691DAA0"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0.313</w:t>
            </w:r>
          </w:p>
        </w:tc>
      </w:tr>
      <w:tr w:rsidR="007B0594" w:rsidRPr="009239F8" w14:paraId="4A799962" w14:textId="77777777" w:rsidTr="00A72AA9">
        <w:trPr>
          <w:trHeight w:val="295"/>
        </w:trPr>
        <w:tc>
          <w:tcPr>
            <w:tcW w:w="2558" w:type="dxa"/>
            <w:tcBorders>
              <w:top w:val="nil"/>
              <w:left w:val="nil"/>
              <w:bottom w:val="nil"/>
              <w:right w:val="nil"/>
            </w:tcBorders>
          </w:tcPr>
          <w:p w14:paraId="091BC045" w14:textId="77777777" w:rsidR="007B0594" w:rsidRPr="009239F8" w:rsidRDefault="007B0594" w:rsidP="009A5B48">
            <w:pPr>
              <w:spacing w:line="480" w:lineRule="auto"/>
              <w:rPr>
                <w:rFonts w:ascii="Times New Roman" w:hAnsi="Times New Roman" w:cs="Times New Roman"/>
                <w:b/>
                <w:i/>
                <w:lang w:val="en-US"/>
              </w:rPr>
            </w:pPr>
            <w:r w:rsidRPr="009239F8">
              <w:rPr>
                <w:rFonts w:ascii="Times New Roman" w:hAnsi="Times New Roman" w:cs="Times New Roman"/>
                <w:i/>
                <w:lang w:val="en-US"/>
              </w:rPr>
              <w:t>g</w:t>
            </w:r>
            <w:r w:rsidRPr="009239F8">
              <w:rPr>
                <w:rFonts w:ascii="Times New Roman" w:hAnsi="Times New Roman" w:cs="Times New Roman"/>
                <w:i/>
                <w:vertAlign w:val="subscript"/>
                <w:lang w:val="en-US"/>
              </w:rPr>
              <w:t>Ks</w:t>
            </w:r>
          </w:p>
        </w:tc>
        <w:tc>
          <w:tcPr>
            <w:tcW w:w="2699" w:type="dxa"/>
            <w:tcBorders>
              <w:top w:val="nil"/>
              <w:left w:val="nil"/>
              <w:bottom w:val="nil"/>
              <w:right w:val="nil"/>
            </w:tcBorders>
          </w:tcPr>
          <w:p w14:paraId="08ABDCAE"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2.59 [1.87–3.19]</w:t>
            </w:r>
          </w:p>
        </w:tc>
        <w:tc>
          <w:tcPr>
            <w:tcW w:w="2841" w:type="dxa"/>
            <w:tcBorders>
              <w:top w:val="nil"/>
              <w:left w:val="nil"/>
              <w:bottom w:val="nil"/>
              <w:right w:val="nil"/>
            </w:tcBorders>
          </w:tcPr>
          <w:p w14:paraId="443DA8DF"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2.20 [1.34–3.02]</w:t>
            </w:r>
          </w:p>
        </w:tc>
        <w:tc>
          <w:tcPr>
            <w:tcW w:w="1593" w:type="dxa"/>
            <w:tcBorders>
              <w:top w:val="nil"/>
              <w:left w:val="nil"/>
              <w:bottom w:val="nil"/>
              <w:right w:val="nil"/>
            </w:tcBorders>
          </w:tcPr>
          <w:p w14:paraId="0C844C8E"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0.992</w:t>
            </w:r>
          </w:p>
        </w:tc>
      </w:tr>
      <w:tr w:rsidR="007B0594" w:rsidRPr="009239F8" w14:paraId="1C2188DD" w14:textId="77777777" w:rsidTr="00A72AA9">
        <w:trPr>
          <w:trHeight w:val="295"/>
        </w:trPr>
        <w:tc>
          <w:tcPr>
            <w:tcW w:w="2558" w:type="dxa"/>
            <w:tcBorders>
              <w:top w:val="nil"/>
              <w:left w:val="nil"/>
              <w:bottom w:val="nil"/>
              <w:right w:val="nil"/>
            </w:tcBorders>
          </w:tcPr>
          <w:p w14:paraId="35FE2E7A" w14:textId="153CB416" w:rsidR="007B0594" w:rsidRPr="009239F8" w:rsidRDefault="007B0594" w:rsidP="009A5B48">
            <w:pPr>
              <w:spacing w:line="480" w:lineRule="auto"/>
              <w:rPr>
                <w:rFonts w:ascii="Times New Roman" w:hAnsi="Times New Roman" w:cs="Times New Roman"/>
                <w:b/>
                <w:i/>
                <w:lang w:val="en-US"/>
              </w:rPr>
            </w:pPr>
            <w:r w:rsidRPr="009239F8">
              <w:rPr>
                <w:rFonts w:ascii="Times New Roman" w:hAnsi="Times New Roman" w:cs="Times New Roman"/>
                <w:i/>
                <w:lang w:val="en-US"/>
              </w:rPr>
              <w:t>AgR</w:t>
            </w:r>
          </w:p>
        </w:tc>
        <w:tc>
          <w:tcPr>
            <w:tcW w:w="2699" w:type="dxa"/>
            <w:tcBorders>
              <w:top w:val="nil"/>
              <w:left w:val="nil"/>
              <w:bottom w:val="nil"/>
              <w:right w:val="nil"/>
            </w:tcBorders>
          </w:tcPr>
          <w:p w14:paraId="7349CB0B"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1.02 [0.99–1.13]</w:t>
            </w:r>
          </w:p>
        </w:tc>
        <w:tc>
          <w:tcPr>
            <w:tcW w:w="2841" w:type="dxa"/>
            <w:tcBorders>
              <w:top w:val="nil"/>
              <w:left w:val="nil"/>
              <w:bottom w:val="nil"/>
              <w:right w:val="nil"/>
            </w:tcBorders>
          </w:tcPr>
          <w:p w14:paraId="70FF6532"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1.02 [0.97–1.14]</w:t>
            </w:r>
          </w:p>
        </w:tc>
        <w:tc>
          <w:tcPr>
            <w:tcW w:w="1593" w:type="dxa"/>
            <w:tcBorders>
              <w:top w:val="nil"/>
              <w:left w:val="nil"/>
              <w:bottom w:val="nil"/>
              <w:right w:val="nil"/>
            </w:tcBorders>
          </w:tcPr>
          <w:p w14:paraId="10DA2747"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0.375</w:t>
            </w:r>
          </w:p>
        </w:tc>
      </w:tr>
      <w:tr w:rsidR="007B0594" w:rsidRPr="009239F8" w14:paraId="77193AA6" w14:textId="77777777" w:rsidTr="00A72AA9">
        <w:trPr>
          <w:trHeight w:val="295"/>
        </w:trPr>
        <w:tc>
          <w:tcPr>
            <w:tcW w:w="2558" w:type="dxa"/>
            <w:tcBorders>
              <w:top w:val="nil"/>
              <w:left w:val="nil"/>
              <w:bottom w:val="single" w:sz="4" w:space="0" w:color="auto"/>
              <w:right w:val="nil"/>
            </w:tcBorders>
          </w:tcPr>
          <w:p w14:paraId="4D8C575B" w14:textId="77777777" w:rsidR="007B0594" w:rsidRPr="009239F8" w:rsidRDefault="007B0594" w:rsidP="009A5B48">
            <w:pPr>
              <w:spacing w:line="480" w:lineRule="auto"/>
              <w:rPr>
                <w:rFonts w:ascii="Times New Roman" w:hAnsi="Times New Roman" w:cs="Times New Roman"/>
                <w:i/>
                <w:lang w:val="en-US"/>
              </w:rPr>
            </w:pPr>
            <w:r w:rsidRPr="009239F8">
              <w:rPr>
                <w:rFonts w:ascii="Times New Roman" w:hAnsi="Times New Roman" w:cs="Times New Roman"/>
                <w:i/>
                <w:lang w:val="en-US"/>
              </w:rPr>
              <w:t>PMJs</w:t>
            </w:r>
          </w:p>
        </w:tc>
        <w:tc>
          <w:tcPr>
            <w:tcW w:w="2699" w:type="dxa"/>
            <w:tcBorders>
              <w:top w:val="nil"/>
              <w:left w:val="nil"/>
              <w:bottom w:val="single" w:sz="4" w:space="0" w:color="auto"/>
              <w:right w:val="nil"/>
            </w:tcBorders>
          </w:tcPr>
          <w:p w14:paraId="1C002C6E"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20.00 [15.00–44.50]</w:t>
            </w:r>
          </w:p>
        </w:tc>
        <w:tc>
          <w:tcPr>
            <w:tcW w:w="2841" w:type="dxa"/>
            <w:tcBorders>
              <w:top w:val="nil"/>
              <w:left w:val="nil"/>
              <w:bottom w:val="single" w:sz="4" w:space="0" w:color="auto"/>
              <w:right w:val="nil"/>
            </w:tcBorders>
          </w:tcPr>
          <w:p w14:paraId="4DB540CA"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20.00 [12.50–50.50]</w:t>
            </w:r>
          </w:p>
        </w:tc>
        <w:tc>
          <w:tcPr>
            <w:tcW w:w="1593" w:type="dxa"/>
            <w:tcBorders>
              <w:top w:val="nil"/>
              <w:left w:val="nil"/>
              <w:bottom w:val="single" w:sz="4" w:space="0" w:color="auto"/>
              <w:right w:val="nil"/>
            </w:tcBorders>
          </w:tcPr>
          <w:p w14:paraId="3D837480" w14:textId="77777777" w:rsidR="007B0594" w:rsidRPr="009239F8" w:rsidRDefault="007B059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0.560</w:t>
            </w:r>
          </w:p>
        </w:tc>
      </w:tr>
    </w:tbl>
    <w:p w14:paraId="7BEAB004" w14:textId="77777777" w:rsidR="007B0594" w:rsidRPr="009239F8" w:rsidRDefault="007B0594" w:rsidP="009A5B48">
      <w:pPr>
        <w:spacing w:line="480" w:lineRule="auto"/>
        <w:rPr>
          <w:rFonts w:ascii="Times New Roman" w:hAnsi="Times New Roman" w:cs="Times New Roman"/>
          <w:lang w:val="en-US"/>
        </w:rPr>
      </w:pPr>
    </w:p>
    <w:p w14:paraId="27259D8D" w14:textId="0156BEC8" w:rsidR="00D2674D" w:rsidRPr="009239F8" w:rsidRDefault="00D2674D"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w:t>
      </w:r>
      <w:r w:rsidR="00EC19E2" w:rsidRPr="009239F8">
        <w:rPr>
          <w:rFonts w:ascii="Times New Roman" w:hAnsi="Times New Roman" w:cs="Times New Roman"/>
          <w:color w:val="auto"/>
          <w:lang w:val="en-US"/>
        </w:rPr>
        <w:t>6</w:t>
      </w:r>
      <w:r w:rsidRPr="009239F8">
        <w:rPr>
          <w:rFonts w:ascii="Times New Roman" w:hAnsi="Times New Roman" w:cs="Times New Roman"/>
          <w:color w:val="auto"/>
          <w:lang w:val="en-US"/>
        </w:rPr>
        <w:t>: eHTN population replication</w:t>
      </w:r>
    </w:p>
    <w:p w14:paraId="4E027524" w14:textId="0C0AB73D" w:rsidR="00F4262F" w:rsidRPr="009239F8" w:rsidRDefault="00AE4337" w:rsidP="009A5B48">
      <w:pPr>
        <w:spacing w:line="480" w:lineRule="auto"/>
        <w:jc w:val="both"/>
        <w:rPr>
          <w:rFonts w:ascii="Times New Roman" w:hAnsi="Times New Roman" w:cs="Times New Roman"/>
          <w:bCs/>
          <w:lang w:val="en-US"/>
        </w:rPr>
      </w:pPr>
      <w:r w:rsidRPr="009239F8">
        <w:rPr>
          <w:rFonts w:ascii="Times New Roman" w:hAnsi="Times New Roman" w:cs="Times New Roman"/>
          <w:b/>
          <w:lang w:val="en-US"/>
        </w:rPr>
        <w:fldChar w:fldCharType="begin"/>
      </w:r>
      <w:r w:rsidRPr="009239F8">
        <w:rPr>
          <w:rFonts w:ascii="Times New Roman" w:hAnsi="Times New Roman" w:cs="Times New Roman"/>
          <w:bCs/>
          <w:lang w:val="en-US"/>
        </w:rPr>
        <w:instrText xml:space="preserve"> REF _Ref232676489 \h </w:instrText>
      </w:r>
      <w:r w:rsidRPr="009239F8">
        <w:rPr>
          <w:rFonts w:ascii="Times New Roman" w:hAnsi="Times New Roman" w:cs="Times New Roman"/>
          <w:b/>
          <w:lang w:val="en-US"/>
        </w:rPr>
        <w:instrText xml:space="preserve"> \* MERGEFORMAT </w:instrText>
      </w:r>
      <w:r w:rsidRPr="009239F8">
        <w:rPr>
          <w:rFonts w:ascii="Times New Roman" w:hAnsi="Times New Roman" w:cs="Times New Roman"/>
          <w:b/>
          <w:lang w:val="en-US"/>
        </w:rPr>
      </w:r>
      <w:r w:rsidRPr="009239F8">
        <w:rPr>
          <w:rFonts w:ascii="Times New Roman" w:hAnsi="Times New Roman" w:cs="Times New Roman"/>
          <w:b/>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4</w:t>
      </w:r>
      <w:r w:rsidRPr="009239F8">
        <w:rPr>
          <w:rFonts w:ascii="Times New Roman" w:hAnsi="Times New Roman" w:cs="Times New Roman"/>
          <w:b/>
          <w:lang w:val="en-US"/>
        </w:rPr>
        <w:fldChar w:fldCharType="end"/>
      </w:r>
      <w:r w:rsidRPr="009239F8">
        <w:rPr>
          <w:rFonts w:ascii="Times New Roman" w:hAnsi="Times New Roman" w:cs="Times New Roman"/>
          <w:b/>
          <w:lang w:val="en-US"/>
        </w:rPr>
        <w:t xml:space="preserve"> </w:t>
      </w:r>
      <w:r w:rsidR="00F4262F" w:rsidRPr="009239F8">
        <w:rPr>
          <w:rFonts w:ascii="Times New Roman" w:hAnsi="Times New Roman" w:cs="Times New Roman"/>
          <w:bCs/>
          <w:lang w:val="en-US"/>
        </w:rPr>
        <w:t>summarizes</w:t>
      </w:r>
      <w:r w:rsidR="00F4262F" w:rsidRPr="009239F8">
        <w:rPr>
          <w:rFonts w:ascii="Times New Roman" w:hAnsi="Times New Roman" w:cs="Times New Roman"/>
          <w:lang w:val="en-US"/>
        </w:rPr>
        <w:t xml:space="preserve"> the agreement between ECGI-derived and simulated epicardial </w:t>
      </w:r>
      <w:r w:rsidR="00F4262F" w:rsidRPr="009239F8">
        <w:rPr>
          <w:rFonts w:ascii="Times New Roman" w:hAnsi="Times New Roman" w:cs="Times New Roman"/>
          <w:bCs/>
          <w:lang w:val="en-US"/>
        </w:rPr>
        <w:t xml:space="preserve">dynamics for both </w:t>
      </w:r>
      <w:r w:rsidR="00F4262F" w:rsidRPr="009239F8">
        <w:rPr>
          <w:rFonts w:ascii="Times New Roman" w:hAnsi="Times New Roman" w:cs="Times New Roman"/>
          <w:lang w:val="en-US"/>
        </w:rPr>
        <w:t xml:space="preserve">activation </w:t>
      </w:r>
      <w:r w:rsidR="00F4262F" w:rsidRPr="009239F8">
        <w:rPr>
          <w:rFonts w:ascii="Times New Roman" w:hAnsi="Times New Roman" w:cs="Times New Roman"/>
          <w:bCs/>
          <w:lang w:val="en-US"/>
        </w:rPr>
        <w:t>(</w:t>
      </w:r>
      <w:r w:rsidRPr="009239F8">
        <w:rPr>
          <w:rFonts w:ascii="Times New Roman" w:hAnsi="Times New Roman" w:cs="Times New Roman"/>
          <w:b/>
          <w:lang w:val="en-US"/>
        </w:rPr>
        <w:fldChar w:fldCharType="begin"/>
      </w:r>
      <w:r w:rsidRPr="009239F8">
        <w:rPr>
          <w:rFonts w:ascii="Times New Roman" w:hAnsi="Times New Roman" w:cs="Times New Roman"/>
          <w:bCs/>
          <w:lang w:val="en-US"/>
        </w:rPr>
        <w:instrText xml:space="preserve"> REF _Ref232676489 \h </w:instrText>
      </w:r>
      <w:r w:rsidRPr="009239F8">
        <w:rPr>
          <w:rFonts w:ascii="Times New Roman" w:hAnsi="Times New Roman" w:cs="Times New Roman"/>
          <w:b/>
          <w:lang w:val="en-US"/>
        </w:rPr>
        <w:instrText xml:space="preserve"> \* MERGEFORMAT </w:instrText>
      </w:r>
      <w:r w:rsidRPr="009239F8">
        <w:rPr>
          <w:rFonts w:ascii="Times New Roman" w:hAnsi="Times New Roman" w:cs="Times New Roman"/>
          <w:b/>
          <w:lang w:val="en-US"/>
        </w:rPr>
      </w:r>
      <w:r w:rsidRPr="009239F8">
        <w:rPr>
          <w:rFonts w:ascii="Times New Roman" w:hAnsi="Times New Roman" w:cs="Times New Roman"/>
          <w:b/>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4</w:t>
      </w:r>
      <w:r w:rsidRPr="009239F8">
        <w:rPr>
          <w:rFonts w:ascii="Times New Roman" w:hAnsi="Times New Roman" w:cs="Times New Roman"/>
          <w:b/>
          <w:lang w:val="en-US"/>
        </w:rPr>
        <w:fldChar w:fldCharType="end"/>
      </w:r>
      <w:r w:rsidR="00F31FC2" w:rsidRPr="009239F8">
        <w:rPr>
          <w:rFonts w:ascii="Times New Roman" w:hAnsi="Times New Roman" w:cs="Times New Roman"/>
          <w:b/>
          <w:lang w:val="en-US"/>
        </w:rPr>
        <w:t>a, c</w:t>
      </w:r>
      <w:r w:rsidR="00F4262F" w:rsidRPr="009239F8">
        <w:rPr>
          <w:rFonts w:ascii="Times New Roman" w:hAnsi="Times New Roman" w:cs="Times New Roman"/>
          <w:bCs/>
          <w:lang w:val="en-US"/>
        </w:rPr>
        <w:t xml:space="preserve">) </w:t>
      </w:r>
      <w:r w:rsidR="00F4262F" w:rsidRPr="009239F8">
        <w:rPr>
          <w:rFonts w:ascii="Times New Roman" w:hAnsi="Times New Roman" w:cs="Times New Roman"/>
          <w:lang w:val="en-US"/>
        </w:rPr>
        <w:t xml:space="preserve">and repolarization </w:t>
      </w:r>
      <w:r w:rsidR="00F4262F" w:rsidRPr="009239F8">
        <w:rPr>
          <w:rFonts w:ascii="Times New Roman" w:hAnsi="Times New Roman" w:cs="Times New Roman"/>
          <w:bCs/>
          <w:lang w:val="en-US"/>
        </w:rPr>
        <w:t>(</w:t>
      </w:r>
      <w:r w:rsidR="00F31FC2" w:rsidRPr="009239F8">
        <w:rPr>
          <w:rFonts w:ascii="Times New Roman" w:hAnsi="Times New Roman" w:cs="Times New Roman"/>
          <w:b/>
          <w:lang w:val="en-US"/>
        </w:rPr>
        <w:fldChar w:fldCharType="begin"/>
      </w:r>
      <w:r w:rsidR="00F31FC2" w:rsidRPr="009239F8">
        <w:rPr>
          <w:rFonts w:ascii="Times New Roman" w:hAnsi="Times New Roman" w:cs="Times New Roman"/>
          <w:bCs/>
          <w:lang w:val="en-US"/>
        </w:rPr>
        <w:instrText xml:space="preserve"> REF _Ref232676489 \h </w:instrText>
      </w:r>
      <w:r w:rsidR="00F31FC2" w:rsidRPr="009239F8">
        <w:rPr>
          <w:rFonts w:ascii="Times New Roman" w:hAnsi="Times New Roman" w:cs="Times New Roman"/>
          <w:b/>
          <w:lang w:val="en-US"/>
        </w:rPr>
        <w:instrText xml:space="preserve"> \* MERGEFORMAT </w:instrText>
      </w:r>
      <w:r w:rsidR="00F31FC2" w:rsidRPr="009239F8">
        <w:rPr>
          <w:rFonts w:ascii="Times New Roman" w:hAnsi="Times New Roman" w:cs="Times New Roman"/>
          <w:b/>
          <w:lang w:val="en-US"/>
        </w:rPr>
      </w:r>
      <w:r w:rsidR="00F31FC2" w:rsidRPr="009239F8">
        <w:rPr>
          <w:rFonts w:ascii="Times New Roman" w:hAnsi="Times New Roman" w:cs="Times New Roman"/>
          <w:b/>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4</w:t>
      </w:r>
      <w:r w:rsidR="00F31FC2" w:rsidRPr="009239F8">
        <w:rPr>
          <w:rFonts w:ascii="Times New Roman" w:hAnsi="Times New Roman" w:cs="Times New Roman"/>
          <w:b/>
          <w:lang w:val="en-US"/>
        </w:rPr>
        <w:fldChar w:fldCharType="end"/>
      </w:r>
      <w:r w:rsidR="00F31FC2" w:rsidRPr="009239F8">
        <w:rPr>
          <w:rFonts w:ascii="Times New Roman" w:hAnsi="Times New Roman" w:cs="Times New Roman"/>
          <w:b/>
          <w:lang w:val="en-US"/>
        </w:rPr>
        <w:t>b, d</w:t>
      </w:r>
      <w:r w:rsidR="00F4262F" w:rsidRPr="009239F8">
        <w:rPr>
          <w:rFonts w:ascii="Times New Roman" w:hAnsi="Times New Roman" w:cs="Times New Roman"/>
          <w:bCs/>
          <w:lang w:val="en-US"/>
        </w:rPr>
        <w:t xml:space="preserve">). Panels (a) and (b) report the CDF of activated and repolarized tissue against normalized time: the solid line represents the mean ECGI CDF, used as a temporal anchor, while the shaded region encodes the interquartile range of the paired percentile differences between </w:t>
      </w:r>
      <w:r w:rsidR="00F4262F" w:rsidRPr="009239F8">
        <w:rPr>
          <w:rFonts w:ascii="Times New Roman" w:hAnsi="Times New Roman" w:cs="Times New Roman"/>
          <w:bCs/>
          <w:i/>
          <w:iCs/>
          <w:lang w:val="en-US"/>
        </w:rPr>
        <w:t>in silico</w:t>
      </w:r>
      <w:r w:rsidR="00F4262F" w:rsidRPr="009239F8">
        <w:rPr>
          <w:rFonts w:ascii="Times New Roman" w:hAnsi="Times New Roman" w:cs="Times New Roman"/>
          <w:bCs/>
          <w:lang w:val="en-US"/>
        </w:rPr>
        <w:t xml:space="preserve"> and ECGI CDFs. Panels (c) and (d) display point-to-point mean absolute AT and RT errors on a 2D projection of the mean </w:t>
      </w:r>
      <w:r w:rsidR="00F47E16" w:rsidRPr="009239F8">
        <w:rPr>
          <w:rFonts w:ascii="Times New Roman" w:hAnsi="Times New Roman" w:cs="Times New Roman"/>
          <w:bCs/>
          <w:lang w:val="en-US"/>
        </w:rPr>
        <w:t>eHTN</w:t>
      </w:r>
      <w:r w:rsidR="00F4262F" w:rsidRPr="009239F8">
        <w:rPr>
          <w:rFonts w:ascii="Times New Roman" w:hAnsi="Times New Roman" w:cs="Times New Roman"/>
          <w:bCs/>
          <w:lang w:val="en-US"/>
        </w:rPr>
        <w:t xml:space="preserve"> anatomy derived from the mean </w:t>
      </w:r>
      <w:r w:rsidR="00F47E16" w:rsidRPr="009239F8">
        <w:rPr>
          <w:rFonts w:ascii="Times New Roman" w:hAnsi="Times New Roman" w:cs="Times New Roman"/>
          <w:bCs/>
          <w:lang w:val="en-US"/>
        </w:rPr>
        <w:t xml:space="preserve">eHTN </w:t>
      </w:r>
      <w:r w:rsidR="00F4262F" w:rsidRPr="009239F8">
        <w:rPr>
          <w:rFonts w:ascii="Times New Roman" w:hAnsi="Times New Roman" w:cs="Times New Roman"/>
          <w:bCs/>
          <w:lang w:val="en-US"/>
        </w:rPr>
        <w:t xml:space="preserve">cohort. </w:t>
      </w:r>
    </w:p>
    <w:p w14:paraId="3863C821" w14:textId="0FF2A0AA" w:rsidR="00E52CB7" w:rsidRPr="009239F8" w:rsidRDefault="00DA3FFA"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 xml:space="preserve">Activation CDFs showed close agreement between </w:t>
      </w:r>
      <w:r w:rsidRPr="009239F8">
        <w:rPr>
          <w:rFonts w:ascii="Times New Roman" w:hAnsi="Times New Roman" w:cs="Times New Roman"/>
          <w:bCs/>
          <w:i/>
          <w:iCs/>
          <w:lang w:val="en-US"/>
        </w:rPr>
        <w:t>in silico</w:t>
      </w:r>
      <w:r w:rsidRPr="009239F8">
        <w:rPr>
          <w:rFonts w:ascii="Times New Roman" w:hAnsi="Times New Roman" w:cs="Times New Roman"/>
          <w:bCs/>
          <w:lang w:val="en-US"/>
        </w:rPr>
        <w:t xml:space="preserve"> and ECGI curves, with a narrow and stable interquartile range throughout the sequence. Spatially, </w:t>
      </w:r>
      <w:r w:rsidR="00376EFF" w:rsidRPr="009239F8">
        <w:rPr>
          <w:rFonts w:ascii="Times New Roman" w:hAnsi="Times New Roman" w:cs="Times New Roman"/>
          <w:bCs/>
          <w:lang w:val="en-US"/>
        </w:rPr>
        <w:t xml:space="preserve">activation errors were not uniformly distributed: RV activation tended to occur earlier in the ECGI than in the </w:t>
      </w:r>
      <w:r w:rsidR="00376EFF" w:rsidRPr="009239F8">
        <w:rPr>
          <w:rFonts w:ascii="Times New Roman" w:hAnsi="Times New Roman" w:cs="Times New Roman"/>
          <w:bCs/>
          <w:i/>
          <w:iCs/>
          <w:lang w:val="en-US"/>
        </w:rPr>
        <w:t>in silico</w:t>
      </w:r>
      <w:r w:rsidR="00376EFF" w:rsidRPr="009239F8">
        <w:rPr>
          <w:rFonts w:ascii="Times New Roman" w:hAnsi="Times New Roman" w:cs="Times New Roman"/>
          <w:bCs/>
          <w:lang w:val="en-US"/>
        </w:rPr>
        <w:t xml:space="preserve"> estimates, while the LV–RV insertion showed delayed activation, and the anterior LV wall exhibited a heterogeneous trend toward earlier activation. These regional patterns are consistent with known limitations of ECGI in resolving septal and basal activation.</w:t>
      </w:r>
    </w:p>
    <w:p w14:paraId="1FE68419" w14:textId="1DFFB573" w:rsidR="007B5C6C" w:rsidRPr="009239F8" w:rsidRDefault="00FF509A"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 xml:space="preserve">Repolarization CDFs similarly showed close agreement, </w:t>
      </w:r>
      <w:r w:rsidR="001A0CF3" w:rsidRPr="009239F8">
        <w:rPr>
          <w:rFonts w:ascii="Times New Roman" w:hAnsi="Times New Roman" w:cs="Times New Roman"/>
          <w:bCs/>
          <w:lang w:val="en-US"/>
        </w:rPr>
        <w:t xml:space="preserve">with a slight tendency for </w:t>
      </w:r>
      <w:r w:rsidR="001A0CF3" w:rsidRPr="009239F8">
        <w:rPr>
          <w:rFonts w:ascii="Times New Roman" w:hAnsi="Times New Roman" w:cs="Times New Roman"/>
          <w:bCs/>
          <w:i/>
          <w:iCs/>
          <w:lang w:val="en-US"/>
        </w:rPr>
        <w:t>in silico</w:t>
      </w:r>
      <w:r w:rsidR="001A0CF3" w:rsidRPr="009239F8">
        <w:rPr>
          <w:rFonts w:ascii="Times New Roman" w:hAnsi="Times New Roman" w:cs="Times New Roman"/>
          <w:bCs/>
          <w:lang w:val="en-US"/>
        </w:rPr>
        <w:t xml:space="preserve"> repolarization to precede ECGI repolarization toward the end of the sequence</w:t>
      </w:r>
      <w:r w:rsidRPr="009239F8">
        <w:rPr>
          <w:rFonts w:ascii="Times New Roman" w:hAnsi="Times New Roman" w:cs="Times New Roman"/>
          <w:bCs/>
          <w:lang w:val="en-US"/>
        </w:rPr>
        <w:t>.</w:t>
      </w:r>
      <w:r w:rsidR="00D557E8" w:rsidRPr="009239F8">
        <w:rPr>
          <w:rFonts w:ascii="Times New Roman" w:hAnsi="Times New Roman" w:cs="Times New Roman"/>
          <w:bCs/>
          <w:lang w:val="en-US"/>
        </w:rPr>
        <w:t xml:space="preserve"> </w:t>
      </w:r>
      <w:r w:rsidR="002C6CD0" w:rsidRPr="009239F8">
        <w:rPr>
          <w:rFonts w:ascii="Times New Roman" w:hAnsi="Times New Roman" w:cs="Times New Roman"/>
          <w:bCs/>
          <w:lang w:val="en-US"/>
        </w:rPr>
        <w:t xml:space="preserve">However, </w:t>
      </w:r>
      <w:r w:rsidR="00B554DC" w:rsidRPr="009239F8">
        <w:rPr>
          <w:rFonts w:ascii="Times New Roman" w:hAnsi="Times New Roman" w:cs="Times New Roman"/>
          <w:bCs/>
          <w:lang w:val="en-US"/>
        </w:rPr>
        <w:t xml:space="preserve">point-to-point errors revealed that repolarization times were longer in the </w:t>
      </w:r>
      <w:r w:rsidR="00B554DC" w:rsidRPr="009239F8">
        <w:rPr>
          <w:rFonts w:ascii="Times New Roman" w:hAnsi="Times New Roman" w:cs="Times New Roman"/>
          <w:bCs/>
          <w:i/>
          <w:iCs/>
          <w:lang w:val="en-US"/>
        </w:rPr>
        <w:t>in silico</w:t>
      </w:r>
      <w:r w:rsidR="00B554DC" w:rsidRPr="009239F8">
        <w:rPr>
          <w:rFonts w:ascii="Times New Roman" w:hAnsi="Times New Roman" w:cs="Times New Roman"/>
          <w:bCs/>
          <w:lang w:val="en-US"/>
        </w:rPr>
        <w:t xml:space="preserve"> estimates than in the ECGI across most of the epicardial surface, with the exception of localized regions where the direction revers</w:t>
      </w:r>
      <w:r w:rsidR="007F6477" w:rsidRPr="009239F8">
        <w:rPr>
          <w:rFonts w:ascii="Times New Roman" w:hAnsi="Times New Roman" w:cs="Times New Roman"/>
          <w:bCs/>
          <w:lang w:val="en-US"/>
        </w:rPr>
        <w:t>es</w:t>
      </w:r>
      <w:r w:rsidRPr="009239F8">
        <w:rPr>
          <w:rFonts w:ascii="Times New Roman" w:hAnsi="Times New Roman" w:cs="Times New Roman"/>
          <w:bCs/>
          <w:lang w:val="en-US"/>
        </w:rPr>
        <w:t>.</w:t>
      </w:r>
      <w:r w:rsidR="00DA3FFA" w:rsidRPr="009239F8">
        <w:rPr>
          <w:rFonts w:ascii="Times New Roman" w:hAnsi="Times New Roman" w:cs="Times New Roman"/>
          <w:bCs/>
          <w:lang w:val="en-US"/>
        </w:rPr>
        <w:t xml:space="preserve"> Mean AT-RMSE and RT-RMSE were 12.5 ± 3.2 ms and 15.9 ± 3.6 ms, respectively, neither differing significantly from the healthy cohort values (both </w:t>
      </w:r>
      <w:r w:rsidR="00DA3FFA" w:rsidRPr="009239F8">
        <w:rPr>
          <w:rFonts w:ascii="Times New Roman" w:hAnsi="Times New Roman" w:cs="Times New Roman"/>
          <w:bCs/>
          <w:i/>
          <w:iCs/>
          <w:lang w:val="en-US"/>
        </w:rPr>
        <w:t>p</w:t>
      </w:r>
      <w:r w:rsidR="00DA3FFA" w:rsidRPr="009239F8">
        <w:rPr>
          <w:rFonts w:ascii="Times New Roman" w:hAnsi="Times New Roman" w:cs="Times New Roman"/>
          <w:bCs/>
          <w:lang w:val="en-US"/>
        </w:rPr>
        <w:t xml:space="preserve"> &gt; 0.05)</w:t>
      </w:r>
      <w:r w:rsidR="004E7818" w:rsidRPr="009239F8">
        <w:rPr>
          <w:rFonts w:ascii="Times New Roman" w:hAnsi="Times New Roman" w:cs="Times New Roman"/>
          <w:bCs/>
          <w:lang w:val="en-US"/>
        </w:rPr>
        <w:t>.</w:t>
      </w:r>
    </w:p>
    <w:p w14:paraId="435C8010" w14:textId="4140A496" w:rsidR="008C58B5" w:rsidRPr="009239F8" w:rsidRDefault="004C095B" w:rsidP="009A5B48">
      <w:pPr>
        <w:spacing w:line="480" w:lineRule="auto"/>
        <w:rPr>
          <w:rFonts w:ascii="Times New Roman" w:hAnsi="Times New Roman" w:cs="Times New Roman"/>
          <w:lang w:val="en-US"/>
        </w:rPr>
      </w:pPr>
      <w:r w:rsidRPr="009239F8">
        <w:rPr>
          <w:rFonts w:ascii="Times New Roman" w:hAnsi="Times New Roman" w:cs="Times New Roman"/>
          <w:noProof/>
          <w:lang w:val="en-US"/>
        </w:rPr>
        <mc:AlternateContent>
          <mc:Choice Requires="wps">
            <w:drawing>
              <wp:anchor distT="0" distB="0" distL="114300" distR="114300" simplePos="0" relativeHeight="251658244" behindDoc="0" locked="0" layoutInCell="1" allowOverlap="1" wp14:anchorId="102D306D" wp14:editId="49CB22DE">
                <wp:simplePos x="0" y="0"/>
                <wp:positionH relativeFrom="column">
                  <wp:posOffset>11798</wp:posOffset>
                </wp:positionH>
                <wp:positionV relativeFrom="paragraph">
                  <wp:posOffset>4548174</wp:posOffset>
                </wp:positionV>
                <wp:extent cx="5731510" cy="635"/>
                <wp:effectExtent l="0" t="0" r="0" b="0"/>
                <wp:wrapTopAndBottom/>
                <wp:docPr id="834369620"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1F183090" w14:textId="3CBAE65D" w:rsidR="00D2674D" w:rsidRPr="00CB0BB7" w:rsidRDefault="00D2674D" w:rsidP="00D2674D">
                            <w:pPr>
                              <w:pStyle w:val="Caption"/>
                              <w:jc w:val="both"/>
                              <w:rPr>
                                <w:rFonts w:cs="Times New Roman"/>
                                <w:sz w:val="22"/>
                                <w:szCs w:val="22"/>
                                <w:lang w:val="en-US"/>
                              </w:rPr>
                            </w:pPr>
                            <w:bookmarkStart w:id="8" w:name="_Ref232676489"/>
                            <w:r w:rsidRPr="00CB0BB7">
                              <w:rPr>
                                <w:rFonts w:cs="Times New Roman"/>
                                <w:b/>
                              </w:rPr>
                              <w:t xml:space="preserve">Figure S </w:t>
                            </w:r>
                            <w:r w:rsidRPr="00CB0BB7">
                              <w:rPr>
                                <w:rFonts w:cs="Times New Roman"/>
                                <w:b/>
                              </w:rPr>
                              <w:fldChar w:fldCharType="begin"/>
                            </w:r>
                            <w:r w:rsidRPr="00CB0BB7">
                              <w:rPr>
                                <w:rFonts w:cs="Times New Roman"/>
                                <w:b/>
                              </w:rPr>
                              <w:instrText xml:space="preserve"> SEQ Figure_S \* ARABIC </w:instrText>
                            </w:r>
                            <w:r w:rsidRPr="00CB0BB7">
                              <w:rPr>
                                <w:rFonts w:cs="Times New Roman"/>
                                <w:b/>
                              </w:rPr>
                              <w:fldChar w:fldCharType="separate"/>
                            </w:r>
                            <w:r w:rsidR="00BE10AD" w:rsidRPr="00CB0BB7">
                              <w:rPr>
                                <w:rFonts w:cs="Times New Roman"/>
                                <w:b/>
                              </w:rPr>
                              <w:t>4</w:t>
                            </w:r>
                            <w:r w:rsidRPr="00CB0BB7">
                              <w:rPr>
                                <w:rFonts w:cs="Times New Roman"/>
                                <w:b/>
                              </w:rPr>
                              <w:fldChar w:fldCharType="end"/>
                            </w:r>
                            <w:bookmarkEnd w:id="8"/>
                            <w:r w:rsidRPr="00CB0BB7">
                              <w:rPr>
                                <w:rFonts w:cs="Times New Roman"/>
                                <w:b/>
                              </w:rPr>
                              <w:t>.</w:t>
                            </w:r>
                            <w:r w:rsidRPr="00CB0BB7">
                              <w:rPr>
                                <w:rFonts w:cs="Times New Roman"/>
                              </w:rPr>
                              <w:t xml:space="preserve"> </w:t>
                            </w:r>
                            <w:r w:rsidRPr="00CB0BB7">
                              <w:rPr>
                                <w:rFonts w:cs="Times New Roman"/>
                                <w:b/>
                              </w:rPr>
                              <w:t xml:space="preserve">Replication of in vivo epicardial dynamics by personalized Digital Twins across the MyoFit46 cohort. </w:t>
                            </w:r>
                            <w:r w:rsidRPr="00CB0BB7">
                              <w:rPr>
                                <w:rFonts w:cs="Times New Roman"/>
                              </w:rPr>
                              <w:t>Agreement between electrocardiographic imaging (ECGI)-derived and in silico</w:t>
                            </w:r>
                            <w:r w:rsidRPr="00CB0BB7">
                              <w:rPr>
                                <w:rFonts w:cs="Times New Roman"/>
                                <w:b/>
                              </w:rPr>
                              <w:t xml:space="preserve"> </w:t>
                            </w:r>
                            <w:r w:rsidRPr="00CB0BB7">
                              <w:rPr>
                                <w:rFonts w:cs="Times New Roman"/>
                              </w:rPr>
                              <w:t xml:space="preserve">epicardial (a, c) activation and (b, d) repolarization dynamics across the </w:t>
                            </w:r>
                            <w:r w:rsidR="00D917F1" w:rsidRPr="00CB0BB7">
                              <w:rPr>
                                <w:rFonts w:cs="Times New Roman"/>
                              </w:rPr>
                              <w:t>eHTN</w:t>
                            </w:r>
                            <w:r w:rsidRPr="00CB0BB7">
                              <w:rPr>
                                <w:rFonts w:cs="Times New Roman"/>
                              </w:rPr>
                              <w:t xml:space="preserve"> MyoFit46 cohort. For both phases, panels are displayed from top to bottom: (a, b) the normalized mean ECGI cumulative distribution function (CDF) of activated and repolarized tissue, with shading indicating the interquartile range (IQR) of subject-specific discrepancies (in silico CDF minus ECGI CDF); (c, d) a flattened epicardial representation of the mean </w:t>
                            </w:r>
                            <w:r w:rsidR="00D409E6" w:rsidRPr="00CB0BB7">
                              <w:rPr>
                                <w:rFonts w:cs="Times New Roman"/>
                              </w:rPr>
                              <w:t>eHTN</w:t>
                            </w:r>
                            <w:r w:rsidRPr="00CB0BB7">
                              <w:rPr>
                                <w:rFonts w:cs="Times New Roman"/>
                              </w:rPr>
                              <w:t xml:space="preserve"> anatomy showing the point-to-point mean absolute error (in silico – ECGI) across the 47 participants, </w:t>
                            </w:r>
                            <w:r w:rsidRPr="00CB0BB7">
                              <w:rPr>
                                <w:rFonts w:cs="Times New Roman"/>
                                <w:lang w:val="en-US"/>
                              </w:rPr>
                              <w:t>Δ</w:t>
                            </w:r>
                            <w:r w:rsidRPr="00CB0BB7">
                              <w:rPr>
                                <w:rFonts w:cs="Times New Roman"/>
                              </w:rPr>
                              <w:t>AT for activation</w:t>
                            </w:r>
                            <w:r w:rsidR="00B21EF8" w:rsidRPr="00CB0BB7">
                              <w:rPr>
                                <w:rFonts w:cs="Times New Roman"/>
                              </w:rPr>
                              <w:t xml:space="preserve"> times (AT)</w:t>
                            </w:r>
                            <w:r w:rsidRPr="00CB0BB7">
                              <w:rPr>
                                <w:rFonts w:cs="Times New Roman"/>
                              </w:rPr>
                              <w:t xml:space="preserve"> and </w:t>
                            </w:r>
                            <w:r w:rsidRPr="00CB0BB7">
                              <w:rPr>
                                <w:rFonts w:cs="Times New Roman"/>
                                <w:lang w:val="en-US"/>
                              </w:rPr>
                              <w:t>Δ</w:t>
                            </w:r>
                            <w:r w:rsidRPr="00CB0BB7">
                              <w:rPr>
                                <w:rFonts w:cs="Times New Roman"/>
                              </w:rPr>
                              <w:t>RT for repolarization</w:t>
                            </w:r>
                            <w:r w:rsidR="00B21EF8" w:rsidRPr="00CB0BB7">
                              <w:rPr>
                                <w:rFonts w:cs="Times New Roman"/>
                              </w:rPr>
                              <w:t xml:space="preserve"> times (RT)</w:t>
                            </w:r>
                            <w:r w:rsidRPr="00CB0BB7">
                              <w:rPr>
                                <w:rFonts w:cs="Times New Roman"/>
                              </w:rPr>
                              <w:t>. The anatomical orientation of the flattened representation is indicated by the inset schematic, where RV and LV denote the right and left ventricles and A and I denote the anterior and inferior regions,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02D306D" id="_x0000_t202" coordsize="21600,21600" o:spt="202" path="m,l,21600r21600,l21600,xe">
                <v:stroke joinstyle="miter"/>
                <v:path gradientshapeok="t" o:connecttype="rect"/>
              </v:shapetype>
              <v:shape id="Text Box 1" o:spid="_x0000_s1026" type="#_x0000_t202" style="position:absolute;margin-left:.95pt;margin-top:358.1pt;width:451.3pt;height:.0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" stroked="f">
                <v:textbox style="mso-fit-shape-to-text:t" inset="0,0,0,0">
                  <w:txbxContent>
                    <w:p w14:paraId="1F183090" w14:textId="3CBAE65D" w:rsidR="00D2674D" w:rsidRPr="00CB0BB7" w:rsidRDefault="00D2674D" w:rsidP="00D2674D">
                      <w:pPr>
                        <w:pStyle w:val="Caption"/>
                        <w:jc w:val="both"/>
                        <w:rPr>
                          <w:rFonts w:cs="Times New Roman"/>
                          <w:sz w:val="22"/>
                          <w:szCs w:val="22"/>
                          <w:lang w:val="en-US"/>
                        </w:rPr>
                      </w:pPr>
                      <w:bookmarkStart w:id="11" w:name="_Ref232676489"/>
                      <w:r w:rsidRPr="00CB0BB7">
                        <w:rPr>
                          <w:rFonts w:cs="Times New Roman"/>
                          <w:b/>
                        </w:rPr>
                        <w:t xml:space="preserve">Figure S </w:t>
                      </w:r>
                      <w:r w:rsidRPr="00CB0BB7">
                        <w:rPr>
                          <w:rFonts w:cs="Times New Roman"/>
                          <w:b/>
                        </w:rPr>
                        <w:fldChar w:fldCharType="begin"/>
                      </w:r>
                      <w:r w:rsidRPr="00CB0BB7">
                        <w:rPr>
                          <w:rFonts w:cs="Times New Roman"/>
                          <w:b/>
                        </w:rPr>
                        <w:instrText xml:space="preserve"> SEQ Figure_S \* ARABIC </w:instrText>
                      </w:r>
                      <w:r w:rsidRPr="00CB0BB7">
                        <w:rPr>
                          <w:rFonts w:cs="Times New Roman"/>
                          <w:b/>
                        </w:rPr>
                        <w:fldChar w:fldCharType="separate"/>
                      </w:r>
                      <w:r w:rsidR="00BE10AD" w:rsidRPr="00CB0BB7">
                        <w:rPr>
                          <w:rFonts w:cs="Times New Roman"/>
                          <w:b/>
                        </w:rPr>
                        <w:t>4</w:t>
                      </w:r>
                      <w:r w:rsidRPr="00CB0BB7">
                        <w:rPr>
                          <w:rFonts w:cs="Times New Roman"/>
                          <w:b/>
                        </w:rPr>
                        <w:fldChar w:fldCharType="end"/>
                      </w:r>
                      <w:bookmarkEnd w:id="11"/>
                      <w:r w:rsidRPr="00CB0BB7">
                        <w:rPr>
                          <w:rFonts w:cs="Times New Roman"/>
                          <w:b/>
                        </w:rPr>
                        <w:t>.</w:t>
                      </w:r>
                      <w:r w:rsidRPr="00CB0BB7">
                        <w:rPr>
                          <w:rFonts w:cs="Times New Roman"/>
                        </w:rPr>
                        <w:t xml:space="preserve"> </w:t>
                      </w:r>
                      <w:r w:rsidRPr="00CB0BB7">
                        <w:rPr>
                          <w:rFonts w:cs="Times New Roman"/>
                          <w:b/>
                        </w:rPr>
                        <w:t xml:space="preserve">Replication of in vivo epicardial dynamics by personalized Digital Twins across the MyoFit46 cohort. </w:t>
                      </w:r>
                      <w:r w:rsidRPr="00CB0BB7">
                        <w:rPr>
                          <w:rFonts w:cs="Times New Roman"/>
                        </w:rPr>
                        <w:t>Agreement between electrocardiographic imaging (ECGI)-derived and in silico</w:t>
                      </w:r>
                      <w:r w:rsidRPr="00CB0BB7">
                        <w:rPr>
                          <w:rFonts w:cs="Times New Roman"/>
                          <w:b/>
                        </w:rPr>
                        <w:t xml:space="preserve"> </w:t>
                      </w:r>
                      <w:r w:rsidRPr="00CB0BB7">
                        <w:rPr>
                          <w:rFonts w:cs="Times New Roman"/>
                        </w:rPr>
                        <w:t xml:space="preserve">epicardial (a, c) activation and (b, d) repolarization dynamics across the </w:t>
                      </w:r>
                      <w:r w:rsidR="00D917F1" w:rsidRPr="00CB0BB7">
                        <w:rPr>
                          <w:rFonts w:cs="Times New Roman"/>
                        </w:rPr>
                        <w:t>eHTN</w:t>
                      </w:r>
                      <w:r w:rsidRPr="00CB0BB7">
                        <w:rPr>
                          <w:rFonts w:cs="Times New Roman"/>
                        </w:rPr>
                        <w:t xml:space="preserve"> MyoFit46 cohort. For both phases, panels are displayed from top to bottom: (a, b) the normalized mean ECGI cumulative distribution function (CDF) of activated and repolarized tissue, with shading indicating the interquartile range (IQR) of subject-specific discrepancies (in silico CDF minus ECGI CDF); (c, d) a flattened epicardial representation of the mean </w:t>
                      </w:r>
                      <w:r w:rsidR="00D409E6" w:rsidRPr="00CB0BB7">
                        <w:rPr>
                          <w:rFonts w:cs="Times New Roman"/>
                        </w:rPr>
                        <w:t>eHTN</w:t>
                      </w:r>
                      <w:r w:rsidRPr="00CB0BB7">
                        <w:rPr>
                          <w:rFonts w:cs="Times New Roman"/>
                        </w:rPr>
                        <w:t xml:space="preserve"> anatomy showing the point-to-point mean absolute error (in silico – ECGI) across the 47 participants, </w:t>
                      </w:r>
                      <w:r w:rsidRPr="00CB0BB7">
                        <w:rPr>
                          <w:rFonts w:cs="Times New Roman"/>
                          <w:lang w:val="en-US"/>
                        </w:rPr>
                        <w:t>Δ</w:t>
                      </w:r>
                      <w:r w:rsidRPr="00CB0BB7">
                        <w:rPr>
                          <w:rFonts w:cs="Times New Roman"/>
                        </w:rPr>
                        <w:t>AT for activation</w:t>
                      </w:r>
                      <w:r w:rsidR="00B21EF8" w:rsidRPr="00CB0BB7">
                        <w:rPr>
                          <w:rFonts w:cs="Times New Roman"/>
                        </w:rPr>
                        <w:t xml:space="preserve"> times (AT)</w:t>
                      </w:r>
                      <w:r w:rsidRPr="00CB0BB7">
                        <w:rPr>
                          <w:rFonts w:cs="Times New Roman"/>
                        </w:rPr>
                        <w:t xml:space="preserve"> and </w:t>
                      </w:r>
                      <w:r w:rsidRPr="00CB0BB7">
                        <w:rPr>
                          <w:rFonts w:cs="Times New Roman"/>
                          <w:lang w:val="en-US"/>
                        </w:rPr>
                        <w:t>Δ</w:t>
                      </w:r>
                      <w:r w:rsidRPr="00CB0BB7">
                        <w:rPr>
                          <w:rFonts w:cs="Times New Roman"/>
                        </w:rPr>
                        <w:t>RT for repolarization</w:t>
                      </w:r>
                      <w:r w:rsidR="00B21EF8" w:rsidRPr="00CB0BB7">
                        <w:rPr>
                          <w:rFonts w:cs="Times New Roman"/>
                        </w:rPr>
                        <w:t xml:space="preserve"> times (RT)</w:t>
                      </w:r>
                      <w:r w:rsidRPr="00CB0BB7">
                        <w:rPr>
                          <w:rFonts w:cs="Times New Roman"/>
                        </w:rPr>
                        <w:t>. The anatomical orientation of the flattened representation is indicated by the inset schematic, where RV and LV denote the right and left ventricles and A and I denote the anterior and inferior regions, respectively.</w:t>
                      </w:r>
                    </w:p>
                  </w:txbxContent>
                </v:textbox>
                <w10:wrap type="topAndBottom"/>
              </v:shape>
            </w:pict>
          </mc:Fallback>
        </mc:AlternateContent>
      </w:r>
      <w:r w:rsidRPr="009239F8">
        <w:rPr>
          <w:rFonts w:ascii="Times New Roman" w:hAnsi="Times New Roman" w:cs="Times New Roman"/>
          <w:noProof/>
          <w:lang w:val="en-US"/>
        </w:rPr>
        <w:drawing>
          <wp:anchor distT="0" distB="0" distL="114300" distR="114300" simplePos="0" relativeHeight="251658243" behindDoc="0" locked="0" layoutInCell="1" allowOverlap="1" wp14:anchorId="2726D9AF" wp14:editId="2B775462">
            <wp:simplePos x="0" y="0"/>
            <wp:positionH relativeFrom="margin">
              <wp:align>right</wp:align>
            </wp:positionH>
            <wp:positionV relativeFrom="paragraph">
              <wp:posOffset>130810</wp:posOffset>
            </wp:positionV>
            <wp:extent cx="5731510" cy="4145915"/>
            <wp:effectExtent l="0" t="0" r="2540" b="6985"/>
            <wp:wrapTopAndBottom/>
            <wp:docPr id="15650855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085559"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145915"/>
                    </a:xfrm>
                    <a:prstGeom prst="rect">
                      <a:avLst/>
                    </a:prstGeom>
                  </pic:spPr>
                </pic:pic>
              </a:graphicData>
            </a:graphic>
            <wp14:sizeRelV relativeFrom="margin">
              <wp14:pctHeight>0</wp14:pctHeight>
            </wp14:sizeRelV>
          </wp:anchor>
        </w:drawing>
      </w:r>
    </w:p>
    <w:p w14:paraId="2282D4DF" w14:textId="2021E809" w:rsidR="00D2674D" w:rsidRPr="009239F8" w:rsidRDefault="00D2674D" w:rsidP="009A5B48">
      <w:pPr>
        <w:spacing w:line="480" w:lineRule="auto"/>
        <w:rPr>
          <w:rFonts w:ascii="Times New Roman" w:hAnsi="Times New Roman" w:cs="Times New Roman"/>
          <w:lang w:val="en-US"/>
        </w:rPr>
      </w:pPr>
    </w:p>
    <w:p w14:paraId="785876C5" w14:textId="5B4A90F5" w:rsidR="00B5442B" w:rsidRPr="009239F8" w:rsidRDefault="00DC277E"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w:t>
      </w:r>
      <w:r w:rsidR="00573875" w:rsidRPr="009239F8">
        <w:rPr>
          <w:rFonts w:ascii="Times New Roman" w:hAnsi="Times New Roman" w:cs="Times New Roman"/>
          <w:color w:val="auto"/>
          <w:lang w:val="en-US"/>
        </w:rPr>
        <w:t>7</w:t>
      </w:r>
      <w:r w:rsidRPr="009239F8">
        <w:rPr>
          <w:rFonts w:ascii="Times New Roman" w:hAnsi="Times New Roman" w:cs="Times New Roman"/>
          <w:color w:val="auto"/>
          <w:lang w:val="en-US"/>
        </w:rPr>
        <w:t xml:space="preserve">: </w:t>
      </w:r>
      <w:r w:rsidR="00573875" w:rsidRPr="009239F8">
        <w:rPr>
          <w:rFonts w:ascii="Times New Roman" w:hAnsi="Times New Roman" w:cs="Times New Roman"/>
          <w:color w:val="auto"/>
          <w:lang w:val="en-US"/>
        </w:rPr>
        <w:t>Digital Twin Atlas of eHTN aging</w:t>
      </w:r>
    </w:p>
    <w:p w14:paraId="7750C1DB" w14:textId="797DF7BD" w:rsidR="00B62B74" w:rsidRPr="009239F8" w:rsidRDefault="00B62B74" w:rsidP="009A5B48">
      <w:pPr>
        <w:pStyle w:val="Heading3"/>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S7.1: Activation sequence</w:t>
      </w:r>
    </w:p>
    <w:p w14:paraId="3A43FE78" w14:textId="7DE9CF86" w:rsidR="006E7D88" w:rsidRPr="009239F8" w:rsidRDefault="00AB48D6" w:rsidP="009A5B48">
      <w:pPr>
        <w:spacing w:line="480" w:lineRule="auto"/>
        <w:jc w:val="both"/>
        <w:rPr>
          <w:rFonts w:ascii="Times New Roman" w:hAnsi="Times New Roman" w:cs="Times New Roman"/>
          <w:lang w:val="en-US"/>
        </w:rPr>
      </w:pPr>
      <w:r w:rsidRPr="009239F8">
        <w:rPr>
          <w:rFonts w:ascii="Times New Roman" w:hAnsi="Times New Roman" w:cs="Times New Roman"/>
          <w:noProof/>
          <w:lang w:val="en-US"/>
        </w:rPr>
        <w:drawing>
          <wp:anchor distT="0" distB="0" distL="114300" distR="114300" simplePos="0" relativeHeight="251658254" behindDoc="0" locked="0" layoutInCell="1" allowOverlap="1" wp14:anchorId="41B4DB73" wp14:editId="264AA6C6">
            <wp:simplePos x="0" y="0"/>
            <wp:positionH relativeFrom="margin">
              <wp:posOffset>68580</wp:posOffset>
            </wp:positionH>
            <wp:positionV relativeFrom="paragraph">
              <wp:posOffset>418465</wp:posOffset>
            </wp:positionV>
            <wp:extent cx="5278755" cy="5490845"/>
            <wp:effectExtent l="0" t="0" r="0" b="0"/>
            <wp:wrapTopAndBottom/>
            <wp:docPr id="4024069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0690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8755" cy="5490845"/>
                    </a:xfrm>
                    <a:prstGeom prst="rect">
                      <a:avLst/>
                    </a:prstGeom>
                  </pic:spPr>
                </pic:pic>
              </a:graphicData>
            </a:graphic>
            <wp14:sizeRelH relativeFrom="margin">
              <wp14:pctWidth>0</wp14:pctWidth>
            </wp14:sizeRelH>
            <wp14:sizeRelV relativeFrom="margin">
              <wp14:pctHeight>0</wp14:pctHeight>
            </wp14:sizeRelV>
          </wp:anchor>
        </w:drawing>
      </w:r>
      <w:r w:rsidRPr="009239F8">
        <w:rPr>
          <w:rFonts w:ascii="Times New Roman" w:hAnsi="Times New Roman" w:cs="Times New Roman"/>
          <w:noProof/>
          <w:lang w:val="en-US"/>
        </w:rPr>
        <mc:AlternateContent>
          <mc:Choice Requires="wps">
            <w:drawing>
              <wp:anchor distT="0" distB="0" distL="114300" distR="114300" simplePos="0" relativeHeight="251658245" behindDoc="0" locked="0" layoutInCell="1" allowOverlap="1" wp14:anchorId="6F7E2A80" wp14:editId="6B4364FC">
                <wp:simplePos x="0" y="0"/>
                <wp:positionH relativeFrom="margin">
                  <wp:posOffset>73504</wp:posOffset>
                </wp:positionH>
                <wp:positionV relativeFrom="paragraph">
                  <wp:posOffset>5933512</wp:posOffset>
                </wp:positionV>
                <wp:extent cx="5706745" cy="2257811"/>
                <wp:effectExtent l="0" t="0" r="8255" b="9525"/>
                <wp:wrapTopAndBottom/>
                <wp:docPr id="1803177759" name="Text Box 1"/>
                <wp:cNvGraphicFramePr/>
                <a:graphic xmlns:a="http://schemas.openxmlformats.org/drawingml/2006/main">
                  <a:graphicData uri="http://schemas.microsoft.com/office/word/2010/wordprocessingShape">
                    <wps:wsp>
                      <wps:cNvSpPr txBox="1"/>
                      <wps:spPr>
                        <a:xfrm>
                          <a:off x="0" y="0"/>
                          <a:ext cx="5706745" cy="2257811"/>
                        </a:xfrm>
                        <a:prstGeom prst="rect">
                          <a:avLst/>
                        </a:prstGeom>
                        <a:solidFill>
                          <a:prstClr val="white"/>
                        </a:solidFill>
                        <a:ln>
                          <a:noFill/>
                        </a:ln>
                      </wps:spPr>
                      <wps:txbx>
                        <w:txbxContent>
                          <w:p w14:paraId="22F1EB4D" w14:textId="0179FA2F" w:rsidR="00DC277E" w:rsidRPr="00B5401D" w:rsidRDefault="00DC277E" w:rsidP="00DC277E">
                            <w:pPr>
                              <w:pStyle w:val="Caption"/>
                              <w:jc w:val="both"/>
                              <w:rPr>
                                <w:noProof/>
                                <w:sz w:val="22"/>
                                <w:szCs w:val="22"/>
                                <w:lang w:val="en-US"/>
                              </w:rPr>
                            </w:pPr>
                            <w:bookmarkStart w:id="9" w:name="_Ref232691186"/>
                            <w:r w:rsidRPr="00B5401D">
                              <w:rPr>
                                <w:b/>
                                <w:bCs/>
                                <w:lang w:val="en-US"/>
                              </w:rPr>
                              <w:t xml:space="preserve">Figure S </w:t>
                            </w:r>
                            <w:r w:rsidRPr="00B5401D">
                              <w:rPr>
                                <w:b/>
                                <w:bCs/>
                                <w:lang w:val="en-US"/>
                              </w:rPr>
                              <w:fldChar w:fldCharType="begin"/>
                            </w:r>
                            <w:r w:rsidRPr="00B5401D">
                              <w:rPr>
                                <w:b/>
                                <w:bCs/>
                                <w:lang w:val="en-US"/>
                              </w:rPr>
                              <w:instrText xml:space="preserve"> SEQ Figure_S \* ARABIC </w:instrText>
                            </w:r>
                            <w:r w:rsidRPr="00B5401D">
                              <w:rPr>
                                <w:b/>
                                <w:bCs/>
                                <w:lang w:val="en-US"/>
                              </w:rPr>
                              <w:fldChar w:fldCharType="separate"/>
                            </w:r>
                            <w:r w:rsidR="00BE10AD" w:rsidRPr="00B5401D">
                              <w:rPr>
                                <w:b/>
                                <w:bCs/>
                                <w:noProof/>
                                <w:lang w:val="en-US"/>
                              </w:rPr>
                              <w:t>5</w:t>
                            </w:r>
                            <w:r w:rsidRPr="00B5401D">
                              <w:rPr>
                                <w:b/>
                                <w:bCs/>
                                <w:lang w:val="en-US"/>
                              </w:rPr>
                              <w:fldChar w:fldCharType="end"/>
                            </w:r>
                            <w:bookmarkEnd w:id="9"/>
                            <w:r w:rsidRPr="00B5401D">
                              <w:rPr>
                                <w:lang w:val="en-US"/>
                              </w:rPr>
                              <w:t xml:space="preserve">. </w:t>
                            </w:r>
                            <w:r w:rsidRPr="00B5401D">
                              <w:rPr>
                                <w:b/>
                                <w:bCs/>
                                <w:lang w:val="en-US"/>
                              </w:rPr>
                              <w:t xml:space="preserve">Spatial distribution, prevalence, and activation-phase dynamics of Purkinje-Myocardial Junctions (PMJs) across the </w:t>
                            </w:r>
                            <w:r w:rsidR="00C6769D" w:rsidRPr="00B5401D">
                              <w:rPr>
                                <w:b/>
                                <w:bCs/>
                                <w:lang w:val="en-US"/>
                              </w:rPr>
                              <w:t>early-stage hypertensive (eHTN)</w:t>
                            </w:r>
                            <w:r w:rsidRPr="00B5401D">
                              <w:rPr>
                                <w:b/>
                                <w:bCs/>
                                <w:lang w:val="en-US"/>
                              </w:rPr>
                              <w:t xml:space="preserve"> MyoFit46 cohort. </w:t>
                            </w:r>
                            <w:r w:rsidRPr="00B5401D">
                              <w:rPr>
                                <w:lang w:val="en-US"/>
                              </w:rPr>
                              <w:t xml:space="preserve">(a) PMJ prevalence expressed as the percentage of participants with at least one PMJ within each segment, displayed separately for the </w:t>
                            </w:r>
                            <w:r w:rsidR="00C6769D" w:rsidRPr="00B5401D">
                              <w:rPr>
                                <w:lang w:val="en-US"/>
                              </w:rPr>
                              <w:t>left ventricle (LV)</w:t>
                            </w:r>
                            <w:r w:rsidRPr="00B5401D">
                              <w:rPr>
                                <w:lang w:val="en-US"/>
                              </w:rPr>
                              <w:t xml:space="preserve"> and </w:t>
                            </w:r>
                            <w:r w:rsidR="00C6769D" w:rsidRPr="00B5401D">
                              <w:rPr>
                                <w:lang w:val="en-US"/>
                              </w:rPr>
                              <w:t>right ventricle (RV)</w:t>
                            </w:r>
                            <w:r w:rsidRPr="00B5401D">
                              <w:rPr>
                                <w:lang w:val="en-US"/>
                              </w:rPr>
                              <w:t xml:space="preserve"> bull's-eye. </w:t>
                            </w:r>
                            <w:r w:rsidR="00B5401D" w:rsidRPr="00B5401D">
                              <w:rPr>
                                <w:lang w:val="en-US"/>
                              </w:rPr>
                              <w:t>Color</w:t>
                            </w:r>
                            <w:r w:rsidRPr="00B5401D">
                              <w:rPr>
                                <w:lang w:val="en-US"/>
                              </w:rPr>
                              <w:t xml:space="preserve"> scale ranges from white (low prevalence) to dark red (high prevalence). (b) Three-dimensional endocardial representation of the </w:t>
                            </w:r>
                            <w:r w:rsidR="004A5842" w:rsidRPr="00B5401D">
                              <w:rPr>
                                <w:lang w:val="en-US"/>
                              </w:rPr>
                              <w:t>eHTN mean anatomy</w:t>
                            </w:r>
                            <w:r w:rsidRPr="00B5401D">
                              <w:rPr>
                                <w:lang w:val="en-US"/>
                              </w:rPr>
                              <w:t xml:space="preserve"> showing the spatial density of PMJ hotspots across the LV and RV, with </w:t>
                            </w:r>
                            <w:r w:rsidR="00B5401D" w:rsidRPr="00B5401D">
                              <w:rPr>
                                <w:lang w:val="en-US"/>
                              </w:rPr>
                              <w:t>color</w:t>
                            </w:r>
                            <w:r w:rsidRPr="00B5401D">
                              <w:rPr>
                                <w:lang w:val="en-US"/>
                              </w:rPr>
                              <w:t xml:space="preserve"> intensity reflecting local PMJ prevalence. (c) Mean percentage of activation-phase profiles of PMJs per anatomical segment. Activation times were normalized from 0% (first PMJ activated) to 100% (last PMJ activated) for each participant to remove inter-subject temporal variability. Stacked bars illustrate the fraction of PMJs activated during four defined phases: Early (&lt;25%, dark purple), Mid-early (25–50%, blue), Mid-late (50–75%, amber), and Late (&gt;75%, red). Segments are grouped anatomically by region (LV Basal, LV Mid, LV Apical, RV Basal, RV Mid, RV Apical), with LV and RV walls aligned for direct comparison. (d) </w:t>
                            </w:r>
                            <w:r w:rsidR="004A5842" w:rsidRPr="00B5401D">
                              <w:rPr>
                                <w:lang w:val="en-US"/>
                              </w:rPr>
                              <w:t xml:space="preserve">eHTN mean anatomy </w:t>
                            </w:r>
                            <w:r w:rsidRPr="00B5401D">
                              <w:rPr>
                                <w:lang w:val="en-US"/>
                              </w:rPr>
                              <w:t xml:space="preserve">endocardial surfaces showing the spatial distribution of PMJs stratified by activation phase, from Early (leftmost) to Late (rightmost). </w:t>
                            </w:r>
                            <w:r w:rsidR="00B5401D" w:rsidRPr="00B5401D">
                              <w:rPr>
                                <w:lang w:val="en-US"/>
                              </w:rPr>
                              <w:t>Color</w:t>
                            </w:r>
                            <w:r w:rsidRPr="00B5401D">
                              <w:rPr>
                                <w:lang w:val="en-US"/>
                              </w:rPr>
                              <w:t xml:space="preserve"> intensity reflects local PMJ density within each phase. This representation highlights regional transitions: early activation is concentrated on the LV anterior wall and RV base, consistent with classical anatomical landmarks, while late-activated PMJs are distributed broadly across the remaining endocardium. A: anterior; AS: antero-septal; IS: inferoseptal; I: inferior; IL: inferolateral; AL: anterolateral; S: septal; L: lateral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E2A80" id="_x0000_s1027" type="#_x0000_t202" style="position:absolute;left:0;text-align:left;margin-left:5.8pt;margin-top:467.2pt;width:449.35pt;height:177.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" stroked="f">
                <v:textbox inset="0,0,0,0">
                  <w:txbxContent>
                    <w:p w14:paraId="22F1EB4D" w14:textId="0179FA2F" w:rsidR="00DC277E" w:rsidRPr="00B5401D" w:rsidRDefault="00DC277E" w:rsidP="00DC277E">
                      <w:pPr>
                        <w:pStyle w:val="Caption"/>
                        <w:jc w:val="both"/>
                        <w:rPr>
                          <w:noProof/>
                          <w:sz w:val="22"/>
                          <w:szCs w:val="22"/>
                          <w:lang w:val="en-US"/>
                        </w:rPr>
                      </w:pPr>
                      <w:bookmarkStart w:id="13" w:name="_Ref232691186"/>
                      <w:r w:rsidRPr="00B5401D">
                        <w:rPr>
                          <w:b/>
                          <w:bCs/>
                          <w:lang w:val="en-US"/>
                        </w:rPr>
                        <w:t xml:space="preserve">Figure S </w:t>
                      </w:r>
                      <w:r w:rsidRPr="00B5401D">
                        <w:rPr>
                          <w:b/>
                          <w:bCs/>
                          <w:lang w:val="en-US"/>
                        </w:rPr>
                        <w:fldChar w:fldCharType="begin"/>
                      </w:r>
                      <w:r w:rsidRPr="00B5401D">
                        <w:rPr>
                          <w:b/>
                          <w:bCs/>
                          <w:lang w:val="en-US"/>
                        </w:rPr>
                        <w:instrText xml:space="preserve"> SEQ Figure_S \* ARABIC </w:instrText>
                      </w:r>
                      <w:r w:rsidRPr="00B5401D">
                        <w:rPr>
                          <w:b/>
                          <w:bCs/>
                          <w:lang w:val="en-US"/>
                        </w:rPr>
                        <w:fldChar w:fldCharType="separate"/>
                      </w:r>
                      <w:r w:rsidR="00BE10AD" w:rsidRPr="00B5401D">
                        <w:rPr>
                          <w:b/>
                          <w:bCs/>
                          <w:noProof/>
                          <w:lang w:val="en-US"/>
                        </w:rPr>
                        <w:t>5</w:t>
                      </w:r>
                      <w:r w:rsidRPr="00B5401D">
                        <w:rPr>
                          <w:b/>
                          <w:bCs/>
                          <w:lang w:val="en-US"/>
                        </w:rPr>
                        <w:fldChar w:fldCharType="end"/>
                      </w:r>
                      <w:bookmarkEnd w:id="13"/>
                      <w:r w:rsidRPr="00B5401D">
                        <w:rPr>
                          <w:lang w:val="en-US"/>
                        </w:rPr>
                        <w:t xml:space="preserve">. </w:t>
                      </w:r>
                      <w:r w:rsidRPr="00B5401D">
                        <w:rPr>
                          <w:b/>
                          <w:bCs/>
                          <w:lang w:val="en-US"/>
                        </w:rPr>
                        <w:t xml:space="preserve">Spatial distribution, prevalence, and activation-phase dynamics of Purkinje-Myocardial Junctions (PMJs) across the </w:t>
                      </w:r>
                      <w:r w:rsidR="00C6769D" w:rsidRPr="00B5401D">
                        <w:rPr>
                          <w:b/>
                          <w:bCs/>
                          <w:lang w:val="en-US"/>
                        </w:rPr>
                        <w:t>early-stage hypertensive (eHTN)</w:t>
                      </w:r>
                      <w:r w:rsidRPr="00B5401D">
                        <w:rPr>
                          <w:b/>
                          <w:bCs/>
                          <w:lang w:val="en-US"/>
                        </w:rPr>
                        <w:t xml:space="preserve"> MyoFit46 cohort. </w:t>
                      </w:r>
                      <w:r w:rsidRPr="00B5401D">
                        <w:rPr>
                          <w:lang w:val="en-US"/>
                        </w:rPr>
                        <w:t xml:space="preserve">(a) PMJ prevalence expressed as the percentage of participants with at least one PMJ within each segment, displayed separately for the </w:t>
                      </w:r>
                      <w:r w:rsidR="00C6769D" w:rsidRPr="00B5401D">
                        <w:rPr>
                          <w:lang w:val="en-US"/>
                        </w:rPr>
                        <w:t>left ventricle (LV)</w:t>
                      </w:r>
                      <w:r w:rsidRPr="00B5401D">
                        <w:rPr>
                          <w:lang w:val="en-US"/>
                        </w:rPr>
                        <w:t xml:space="preserve"> and </w:t>
                      </w:r>
                      <w:r w:rsidR="00C6769D" w:rsidRPr="00B5401D">
                        <w:rPr>
                          <w:lang w:val="en-US"/>
                        </w:rPr>
                        <w:t>right ventricle (RV)</w:t>
                      </w:r>
                      <w:r w:rsidRPr="00B5401D">
                        <w:rPr>
                          <w:lang w:val="en-US"/>
                        </w:rPr>
                        <w:t xml:space="preserve"> bull's-eye. </w:t>
                      </w:r>
                      <w:r w:rsidR="00B5401D" w:rsidRPr="00B5401D">
                        <w:rPr>
                          <w:lang w:val="en-US"/>
                        </w:rPr>
                        <w:t>Color</w:t>
                      </w:r>
                      <w:r w:rsidRPr="00B5401D">
                        <w:rPr>
                          <w:lang w:val="en-US"/>
                        </w:rPr>
                        <w:t xml:space="preserve"> scale ranges from white (low prevalence) to dark red (high prevalence). (b) Three-dimensional endocardial representation of the </w:t>
                      </w:r>
                      <w:r w:rsidR="004A5842" w:rsidRPr="00B5401D">
                        <w:rPr>
                          <w:lang w:val="en-US"/>
                        </w:rPr>
                        <w:t>eHTN mean anatomy</w:t>
                      </w:r>
                      <w:r w:rsidRPr="00B5401D">
                        <w:rPr>
                          <w:lang w:val="en-US"/>
                        </w:rPr>
                        <w:t xml:space="preserve"> showing the spatial density of PMJ hotspots across the LV and RV, with </w:t>
                      </w:r>
                      <w:r w:rsidR="00B5401D" w:rsidRPr="00B5401D">
                        <w:rPr>
                          <w:lang w:val="en-US"/>
                        </w:rPr>
                        <w:t>color</w:t>
                      </w:r>
                      <w:r w:rsidRPr="00B5401D">
                        <w:rPr>
                          <w:lang w:val="en-US"/>
                        </w:rPr>
                        <w:t xml:space="preserve"> intensity reflecting local PMJ prevalence. (c) Mean percentage of activation-phase profiles of PMJs per anatomical segment. Activation times were normalized from 0% (first PMJ activated) to 100% (last PMJ activated) for each participant to remove inter-subject temporal variability. Stacked bars illustrate the fraction of PMJs activated during four defined phases: Early (&lt;25%, dark purple), Mid-early (25–50%, blue), Mid-late (50–75%, amber), and Late (&gt;75%, red). Segments are grouped anatomically by region (LV Basal, LV Mid, LV Apical, RV Basal, RV Mid, RV Apical), with LV and RV walls aligned for direct comparison. (d) </w:t>
                      </w:r>
                      <w:r w:rsidR="004A5842" w:rsidRPr="00B5401D">
                        <w:rPr>
                          <w:lang w:val="en-US"/>
                        </w:rPr>
                        <w:t xml:space="preserve">eHTN mean anatomy </w:t>
                      </w:r>
                      <w:r w:rsidRPr="00B5401D">
                        <w:rPr>
                          <w:lang w:val="en-US"/>
                        </w:rPr>
                        <w:t xml:space="preserve">endocardial surfaces showing the spatial distribution of PMJs stratified by activation phase, from Early (leftmost) to Late (rightmost). </w:t>
                      </w:r>
                      <w:r w:rsidR="00B5401D" w:rsidRPr="00B5401D">
                        <w:rPr>
                          <w:lang w:val="en-US"/>
                        </w:rPr>
                        <w:t>Color</w:t>
                      </w:r>
                      <w:r w:rsidRPr="00B5401D">
                        <w:rPr>
                          <w:lang w:val="en-US"/>
                        </w:rPr>
                        <w:t xml:space="preserve"> intensity reflects local PMJ density within each phase. This representation highlights regional transitions: early activation is concentrated on the LV anterior wall and RV base, consistent with classical anatomical landmarks, while late-activated PMJs are distributed broadly across the remaining endocardium. A: anterior; AS: antero-septal; IS: inferoseptal; I: inferior; IL: inferolateral; AL: anterolateral; S: septal; L: lateral</w:t>
                      </w:r>
                    </w:p>
                  </w:txbxContent>
                </v:textbox>
                <w10:wrap type="topAndBottom" anchorx="margin"/>
              </v:shape>
            </w:pict>
          </mc:Fallback>
        </mc:AlternateContent>
      </w:r>
      <w:r w:rsidR="00D334EB" w:rsidRPr="009239F8">
        <w:rPr>
          <w:rFonts w:ascii="Times New Roman" w:hAnsi="Times New Roman" w:cs="Times New Roman"/>
          <w:lang w:val="en-US"/>
        </w:rPr>
        <w:fldChar w:fldCharType="begin"/>
      </w:r>
      <w:r w:rsidR="00D334EB" w:rsidRPr="009239F8">
        <w:rPr>
          <w:rFonts w:ascii="Times New Roman" w:hAnsi="Times New Roman" w:cs="Times New Roman"/>
          <w:lang w:val="en-US"/>
        </w:rPr>
        <w:instrText xml:space="preserve"> REF _Ref232691186 \h  \* MERGEFORMAT </w:instrText>
      </w:r>
      <w:r w:rsidR="00D334EB" w:rsidRPr="009239F8">
        <w:rPr>
          <w:rFonts w:ascii="Times New Roman" w:hAnsi="Times New Roman" w:cs="Times New Roman"/>
          <w:lang w:val="en-US"/>
        </w:rPr>
      </w:r>
      <w:r w:rsidR="00D334EB"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5</w:t>
      </w:r>
      <w:r w:rsidR="00D334EB" w:rsidRPr="009239F8">
        <w:rPr>
          <w:rFonts w:ascii="Times New Roman" w:hAnsi="Times New Roman" w:cs="Times New Roman"/>
          <w:lang w:val="en-US"/>
        </w:rPr>
        <w:fldChar w:fldCharType="end"/>
      </w:r>
      <w:r w:rsidR="00D334EB" w:rsidRPr="009239F8">
        <w:rPr>
          <w:rFonts w:ascii="Times New Roman" w:hAnsi="Times New Roman" w:cs="Times New Roman"/>
          <w:lang w:val="en-US"/>
        </w:rPr>
        <w:t xml:space="preserve"> </w:t>
      </w:r>
      <w:r w:rsidR="0094006B" w:rsidRPr="009239F8">
        <w:rPr>
          <w:rFonts w:ascii="Times New Roman" w:hAnsi="Times New Roman" w:cs="Times New Roman"/>
          <w:lang w:val="en-US"/>
        </w:rPr>
        <w:t>summarizes the spatial distribution, prevalence, and activation-phase dynamics of PMJs across the cohort. Panels (a) and (b) show PMJ prevalence across the 17-segment LV model and the 13 additional RV segments, as well as their 3D representations, while panels (c) and (d) characterize activation-phase profiles and their anatomical stratification.</w:t>
      </w:r>
      <w:r w:rsidR="006E7D88" w:rsidRPr="009239F8">
        <w:rPr>
          <w:rFonts w:ascii="Times New Roman" w:hAnsi="Times New Roman" w:cs="Times New Roman"/>
          <w:lang w:val="en-US"/>
        </w:rPr>
        <w:t xml:space="preserve"> </w:t>
      </w:r>
    </w:p>
    <w:p w14:paraId="74BE6F11" w14:textId="2A886BE5" w:rsidR="0094006B" w:rsidRPr="009239F8" w:rsidRDefault="00B200DD"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PMJ prevalence was highest in the LV mid anterior and anterolateral walls (80.</w:t>
      </w:r>
      <w:r w:rsidR="00F86123" w:rsidRPr="009239F8">
        <w:rPr>
          <w:rFonts w:ascii="Times New Roman" w:hAnsi="Times New Roman" w:cs="Times New Roman"/>
          <w:lang w:val="en-US"/>
        </w:rPr>
        <w:t>9</w:t>
      </w:r>
      <w:r w:rsidRPr="009239F8">
        <w:rPr>
          <w:rFonts w:ascii="Times New Roman" w:hAnsi="Times New Roman" w:cs="Times New Roman"/>
          <w:lang w:val="en-US"/>
        </w:rPr>
        <w:t>% and 76.6%, respectively) and in the RV anterior and lateral mid and basal regions (up to 74.</w:t>
      </w:r>
      <w:r w:rsidR="00B00944" w:rsidRPr="009239F8">
        <w:rPr>
          <w:rFonts w:ascii="Times New Roman" w:hAnsi="Times New Roman" w:cs="Times New Roman"/>
          <w:lang w:val="en-US"/>
        </w:rPr>
        <w:t>5</w:t>
      </w:r>
      <w:r w:rsidRPr="009239F8">
        <w:rPr>
          <w:rFonts w:ascii="Times New Roman" w:hAnsi="Times New Roman" w:cs="Times New Roman"/>
          <w:lang w:val="en-US"/>
        </w:rPr>
        <w:t>%) (</w:t>
      </w:r>
      <w:r w:rsidRPr="009239F8">
        <w:rPr>
          <w:rFonts w:ascii="Times New Roman" w:hAnsi="Times New Roman" w:cs="Times New Roman"/>
          <w:lang w:val="en-US"/>
        </w:rPr>
        <w:fldChar w:fldCharType="begin"/>
      </w:r>
      <w:r w:rsidRPr="009239F8">
        <w:rPr>
          <w:rFonts w:ascii="Times New Roman" w:hAnsi="Times New Roman" w:cs="Times New Roman"/>
          <w:lang w:val="en-US"/>
        </w:rPr>
        <w:instrText xml:space="preserve"> REF _Ref232691186 \h  \* MERGEFORMAT </w:instrText>
      </w:r>
      <w:r w:rsidRPr="009239F8">
        <w:rPr>
          <w:rFonts w:ascii="Times New Roman" w:hAnsi="Times New Roman" w:cs="Times New Roman"/>
          <w:lang w:val="en-US"/>
        </w:rPr>
      </w:r>
      <w:r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5</w:t>
      </w:r>
      <w:r w:rsidRPr="009239F8">
        <w:rPr>
          <w:rFonts w:ascii="Times New Roman" w:hAnsi="Times New Roman" w:cs="Times New Roman"/>
          <w:lang w:val="en-US"/>
        </w:rPr>
        <w:fldChar w:fldCharType="end"/>
      </w:r>
      <w:r w:rsidRPr="009239F8">
        <w:rPr>
          <w:rFonts w:ascii="Times New Roman" w:hAnsi="Times New Roman" w:cs="Times New Roman"/>
          <w:b/>
          <w:bCs/>
          <w:lang w:val="en-US"/>
        </w:rPr>
        <w:t>a</w:t>
      </w:r>
      <w:r w:rsidRPr="009239F8">
        <w:rPr>
          <w:rFonts w:ascii="Times New Roman" w:hAnsi="Times New Roman" w:cs="Times New Roman"/>
          <w:lang w:val="en-US"/>
        </w:rPr>
        <w:t>), forming six main hotspots above 35% prevalence: two in the LV mid anterior and anterolateral walls, one in the LV mid inferolateral wall, and three along the RV lateral wall with a longitudinal distribution, together with two in the mid and basal anterior RV (</w:t>
      </w:r>
      <w:r w:rsidRPr="009239F8">
        <w:rPr>
          <w:rFonts w:ascii="Times New Roman" w:hAnsi="Times New Roman" w:cs="Times New Roman"/>
          <w:lang w:val="en-US"/>
        </w:rPr>
        <w:fldChar w:fldCharType="begin"/>
      </w:r>
      <w:r w:rsidRPr="009239F8">
        <w:rPr>
          <w:rFonts w:ascii="Times New Roman" w:hAnsi="Times New Roman" w:cs="Times New Roman"/>
          <w:lang w:val="en-US"/>
        </w:rPr>
        <w:instrText xml:space="preserve"> REF _Ref232691186 \h  \* MERGEFORMAT </w:instrText>
      </w:r>
      <w:r w:rsidRPr="009239F8">
        <w:rPr>
          <w:rFonts w:ascii="Times New Roman" w:hAnsi="Times New Roman" w:cs="Times New Roman"/>
          <w:lang w:val="en-US"/>
        </w:rPr>
      </w:r>
      <w:r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5</w:t>
      </w:r>
      <w:r w:rsidRPr="009239F8">
        <w:rPr>
          <w:rFonts w:ascii="Times New Roman" w:hAnsi="Times New Roman" w:cs="Times New Roman"/>
          <w:lang w:val="en-US"/>
        </w:rPr>
        <w:fldChar w:fldCharType="end"/>
      </w:r>
      <w:r w:rsidRPr="009239F8">
        <w:rPr>
          <w:rFonts w:ascii="Times New Roman" w:hAnsi="Times New Roman" w:cs="Times New Roman"/>
          <w:b/>
          <w:bCs/>
          <w:lang w:val="en-US"/>
        </w:rPr>
        <w:t>b</w:t>
      </w:r>
      <w:r w:rsidRPr="009239F8">
        <w:rPr>
          <w:rFonts w:ascii="Times New Roman" w:hAnsi="Times New Roman" w:cs="Times New Roman"/>
          <w:lang w:val="en-US"/>
        </w:rPr>
        <w:t>). In contrast, the LV apical and septal regions and the RV inferior wall showed consistently low prevalence</w:t>
      </w:r>
      <w:r w:rsidR="0094006B" w:rsidRPr="009239F8">
        <w:rPr>
          <w:rFonts w:ascii="Times New Roman" w:hAnsi="Times New Roman" w:cs="Times New Roman"/>
          <w:lang w:val="en-US"/>
        </w:rPr>
        <w:t>.</w:t>
      </w:r>
      <w:r w:rsidR="006E7D88" w:rsidRPr="009239F8">
        <w:rPr>
          <w:rFonts w:ascii="Times New Roman" w:hAnsi="Times New Roman" w:cs="Times New Roman"/>
          <w:lang w:val="en-US"/>
        </w:rPr>
        <w:t xml:space="preserve"> </w:t>
      </w:r>
      <w:r w:rsidR="0094006B" w:rsidRPr="009239F8">
        <w:rPr>
          <w:rFonts w:ascii="Times New Roman" w:hAnsi="Times New Roman" w:cs="Times New Roman"/>
          <w:lang w:val="en-US"/>
        </w:rPr>
        <w:t>Regarding PMJ activation phases (</w:t>
      </w:r>
      <w:r w:rsidR="00D334EB" w:rsidRPr="009239F8">
        <w:rPr>
          <w:rFonts w:ascii="Times New Roman" w:hAnsi="Times New Roman" w:cs="Times New Roman"/>
          <w:lang w:val="en-US"/>
        </w:rPr>
        <w:fldChar w:fldCharType="begin"/>
      </w:r>
      <w:r w:rsidR="00D334EB" w:rsidRPr="009239F8">
        <w:rPr>
          <w:rFonts w:ascii="Times New Roman" w:hAnsi="Times New Roman" w:cs="Times New Roman"/>
          <w:lang w:val="en-US"/>
        </w:rPr>
        <w:instrText xml:space="preserve"> REF _Ref232691186 \h  \* MERGEFORMAT </w:instrText>
      </w:r>
      <w:r w:rsidR="00D334EB" w:rsidRPr="009239F8">
        <w:rPr>
          <w:rFonts w:ascii="Times New Roman" w:hAnsi="Times New Roman" w:cs="Times New Roman"/>
          <w:lang w:val="en-US"/>
        </w:rPr>
      </w:r>
      <w:r w:rsidR="00D334EB"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5</w:t>
      </w:r>
      <w:r w:rsidR="00D334EB" w:rsidRPr="009239F8">
        <w:rPr>
          <w:rFonts w:ascii="Times New Roman" w:hAnsi="Times New Roman" w:cs="Times New Roman"/>
          <w:lang w:val="en-US"/>
        </w:rPr>
        <w:fldChar w:fldCharType="end"/>
      </w:r>
      <w:r w:rsidR="00394137" w:rsidRPr="009239F8">
        <w:rPr>
          <w:rFonts w:ascii="Times New Roman" w:hAnsi="Times New Roman" w:cs="Times New Roman"/>
          <w:b/>
          <w:bCs/>
          <w:lang w:val="en-US"/>
        </w:rPr>
        <w:t>c</w:t>
      </w:r>
      <w:r w:rsidR="0094006B" w:rsidRPr="009239F8">
        <w:rPr>
          <w:rFonts w:ascii="Times New Roman" w:hAnsi="Times New Roman" w:cs="Times New Roman"/>
          <w:lang w:val="en-US"/>
        </w:rPr>
        <w:t xml:space="preserve">), </w:t>
      </w:r>
      <w:r w:rsidR="00E242BD" w:rsidRPr="009239F8">
        <w:rPr>
          <w:rFonts w:ascii="Times New Roman" w:hAnsi="Times New Roman" w:cs="Times New Roman"/>
          <w:lang w:val="en-US"/>
        </w:rPr>
        <w:t>the basal and mid anterior RV regions, together with the anterior LV mid-base, exhibited the highest concentration of early and mid-early activation. The remaining endocardial regions were predominantly activated during mid-late and late phases, consistent with the patterns observed in the healthy cohor</w:t>
      </w:r>
      <w:r w:rsidR="0094006B" w:rsidRPr="009239F8">
        <w:rPr>
          <w:rFonts w:ascii="Times New Roman" w:hAnsi="Times New Roman" w:cs="Times New Roman"/>
          <w:lang w:val="en-US"/>
        </w:rPr>
        <w:t xml:space="preserve">t. </w:t>
      </w:r>
      <w:r w:rsidR="00D334EB" w:rsidRPr="009239F8">
        <w:rPr>
          <w:rFonts w:ascii="Times New Roman" w:hAnsi="Times New Roman" w:cs="Times New Roman"/>
          <w:lang w:val="en-US"/>
        </w:rPr>
        <w:fldChar w:fldCharType="begin"/>
      </w:r>
      <w:r w:rsidR="00D334EB" w:rsidRPr="009239F8">
        <w:rPr>
          <w:rFonts w:ascii="Times New Roman" w:hAnsi="Times New Roman" w:cs="Times New Roman"/>
          <w:lang w:val="en-US"/>
        </w:rPr>
        <w:instrText xml:space="preserve"> REF _Ref232691186 \h  \* MERGEFORMAT </w:instrText>
      </w:r>
      <w:r w:rsidR="00D334EB" w:rsidRPr="009239F8">
        <w:rPr>
          <w:rFonts w:ascii="Times New Roman" w:hAnsi="Times New Roman" w:cs="Times New Roman"/>
          <w:lang w:val="en-US"/>
        </w:rPr>
      </w:r>
      <w:r w:rsidR="00D334EB"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5</w:t>
      </w:r>
      <w:r w:rsidR="00D334EB" w:rsidRPr="009239F8">
        <w:rPr>
          <w:rFonts w:ascii="Times New Roman" w:hAnsi="Times New Roman" w:cs="Times New Roman"/>
          <w:lang w:val="en-US"/>
        </w:rPr>
        <w:fldChar w:fldCharType="end"/>
      </w:r>
      <w:r w:rsidR="00D334EB" w:rsidRPr="009239F8">
        <w:rPr>
          <w:rFonts w:ascii="Times New Roman" w:hAnsi="Times New Roman" w:cs="Times New Roman"/>
          <w:b/>
          <w:bCs/>
          <w:lang w:val="en-US"/>
        </w:rPr>
        <w:t>d</w:t>
      </w:r>
      <w:r w:rsidR="00D334EB" w:rsidRPr="009239F8">
        <w:rPr>
          <w:rFonts w:ascii="Times New Roman" w:hAnsi="Times New Roman" w:cs="Times New Roman"/>
          <w:lang w:val="en-US"/>
        </w:rPr>
        <w:t xml:space="preserve"> </w:t>
      </w:r>
      <w:r w:rsidR="00147257" w:rsidRPr="009239F8">
        <w:rPr>
          <w:rFonts w:ascii="Times New Roman" w:hAnsi="Times New Roman" w:cs="Times New Roman"/>
          <w:lang w:val="en-US"/>
        </w:rPr>
        <w:t>further illustrates the anatomical distribution of phase-specific PMJs across the endocardial surface. Overall, mid-early and mid-late phases showed the broadest spatial coverage across both ventricles, while late-phase PMJs showed a more restricted distribution, concentrated mainly at the RV apex and anterior LV regions.</w:t>
      </w:r>
    </w:p>
    <w:p w14:paraId="46C5CA3E" w14:textId="755F4E85" w:rsidR="006E7D88" w:rsidRPr="009239F8" w:rsidRDefault="00B62B74" w:rsidP="009A5B48">
      <w:pPr>
        <w:pStyle w:val="Heading3"/>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S7.2: Regional repolarization heterogeneities</w:t>
      </w:r>
    </w:p>
    <w:p w14:paraId="65D8267A" w14:textId="12784F81" w:rsidR="00B62B74" w:rsidRPr="009239F8" w:rsidRDefault="00B62B74" w:rsidP="009A5B48">
      <w:pPr>
        <w:pStyle w:val="Heading4"/>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S7.2.1: Baseline repolarization</w:t>
      </w:r>
    </w:p>
    <w:p w14:paraId="0BC4E2E2" w14:textId="319C85CA" w:rsidR="001955D1" w:rsidRPr="009239F8" w:rsidRDefault="00977139"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fldChar w:fldCharType="begin"/>
      </w:r>
      <w:r w:rsidRPr="009239F8">
        <w:rPr>
          <w:rFonts w:ascii="Times New Roman" w:hAnsi="Times New Roman" w:cs="Times New Roman"/>
          <w:lang w:val="en-US"/>
        </w:rPr>
        <w:instrText xml:space="preserve"> REF _Ref233628779 \h  \* MERGEFORMAT </w:instrText>
      </w:r>
      <w:r w:rsidRPr="009239F8">
        <w:rPr>
          <w:rFonts w:ascii="Times New Roman" w:hAnsi="Times New Roman" w:cs="Times New Roman"/>
          <w:lang w:val="en-US"/>
        </w:rPr>
      </w:r>
      <w:r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6</w:t>
      </w:r>
      <w:r w:rsidRPr="009239F8">
        <w:rPr>
          <w:rFonts w:ascii="Times New Roman" w:hAnsi="Times New Roman" w:cs="Times New Roman"/>
          <w:lang w:val="en-US"/>
        </w:rPr>
        <w:fldChar w:fldCharType="end"/>
      </w:r>
      <w:r w:rsidRPr="009239F8">
        <w:rPr>
          <w:rFonts w:ascii="Times New Roman" w:hAnsi="Times New Roman" w:cs="Times New Roman"/>
          <w:lang w:val="en-US"/>
        </w:rPr>
        <w:t xml:space="preserve"> </w:t>
      </w:r>
      <w:r w:rsidR="00C859C3" w:rsidRPr="009239F8">
        <w:rPr>
          <w:rFonts w:ascii="Times New Roman" w:hAnsi="Times New Roman" w:cs="Times New Roman"/>
          <w:lang w:val="en-US"/>
        </w:rPr>
        <w:t>displays</w:t>
      </w:r>
      <w:r w:rsidR="001C1678" w:rsidRPr="009239F8">
        <w:rPr>
          <w:rFonts w:ascii="Times New Roman" w:hAnsi="Times New Roman" w:cs="Times New Roman"/>
          <w:lang w:val="en-US"/>
        </w:rPr>
        <w:t xml:space="preserve"> the analysis of</w:t>
      </w:r>
      <w:r w:rsidR="00E80B3B" w:rsidRPr="009239F8">
        <w:rPr>
          <w:rFonts w:ascii="Times New Roman" w:hAnsi="Times New Roman" w:cs="Times New Roman"/>
          <w:lang w:val="en-US"/>
        </w:rPr>
        <w:t xml:space="preserve"> </w:t>
      </w:r>
      <w:r w:rsidR="00B35CAE" w:rsidRPr="009239F8">
        <w:rPr>
          <w:rFonts w:ascii="Times New Roman" w:hAnsi="Times New Roman" w:cs="Times New Roman"/>
          <w:lang w:val="en-US"/>
        </w:rPr>
        <w:t>g</w:t>
      </w:r>
      <w:r w:rsidR="00B35CAE" w:rsidRPr="009239F8">
        <w:rPr>
          <w:rFonts w:ascii="Times New Roman" w:hAnsi="Times New Roman" w:cs="Times New Roman"/>
          <w:vertAlign w:val="subscript"/>
          <w:lang w:val="en-US"/>
        </w:rPr>
        <w:t>Ks</w:t>
      </w:r>
      <w:r w:rsidR="00E80B3B" w:rsidRPr="009239F8">
        <w:rPr>
          <w:rFonts w:ascii="Times New Roman" w:hAnsi="Times New Roman" w:cs="Times New Roman"/>
          <w:lang w:val="en-US"/>
        </w:rPr>
        <w:t xml:space="preserve"> distribution</w:t>
      </w:r>
      <w:r w:rsidR="00B35CAE" w:rsidRPr="009239F8">
        <w:rPr>
          <w:rFonts w:ascii="Times New Roman" w:hAnsi="Times New Roman" w:cs="Times New Roman"/>
          <w:lang w:val="en-US"/>
        </w:rPr>
        <w:t xml:space="preserve"> </w:t>
      </w:r>
      <w:r w:rsidR="004D3C17" w:rsidRPr="009239F8">
        <w:rPr>
          <w:rFonts w:ascii="Times New Roman" w:hAnsi="Times New Roman" w:cs="Times New Roman"/>
          <w:lang w:val="en-US"/>
        </w:rPr>
        <w:t>encompassing</w:t>
      </w:r>
      <w:r w:rsidR="00B35CAE" w:rsidRPr="009239F8">
        <w:rPr>
          <w:rFonts w:ascii="Times New Roman" w:hAnsi="Times New Roman" w:cs="Times New Roman"/>
          <w:lang w:val="en-US"/>
        </w:rPr>
        <w:t xml:space="preserve"> (a) regional comparison and (b-c) 3D representation using principal component analysis for the calculation of mean and modes of variation of the 3D g</w:t>
      </w:r>
      <w:r w:rsidR="00B35CAE" w:rsidRPr="009239F8">
        <w:rPr>
          <w:rFonts w:ascii="Times New Roman" w:hAnsi="Times New Roman" w:cs="Times New Roman"/>
          <w:vertAlign w:val="subscript"/>
          <w:lang w:val="en-US"/>
        </w:rPr>
        <w:t>Ks</w:t>
      </w:r>
      <w:r w:rsidR="004D3C17" w:rsidRPr="009239F8">
        <w:rPr>
          <w:rFonts w:ascii="Times New Roman" w:hAnsi="Times New Roman" w:cs="Times New Roman"/>
          <w:lang w:val="en-US"/>
        </w:rPr>
        <w:t>.</w:t>
      </w:r>
      <w:r w:rsidR="00ED60A2" w:rsidRPr="009239F8">
        <w:rPr>
          <w:rFonts w:ascii="Times New Roman" w:hAnsi="Times New Roman" w:cs="Times New Roman"/>
          <w:lang w:val="en-US"/>
        </w:rPr>
        <w:t xml:space="preserve"> </w:t>
      </w:r>
      <w:r w:rsidR="002D69D3" w:rsidRPr="009239F8">
        <w:rPr>
          <w:rFonts w:ascii="Times New Roman" w:hAnsi="Times New Roman" w:cs="Times New Roman"/>
          <w:lang w:val="en-US"/>
        </w:rPr>
        <w:t xml:space="preserve"> </w:t>
      </w:r>
      <w:r w:rsidR="001D699F" w:rsidRPr="009239F8">
        <w:rPr>
          <w:rFonts w:ascii="Times New Roman" w:hAnsi="Times New Roman" w:cs="Times New Roman"/>
          <w:lang w:val="en-US"/>
        </w:rPr>
        <w:t xml:space="preserve">From a chamber point of view, </w:t>
      </w:r>
      <w:r w:rsidR="00E77798" w:rsidRPr="009239F8">
        <w:rPr>
          <w:rFonts w:ascii="Times New Roman" w:hAnsi="Times New Roman" w:cs="Times New Roman"/>
          <w:lang w:val="en-US"/>
        </w:rPr>
        <w:t>RV presented significantly higher g</w:t>
      </w:r>
      <w:r w:rsidR="00E77798" w:rsidRPr="009239F8">
        <w:rPr>
          <w:rFonts w:ascii="Times New Roman" w:hAnsi="Times New Roman" w:cs="Times New Roman"/>
          <w:vertAlign w:val="subscript"/>
          <w:lang w:val="en-US"/>
        </w:rPr>
        <w:t>Ks</w:t>
      </w:r>
      <w:r w:rsidR="00E77798" w:rsidRPr="009239F8">
        <w:rPr>
          <w:rFonts w:ascii="Times New Roman" w:hAnsi="Times New Roman" w:cs="Times New Roman"/>
          <w:lang w:val="en-US"/>
        </w:rPr>
        <w:t xml:space="preserve"> values than LV (</w:t>
      </w:r>
      <w:r w:rsidR="00E77798" w:rsidRPr="009239F8">
        <w:rPr>
          <w:rFonts w:ascii="Times New Roman" w:hAnsi="Times New Roman" w:cs="Times New Roman"/>
          <w:i/>
          <w:iCs/>
          <w:lang w:val="en-US"/>
        </w:rPr>
        <w:t>p</w:t>
      </w:r>
      <w:r w:rsidR="00E77798" w:rsidRPr="009239F8">
        <w:rPr>
          <w:rFonts w:ascii="Times New Roman" w:hAnsi="Times New Roman" w:cs="Times New Roman"/>
          <w:vertAlign w:val="subscript"/>
          <w:lang w:val="en-US"/>
        </w:rPr>
        <w:t>adj</w:t>
      </w:r>
      <w:r w:rsidR="00E77798" w:rsidRPr="009239F8">
        <w:rPr>
          <w:rFonts w:ascii="Times New Roman" w:hAnsi="Times New Roman" w:cs="Times New Roman"/>
          <w:i/>
          <w:iCs/>
          <w:lang w:val="en-US"/>
        </w:rPr>
        <w:t xml:space="preserve"> </w:t>
      </w:r>
      <w:r w:rsidR="00E77798" w:rsidRPr="009239F8">
        <w:rPr>
          <w:rFonts w:ascii="Times New Roman" w:hAnsi="Times New Roman" w:cs="Times New Roman"/>
          <w:bCs/>
          <w:lang w:val="en-US"/>
        </w:rPr>
        <w:t>&lt; 0.05,</w:t>
      </w:r>
      <w:r w:rsidR="00E77798" w:rsidRPr="009239F8">
        <w:rPr>
          <w:rFonts w:ascii="Times New Roman" w:hAnsi="Times New Roman" w:cs="Times New Roman"/>
          <w:lang w:val="en-US"/>
        </w:rPr>
        <w:t xml:space="preserve"> </w:t>
      </w:r>
      <w:r w:rsidRPr="009239F8">
        <w:rPr>
          <w:rFonts w:ascii="Times New Roman" w:hAnsi="Times New Roman" w:cs="Times New Roman"/>
          <w:lang w:val="en-US"/>
        </w:rPr>
        <w:fldChar w:fldCharType="begin"/>
      </w:r>
      <w:r w:rsidRPr="009239F8">
        <w:rPr>
          <w:rFonts w:ascii="Times New Roman" w:hAnsi="Times New Roman" w:cs="Times New Roman"/>
          <w:lang w:val="en-US"/>
        </w:rPr>
        <w:instrText xml:space="preserve"> REF _Ref233628779 \h  \* MERGEFORMAT </w:instrText>
      </w:r>
      <w:r w:rsidRPr="009239F8">
        <w:rPr>
          <w:rFonts w:ascii="Times New Roman" w:hAnsi="Times New Roman" w:cs="Times New Roman"/>
          <w:lang w:val="en-US"/>
        </w:rPr>
      </w:r>
      <w:r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6</w:t>
      </w:r>
      <w:r w:rsidRPr="009239F8">
        <w:rPr>
          <w:rFonts w:ascii="Times New Roman" w:hAnsi="Times New Roman" w:cs="Times New Roman"/>
          <w:lang w:val="en-US"/>
        </w:rPr>
        <w:fldChar w:fldCharType="end"/>
      </w:r>
      <w:r w:rsidRPr="009239F8">
        <w:rPr>
          <w:rFonts w:ascii="Times New Roman" w:hAnsi="Times New Roman" w:cs="Times New Roman"/>
          <w:lang w:val="en-US"/>
        </w:rPr>
        <w:t xml:space="preserve"> </w:t>
      </w:r>
      <w:r w:rsidR="00E77798" w:rsidRPr="009239F8">
        <w:rPr>
          <w:rFonts w:ascii="Times New Roman" w:hAnsi="Times New Roman" w:cs="Times New Roman"/>
          <w:b/>
          <w:lang w:val="en-US"/>
        </w:rPr>
        <w:t>a</w:t>
      </w:r>
      <w:r w:rsidR="00E77798" w:rsidRPr="009239F8">
        <w:rPr>
          <w:rFonts w:ascii="Times New Roman" w:hAnsi="Times New Roman" w:cs="Times New Roman"/>
          <w:bCs/>
          <w:lang w:val="en-US"/>
        </w:rPr>
        <w:t>)</w:t>
      </w:r>
      <w:r w:rsidR="00ED60A2" w:rsidRPr="009239F8">
        <w:rPr>
          <w:rFonts w:ascii="Times New Roman" w:hAnsi="Times New Roman" w:cs="Times New Roman"/>
          <w:bCs/>
          <w:lang w:val="en-US"/>
        </w:rPr>
        <w:t xml:space="preserve">, with </w:t>
      </w:r>
      <w:r w:rsidR="00E77798" w:rsidRPr="009239F8">
        <w:rPr>
          <w:rFonts w:ascii="Times New Roman" w:hAnsi="Times New Roman" w:cs="Times New Roman"/>
          <w:bCs/>
          <w:lang w:val="en-US"/>
        </w:rPr>
        <w:t xml:space="preserve">an apex-to-base decay of </w:t>
      </w:r>
      <w:r w:rsidR="00E77798" w:rsidRPr="009239F8">
        <w:rPr>
          <w:rFonts w:ascii="Times New Roman" w:hAnsi="Times New Roman" w:cs="Times New Roman"/>
          <w:lang w:val="en-US"/>
        </w:rPr>
        <w:t>g</w:t>
      </w:r>
      <w:r w:rsidR="00E77798" w:rsidRPr="009239F8">
        <w:rPr>
          <w:rFonts w:ascii="Times New Roman" w:hAnsi="Times New Roman" w:cs="Times New Roman"/>
          <w:vertAlign w:val="subscript"/>
          <w:lang w:val="en-US"/>
        </w:rPr>
        <w:t>Ks</w:t>
      </w:r>
      <w:r w:rsidR="00E77798" w:rsidRPr="009239F8">
        <w:rPr>
          <w:rFonts w:ascii="Times New Roman" w:hAnsi="Times New Roman" w:cs="Times New Roman"/>
          <w:lang w:val="en-US"/>
        </w:rPr>
        <w:t xml:space="preserve"> values </w:t>
      </w:r>
      <w:r w:rsidR="00ED60A2" w:rsidRPr="009239F8">
        <w:rPr>
          <w:rFonts w:ascii="Times New Roman" w:hAnsi="Times New Roman" w:cs="Times New Roman"/>
          <w:lang w:val="en-US"/>
        </w:rPr>
        <w:t xml:space="preserve">observed </w:t>
      </w:r>
      <w:r w:rsidR="00ED60A2" w:rsidRPr="009239F8">
        <w:rPr>
          <w:rFonts w:ascii="Times New Roman" w:hAnsi="Times New Roman" w:cs="Times New Roman"/>
          <w:bCs/>
          <w:lang w:val="en-US"/>
        </w:rPr>
        <w:t xml:space="preserve">in both ventricles </w:t>
      </w:r>
      <w:r w:rsidR="00E77798" w:rsidRPr="009239F8">
        <w:rPr>
          <w:rFonts w:ascii="Times New Roman" w:hAnsi="Times New Roman" w:cs="Times New Roman"/>
          <w:bCs/>
          <w:lang w:val="en-US"/>
        </w:rPr>
        <w:t xml:space="preserve">(all </w:t>
      </w:r>
      <w:r w:rsidR="00E77798" w:rsidRPr="009239F8">
        <w:rPr>
          <w:rFonts w:ascii="Times New Roman" w:hAnsi="Times New Roman" w:cs="Times New Roman"/>
          <w:i/>
          <w:iCs/>
          <w:lang w:val="en-US"/>
        </w:rPr>
        <w:t>p</w:t>
      </w:r>
      <w:r w:rsidR="00E77798" w:rsidRPr="009239F8">
        <w:rPr>
          <w:rFonts w:ascii="Times New Roman" w:hAnsi="Times New Roman" w:cs="Times New Roman"/>
          <w:vertAlign w:val="subscript"/>
          <w:lang w:val="en-US"/>
        </w:rPr>
        <w:t>adj</w:t>
      </w:r>
      <w:r w:rsidR="00E77798" w:rsidRPr="009239F8">
        <w:rPr>
          <w:rFonts w:ascii="Times New Roman" w:hAnsi="Times New Roman" w:cs="Times New Roman"/>
          <w:bCs/>
          <w:lang w:val="en-US"/>
        </w:rPr>
        <w:t xml:space="preserve">&lt; 0.05, </w:t>
      </w:r>
      <w:r w:rsidRPr="009239F8">
        <w:rPr>
          <w:rFonts w:ascii="Times New Roman" w:hAnsi="Times New Roman" w:cs="Times New Roman"/>
          <w:lang w:val="en-US"/>
        </w:rPr>
        <w:fldChar w:fldCharType="begin"/>
      </w:r>
      <w:r w:rsidRPr="009239F8">
        <w:rPr>
          <w:rFonts w:ascii="Times New Roman" w:hAnsi="Times New Roman" w:cs="Times New Roman"/>
          <w:lang w:val="en-US"/>
        </w:rPr>
        <w:instrText xml:space="preserve"> REF _Ref233628779 \h  \* MERGEFORMAT </w:instrText>
      </w:r>
      <w:r w:rsidRPr="009239F8">
        <w:rPr>
          <w:rFonts w:ascii="Times New Roman" w:hAnsi="Times New Roman" w:cs="Times New Roman"/>
          <w:lang w:val="en-US"/>
        </w:rPr>
      </w:r>
      <w:r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6</w:t>
      </w:r>
      <w:r w:rsidRPr="009239F8">
        <w:rPr>
          <w:rFonts w:ascii="Times New Roman" w:hAnsi="Times New Roman" w:cs="Times New Roman"/>
          <w:lang w:val="en-US"/>
        </w:rPr>
        <w:fldChar w:fldCharType="end"/>
      </w:r>
      <w:r w:rsidRPr="009239F8">
        <w:rPr>
          <w:rFonts w:ascii="Times New Roman" w:hAnsi="Times New Roman" w:cs="Times New Roman"/>
          <w:lang w:val="en-US"/>
        </w:rPr>
        <w:t xml:space="preserve"> </w:t>
      </w:r>
      <w:r w:rsidR="00E77798" w:rsidRPr="009239F8">
        <w:rPr>
          <w:rFonts w:ascii="Times New Roman" w:hAnsi="Times New Roman" w:cs="Times New Roman"/>
          <w:b/>
          <w:lang w:val="en-US"/>
        </w:rPr>
        <w:t>a</w:t>
      </w:r>
      <w:r w:rsidR="00E77798" w:rsidRPr="009239F8">
        <w:rPr>
          <w:rFonts w:ascii="Times New Roman" w:hAnsi="Times New Roman" w:cs="Times New Roman"/>
          <w:bCs/>
          <w:lang w:val="en-US"/>
        </w:rPr>
        <w:t xml:space="preserve">).  </w:t>
      </w:r>
      <w:r w:rsidRPr="009239F8">
        <w:rPr>
          <w:rFonts w:ascii="Times New Roman" w:hAnsi="Times New Roman" w:cs="Times New Roman"/>
          <w:lang w:val="en-US"/>
        </w:rPr>
        <w:fldChar w:fldCharType="begin"/>
      </w:r>
      <w:r w:rsidRPr="009239F8">
        <w:rPr>
          <w:rFonts w:ascii="Times New Roman" w:hAnsi="Times New Roman" w:cs="Times New Roman"/>
          <w:lang w:val="en-US"/>
        </w:rPr>
        <w:instrText xml:space="preserve"> REF _Ref233628779 \h  \* MERGEFORMAT </w:instrText>
      </w:r>
      <w:r w:rsidRPr="009239F8">
        <w:rPr>
          <w:rFonts w:ascii="Times New Roman" w:hAnsi="Times New Roman" w:cs="Times New Roman"/>
          <w:lang w:val="en-US"/>
        </w:rPr>
      </w:r>
      <w:r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6</w:t>
      </w:r>
      <w:r w:rsidRPr="009239F8">
        <w:rPr>
          <w:rFonts w:ascii="Times New Roman" w:hAnsi="Times New Roman" w:cs="Times New Roman"/>
          <w:lang w:val="en-US"/>
        </w:rPr>
        <w:fldChar w:fldCharType="end"/>
      </w:r>
      <w:r w:rsidRPr="009239F8">
        <w:rPr>
          <w:rFonts w:ascii="Times New Roman" w:hAnsi="Times New Roman" w:cs="Times New Roman"/>
          <w:lang w:val="en-US"/>
        </w:rPr>
        <w:t xml:space="preserve"> </w:t>
      </w:r>
      <w:r w:rsidR="00004DF6" w:rsidRPr="009239F8">
        <w:rPr>
          <w:rFonts w:ascii="Times New Roman" w:hAnsi="Times New Roman" w:cs="Times New Roman"/>
          <w:b/>
          <w:bCs/>
          <w:lang w:val="en-US"/>
        </w:rPr>
        <w:t>b</w:t>
      </w:r>
      <w:r w:rsidR="00B014D7" w:rsidRPr="009239F8">
        <w:rPr>
          <w:rFonts w:ascii="Times New Roman" w:hAnsi="Times New Roman" w:cs="Times New Roman"/>
          <w:lang w:val="en-US"/>
        </w:rPr>
        <w:t xml:space="preserve"> </w:t>
      </w:r>
      <w:r w:rsidR="00C859C3" w:rsidRPr="009239F8">
        <w:rPr>
          <w:rFonts w:ascii="Times New Roman" w:hAnsi="Times New Roman" w:cs="Times New Roman"/>
          <w:bCs/>
          <w:lang w:val="en-US"/>
        </w:rPr>
        <w:t>shows</w:t>
      </w:r>
      <w:r w:rsidR="002D69D3" w:rsidRPr="009239F8">
        <w:rPr>
          <w:rFonts w:ascii="Times New Roman" w:hAnsi="Times New Roman" w:cs="Times New Roman"/>
          <w:bCs/>
          <w:lang w:val="en-US"/>
        </w:rPr>
        <w:t xml:space="preserve"> th</w:t>
      </w:r>
      <w:r w:rsidR="00264BD5" w:rsidRPr="009239F8">
        <w:rPr>
          <w:rFonts w:ascii="Times New Roman" w:hAnsi="Times New Roman" w:cs="Times New Roman"/>
          <w:bCs/>
          <w:lang w:val="en-US"/>
        </w:rPr>
        <w:t>e</w:t>
      </w:r>
      <w:r w:rsidR="002D69D3" w:rsidRPr="009239F8">
        <w:rPr>
          <w:rFonts w:ascii="Times New Roman" w:hAnsi="Times New Roman" w:cs="Times New Roman"/>
          <w:bCs/>
          <w:lang w:val="en-US"/>
        </w:rPr>
        <w:t xml:space="preserve"> apico-basal gradien</w:t>
      </w:r>
      <w:r w:rsidR="00C859C3" w:rsidRPr="009239F8">
        <w:rPr>
          <w:rFonts w:ascii="Times New Roman" w:hAnsi="Times New Roman" w:cs="Times New Roman"/>
          <w:bCs/>
          <w:lang w:val="en-US"/>
        </w:rPr>
        <w:t>t</w:t>
      </w:r>
      <w:r w:rsidR="00264BD5" w:rsidRPr="009239F8">
        <w:rPr>
          <w:rFonts w:ascii="Times New Roman" w:hAnsi="Times New Roman" w:cs="Times New Roman"/>
          <w:bCs/>
          <w:lang w:val="en-US"/>
        </w:rPr>
        <w:t>,</w:t>
      </w:r>
      <w:r w:rsidR="00C859C3" w:rsidRPr="009239F8">
        <w:rPr>
          <w:rFonts w:ascii="Times New Roman" w:hAnsi="Times New Roman" w:cs="Times New Roman"/>
          <w:lang w:val="en-US"/>
        </w:rPr>
        <w:t xml:space="preserve"> </w:t>
      </w:r>
      <w:r w:rsidR="00355EC2" w:rsidRPr="009239F8">
        <w:rPr>
          <w:rFonts w:ascii="Times New Roman" w:hAnsi="Times New Roman" w:cs="Times New Roman"/>
          <w:lang w:val="en-US"/>
        </w:rPr>
        <w:t>characterized</w:t>
      </w:r>
      <w:r w:rsidR="00EF542A" w:rsidRPr="009239F8">
        <w:rPr>
          <w:rFonts w:ascii="Times New Roman" w:hAnsi="Times New Roman" w:cs="Times New Roman"/>
          <w:lang w:val="en-US"/>
        </w:rPr>
        <w:t xml:space="preserve"> by higher g</w:t>
      </w:r>
      <w:r w:rsidR="00EF542A" w:rsidRPr="009239F8">
        <w:rPr>
          <w:rFonts w:ascii="Times New Roman" w:hAnsi="Times New Roman" w:cs="Times New Roman"/>
          <w:vertAlign w:val="subscript"/>
          <w:lang w:val="en-US"/>
        </w:rPr>
        <w:t>Ks</w:t>
      </w:r>
      <w:r w:rsidR="00EF542A" w:rsidRPr="009239F8">
        <w:rPr>
          <w:rFonts w:ascii="Times New Roman" w:hAnsi="Times New Roman" w:cs="Times New Roman"/>
          <w:lang w:val="en-US"/>
        </w:rPr>
        <w:t xml:space="preserve"> values </w:t>
      </w:r>
      <w:r w:rsidR="00EF542A" w:rsidRPr="009239F8">
        <w:rPr>
          <w:rFonts w:ascii="Times New Roman" w:hAnsi="Times New Roman" w:cs="Times New Roman"/>
          <w:bCs/>
          <w:lang w:val="en-US"/>
        </w:rPr>
        <w:t>at</w:t>
      </w:r>
      <w:r w:rsidR="00EF542A" w:rsidRPr="009239F8">
        <w:rPr>
          <w:rFonts w:ascii="Times New Roman" w:hAnsi="Times New Roman" w:cs="Times New Roman"/>
          <w:lang w:val="en-US"/>
        </w:rPr>
        <w:t xml:space="preserve"> the RV </w:t>
      </w:r>
      <w:r w:rsidR="00EF542A" w:rsidRPr="009239F8">
        <w:rPr>
          <w:rFonts w:ascii="Times New Roman" w:hAnsi="Times New Roman" w:cs="Times New Roman"/>
          <w:bCs/>
          <w:lang w:val="en-US"/>
        </w:rPr>
        <w:t>apex decaying progressively toward</w:t>
      </w:r>
      <w:r w:rsidR="00EF542A" w:rsidRPr="009239F8">
        <w:rPr>
          <w:rFonts w:ascii="Times New Roman" w:hAnsi="Times New Roman" w:cs="Times New Roman"/>
          <w:lang w:val="en-US"/>
        </w:rPr>
        <w:t xml:space="preserve"> the base</w:t>
      </w:r>
      <w:r w:rsidR="00303931" w:rsidRPr="009239F8">
        <w:rPr>
          <w:rFonts w:ascii="Times New Roman" w:hAnsi="Times New Roman" w:cs="Times New Roman"/>
          <w:lang w:val="en-US"/>
        </w:rPr>
        <w:t>. T</w:t>
      </w:r>
      <w:r w:rsidR="00EA1E4F" w:rsidRPr="009239F8">
        <w:rPr>
          <w:rFonts w:ascii="Times New Roman" w:hAnsi="Times New Roman" w:cs="Times New Roman"/>
          <w:lang w:val="en-US"/>
        </w:rPr>
        <w:t>he</w:t>
      </w:r>
      <w:r w:rsidR="00EA1E4F" w:rsidRPr="009239F8">
        <w:rPr>
          <w:rFonts w:ascii="Times New Roman" w:hAnsi="Times New Roman" w:cs="Times New Roman"/>
          <w:bCs/>
          <w:lang w:val="en-US"/>
        </w:rPr>
        <w:t xml:space="preserve"> first three</w:t>
      </w:r>
      <w:r w:rsidR="001D3A4D" w:rsidRPr="009239F8">
        <w:rPr>
          <w:rFonts w:ascii="Times New Roman" w:hAnsi="Times New Roman" w:cs="Times New Roman"/>
          <w:bCs/>
          <w:lang w:val="en-US"/>
        </w:rPr>
        <w:t xml:space="preserve"> PCA</w:t>
      </w:r>
      <w:r w:rsidR="00EA1E4F" w:rsidRPr="009239F8">
        <w:rPr>
          <w:rFonts w:ascii="Times New Roman" w:hAnsi="Times New Roman" w:cs="Times New Roman"/>
          <w:bCs/>
          <w:lang w:val="en-US"/>
        </w:rPr>
        <w:t xml:space="preserve"> modes of variation</w:t>
      </w:r>
      <w:r w:rsidR="00A47517" w:rsidRPr="009239F8">
        <w:rPr>
          <w:rFonts w:ascii="Times New Roman" w:hAnsi="Times New Roman" w:cs="Times New Roman"/>
          <w:bCs/>
          <w:lang w:val="en-US"/>
        </w:rPr>
        <w:t xml:space="preserve"> (</w:t>
      </w:r>
      <w:r w:rsidRPr="009239F8">
        <w:rPr>
          <w:rFonts w:ascii="Times New Roman" w:hAnsi="Times New Roman" w:cs="Times New Roman"/>
          <w:lang w:val="en-US"/>
        </w:rPr>
        <w:fldChar w:fldCharType="begin"/>
      </w:r>
      <w:r w:rsidRPr="009239F8">
        <w:rPr>
          <w:rFonts w:ascii="Times New Roman" w:hAnsi="Times New Roman" w:cs="Times New Roman"/>
          <w:lang w:val="en-US"/>
        </w:rPr>
        <w:instrText xml:space="preserve"> REF _Ref233628779 \h  \* MERGEFORMAT </w:instrText>
      </w:r>
      <w:r w:rsidRPr="009239F8">
        <w:rPr>
          <w:rFonts w:ascii="Times New Roman" w:hAnsi="Times New Roman" w:cs="Times New Roman"/>
          <w:lang w:val="en-US"/>
        </w:rPr>
      </w:r>
      <w:r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6</w:t>
      </w:r>
      <w:r w:rsidRPr="009239F8">
        <w:rPr>
          <w:rFonts w:ascii="Times New Roman" w:hAnsi="Times New Roman" w:cs="Times New Roman"/>
          <w:lang w:val="en-US"/>
        </w:rPr>
        <w:fldChar w:fldCharType="end"/>
      </w:r>
      <w:r w:rsidRPr="009239F8">
        <w:rPr>
          <w:rFonts w:ascii="Times New Roman" w:hAnsi="Times New Roman" w:cs="Times New Roman"/>
          <w:lang w:val="en-US"/>
        </w:rPr>
        <w:t xml:space="preserve"> </w:t>
      </w:r>
      <w:r w:rsidR="00A47517" w:rsidRPr="009239F8">
        <w:rPr>
          <w:rFonts w:ascii="Times New Roman" w:hAnsi="Times New Roman" w:cs="Times New Roman"/>
          <w:b/>
          <w:lang w:val="en-US"/>
        </w:rPr>
        <w:t>c</w:t>
      </w:r>
      <w:r w:rsidR="00A47517" w:rsidRPr="009239F8">
        <w:rPr>
          <w:rFonts w:ascii="Times New Roman" w:hAnsi="Times New Roman" w:cs="Times New Roman"/>
          <w:bCs/>
          <w:lang w:val="en-US"/>
        </w:rPr>
        <w:t>)</w:t>
      </w:r>
      <w:r w:rsidR="001D3A4D" w:rsidRPr="009239F8">
        <w:rPr>
          <w:rFonts w:ascii="Times New Roman" w:hAnsi="Times New Roman" w:cs="Times New Roman"/>
          <w:bCs/>
          <w:lang w:val="en-US"/>
        </w:rPr>
        <w:t xml:space="preserve">, </w:t>
      </w:r>
      <w:r w:rsidR="00E13AB2" w:rsidRPr="009239F8">
        <w:rPr>
          <w:rFonts w:ascii="Times New Roman" w:hAnsi="Times New Roman" w:cs="Times New Roman"/>
          <w:bCs/>
          <w:lang w:val="en-US"/>
        </w:rPr>
        <w:t>collectively capturing 75% of inter-subject repolarization variability, reveal the dominant spatial patterns: Mode 1 reflects the overall amplitude of the longitudinal gradient; Mode 2 captures a transmural gradient from the RV anterolateral wall toward the LV inferolateral wall; and Mode 3 reflects the opposite pattern, from the RV inferolateral wall toward the LV anterolateral wall.</w:t>
      </w:r>
    </w:p>
    <w:p w14:paraId="3048F1CF" w14:textId="1DDE5325" w:rsidR="00B62B74" w:rsidRPr="009239F8" w:rsidRDefault="00ED09F9" w:rsidP="009A5B48">
      <w:pPr>
        <w:spacing w:line="480" w:lineRule="auto"/>
        <w:rPr>
          <w:rFonts w:ascii="Times New Roman" w:hAnsi="Times New Roman" w:cs="Times New Roman"/>
          <w:lang w:val="en-US"/>
        </w:rPr>
      </w:pPr>
      <w:r w:rsidRPr="009239F8">
        <w:rPr>
          <w:rFonts w:ascii="Times New Roman" w:hAnsi="Times New Roman" w:cs="Times New Roman"/>
          <w:noProof/>
          <w:lang w:val="en-US"/>
        </w:rPr>
        <mc:AlternateContent>
          <mc:Choice Requires="wps">
            <w:drawing>
              <wp:anchor distT="0" distB="0" distL="114300" distR="114300" simplePos="0" relativeHeight="251658253" behindDoc="0" locked="0" layoutInCell="1" allowOverlap="1" wp14:anchorId="0DEACF57" wp14:editId="45FC3E8E">
                <wp:simplePos x="0" y="0"/>
                <wp:positionH relativeFrom="margin">
                  <wp:align>left</wp:align>
                </wp:positionH>
                <wp:positionV relativeFrom="paragraph">
                  <wp:posOffset>6079910</wp:posOffset>
                </wp:positionV>
                <wp:extent cx="5731510" cy="1581785"/>
                <wp:effectExtent l="0" t="0" r="2540" b="0"/>
                <wp:wrapTopAndBottom/>
                <wp:docPr id="291026104" name="Text Box 1"/>
                <wp:cNvGraphicFramePr/>
                <a:graphic xmlns:a="http://schemas.openxmlformats.org/drawingml/2006/main">
                  <a:graphicData uri="http://schemas.microsoft.com/office/word/2010/wordprocessingShape">
                    <wps:wsp>
                      <wps:cNvSpPr txBox="1"/>
                      <wps:spPr>
                        <a:xfrm>
                          <a:off x="0" y="0"/>
                          <a:ext cx="5731510" cy="1581785"/>
                        </a:xfrm>
                        <a:prstGeom prst="rect">
                          <a:avLst/>
                        </a:prstGeom>
                        <a:solidFill>
                          <a:prstClr val="white"/>
                        </a:solidFill>
                        <a:ln>
                          <a:noFill/>
                        </a:ln>
                      </wps:spPr>
                      <wps:txbx>
                        <w:txbxContent>
                          <w:p w14:paraId="18F8DA60" w14:textId="77777777" w:rsidR="00B62B74" w:rsidRPr="00EE7D52" w:rsidRDefault="00B62B74" w:rsidP="00B62B74">
                            <w:pPr>
                              <w:pStyle w:val="Caption"/>
                              <w:jc w:val="both"/>
                              <w:rPr>
                                <w:noProof/>
                                <w:sz w:val="22"/>
                                <w:szCs w:val="22"/>
                                <w:lang w:val="en-US"/>
                              </w:rPr>
                            </w:pPr>
                            <w:bookmarkStart w:id="10" w:name="_Ref233628779"/>
                            <w:r w:rsidRPr="00785FF3">
                              <w:rPr>
                                <w:b/>
                                <w:bCs/>
                              </w:rPr>
                              <w:t xml:space="preserve">Figure S </w:t>
                            </w:r>
                            <w:r w:rsidRPr="00785FF3">
                              <w:rPr>
                                <w:b/>
                                <w:bCs/>
                              </w:rPr>
                              <w:fldChar w:fldCharType="begin"/>
                            </w:r>
                            <w:r w:rsidRPr="00785FF3">
                              <w:rPr>
                                <w:b/>
                                <w:bCs/>
                              </w:rPr>
                              <w:instrText xml:space="preserve"> SEQ Figure_S \* ARABIC </w:instrText>
                            </w:r>
                            <w:r w:rsidRPr="00785FF3">
                              <w:rPr>
                                <w:b/>
                                <w:bCs/>
                              </w:rPr>
                              <w:fldChar w:fldCharType="separate"/>
                            </w:r>
                            <w:r w:rsidR="00312A45">
                              <w:rPr>
                                <w:b/>
                                <w:bCs/>
                                <w:noProof/>
                              </w:rPr>
                              <w:t>6</w:t>
                            </w:r>
                            <w:r w:rsidRPr="00785FF3">
                              <w:rPr>
                                <w:b/>
                                <w:bCs/>
                              </w:rPr>
                              <w:fldChar w:fldCharType="end"/>
                            </w:r>
                            <w:bookmarkEnd w:id="10"/>
                            <w:r w:rsidRPr="00785FF3">
                              <w:rPr>
                                <w:b/>
                                <w:bCs/>
                              </w:rPr>
                              <w:t>.</w:t>
                            </w:r>
                            <w:r>
                              <w:t xml:space="preserve"> </w:t>
                            </w:r>
                            <w:r w:rsidRPr="008D63DB">
                              <w:rPr>
                                <w:b/>
                                <w:bCs/>
                              </w:rPr>
                              <w:t>Baseline repolarization atlas: regional distribution and principal modes of variation of the g</w:t>
                            </w:r>
                            <w:r w:rsidRPr="008D63DB">
                              <w:rPr>
                                <w:b/>
                                <w:bCs/>
                                <w:vertAlign w:val="subscript"/>
                              </w:rPr>
                              <w:t>Ks</w:t>
                            </w:r>
                            <w:r w:rsidRPr="008D63DB">
                              <w:rPr>
                                <w:b/>
                                <w:bCs/>
                              </w:rPr>
                              <w:t xml:space="preserve"> across the </w:t>
                            </w:r>
                            <w:r w:rsidRPr="00263BA6">
                              <w:rPr>
                                <w:b/>
                                <w:bCs/>
                              </w:rPr>
                              <w:t>eHTN</w:t>
                            </w:r>
                            <w:r>
                              <w:rPr>
                                <w:b/>
                                <w:bCs/>
                              </w:rPr>
                              <w:t xml:space="preserve"> </w:t>
                            </w:r>
                            <w:r w:rsidRPr="008D63DB">
                              <w:rPr>
                                <w:b/>
                                <w:bCs/>
                              </w:rPr>
                              <w:t>MyoFit46 cohort</w:t>
                            </w:r>
                            <w:r w:rsidRPr="000F4132">
                              <w:rPr>
                                <w:lang w:val="en-US"/>
                              </w:rPr>
                              <w:t xml:space="preserve">. </w:t>
                            </w:r>
                            <w:r w:rsidRPr="00FB1147">
                              <w:rPr>
                                <w:b/>
                                <w:bCs/>
                              </w:rPr>
                              <w:t>(a)</w:t>
                            </w:r>
                            <w:r w:rsidRPr="00FB1147">
                              <w:t xml:space="preserve"> Boxplots of </w:t>
                            </w:r>
                            <w:r>
                              <w:t>g</w:t>
                            </w:r>
                            <w:r w:rsidRPr="00FB1147">
                              <w:rPr>
                                <w:vertAlign w:val="subscript"/>
                              </w:rPr>
                              <w:t>Ks</w:t>
                            </w:r>
                            <w:r w:rsidRPr="00FB1147">
                              <w:t xml:space="preserve"> scaling factors comparing inter-chamber (</w:t>
                            </w:r>
                            <w:r w:rsidR="004A5842">
                              <w:t>left ventricle (LV)</w:t>
                            </w:r>
                            <w:r w:rsidRPr="00FB1147">
                              <w:t xml:space="preserve"> vs.</w:t>
                            </w:r>
                            <w:r w:rsidR="003C1163">
                              <w:t xml:space="preserve"> </w:t>
                            </w:r>
                            <w:r w:rsidR="004A5842">
                              <w:t>right ventricle</w:t>
                            </w:r>
                            <w:r w:rsidRPr="00FB1147">
                              <w:t xml:space="preserve"> </w:t>
                            </w:r>
                            <w:r w:rsidR="003C1163">
                              <w:t>(</w:t>
                            </w:r>
                            <w:r w:rsidRPr="00FB1147">
                              <w:t>RV)</w:t>
                            </w:r>
                            <w:r w:rsidR="003C1163">
                              <w:t>)</w:t>
                            </w:r>
                            <w:r w:rsidRPr="00FB1147">
                              <w:t xml:space="preserve">, LV longitudinal (Basal, Mid, Apical), and RV longitudinal distributions. Statistical significance was assessed using </w:t>
                            </w:r>
                            <w:r w:rsidRPr="00FB7BFB">
                              <w:t>the Mann-Whitney U test</w:t>
                            </w:r>
                            <w:r w:rsidRPr="00FB1147">
                              <w:t xml:space="preserve"> with </w:t>
                            </w:r>
                            <w:r w:rsidRPr="006064B6">
                              <w:t>Benjamini–Hochberg</w:t>
                            </w:r>
                            <w:r w:rsidRPr="00FB1147">
                              <w:t xml:space="preserve"> correction (* p</w:t>
                            </w:r>
                            <w:r w:rsidRPr="0065306C">
                              <w:rPr>
                                <w:vertAlign w:val="subscript"/>
                              </w:rPr>
                              <w:t>adj</w:t>
                            </w:r>
                            <w:r w:rsidRPr="00FB1147">
                              <w:t>&lt;0.05, *** p</w:t>
                            </w:r>
                            <w:r w:rsidRPr="0065306C">
                              <w:rPr>
                                <w:vertAlign w:val="subscript"/>
                              </w:rPr>
                              <w:t>adj</w:t>
                            </w:r>
                            <w:r w:rsidRPr="00FB1147">
                              <w:t xml:space="preserve">&lt;0.001). </w:t>
                            </w:r>
                            <w:r w:rsidRPr="00FB1147">
                              <w:rPr>
                                <w:b/>
                                <w:bCs/>
                              </w:rPr>
                              <w:t>(b)</w:t>
                            </w:r>
                            <w:r w:rsidRPr="00FB1147">
                              <w:t xml:space="preserve"> Cohort-mean </w:t>
                            </w:r>
                            <w:r>
                              <w:t>g</w:t>
                            </w:r>
                            <w:r w:rsidRPr="00FB1147">
                              <w:rPr>
                                <w:vertAlign w:val="subscript"/>
                              </w:rPr>
                              <w:t>Ks</w:t>
                            </w:r>
                            <w:r w:rsidRPr="00FB1147">
                              <w:t xml:space="preserve"> map displayed on the flattened biventricular endocardial surface. The black curve delineates the LV–RV boundary. </w:t>
                            </w:r>
                            <w:r w:rsidR="002309A0" w:rsidRPr="00FB1147">
                              <w:t>An</w:t>
                            </w:r>
                            <w:r w:rsidRPr="00FB1147">
                              <w:t xml:space="preserve"> </w:t>
                            </w:r>
                            <w:r w:rsidR="003C1163">
                              <w:t>apex-to-base</w:t>
                            </w:r>
                            <w:r w:rsidRPr="00FB1147">
                              <w:t xml:space="preserve"> gradient is visible in both chambers. </w:t>
                            </w:r>
                            <w:r w:rsidRPr="00FB1147">
                              <w:rPr>
                                <w:b/>
                                <w:bCs/>
                              </w:rPr>
                              <w:t>(c)</w:t>
                            </w:r>
                            <w:r w:rsidRPr="00FB1147">
                              <w:t xml:space="preserve"> Three leading principal modes of variation (Modes 1–3) derived from </w:t>
                            </w:r>
                            <w:r>
                              <w:t>p</w:t>
                            </w:r>
                            <w:r w:rsidRPr="00FB1147">
                              <w:t xml:space="preserve">rincipal </w:t>
                            </w:r>
                            <w:r>
                              <w:t>c</w:t>
                            </w:r>
                            <w:r w:rsidRPr="00FB1147">
                              <w:t xml:space="preserve">omponent </w:t>
                            </w:r>
                            <w:r>
                              <w:t>a</w:t>
                            </w:r>
                            <w:r w:rsidRPr="00FB1147">
                              <w:t xml:space="preserve">nalysis of the spatially resolved </w:t>
                            </w:r>
                            <w:r>
                              <w:t>g</w:t>
                            </w:r>
                            <w:r w:rsidRPr="00FB1147">
                              <w:rPr>
                                <w:vertAlign w:val="subscript"/>
                              </w:rPr>
                              <w:t>Ks</w:t>
                            </w:r>
                            <w:r w:rsidRPr="00FB1147">
                              <w:t xml:space="preserve"> maps across participants. For each mode, the positive (left) and negative (right) extremes (mean ± 2 standard deviations</w:t>
                            </w:r>
                            <w:r w:rsidR="002309A0">
                              <w:t xml:space="preserve"> (std)</w:t>
                            </w:r>
                            <w:r w:rsidRPr="00FB1147">
                              <w:t xml:space="preserve">) are shown on the flattened biventricular surface, illustrating the dominant spatial patterns of inter-subject variability. </w:t>
                            </w:r>
                            <w:r w:rsidRPr="00D77BAA">
                              <w:t>The anatomical orientation of the flattened epicardial representation is indicated by the inset schematic, where RV and LV denote right and left ventricles, respectively, and A and I denote anterior and inferior regions.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EACF57" id="_x0000_s1028" type="#_x0000_t202" style="position:absolute;margin-left:0;margin-top:478.75pt;width:451.3pt;height:124.55pt;z-index:25165825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" stroked="f">
                <v:textbox inset="0,0,0,0">
                  <w:txbxContent>
                    <w:p w14:paraId="18F8DA60" w14:textId="77777777" w:rsidR="00B62B74" w:rsidRPr="00EE7D52" w:rsidRDefault="00B62B74" w:rsidP="00B62B74">
                      <w:pPr>
                        <w:pStyle w:val="Caption"/>
                        <w:jc w:val="both"/>
                        <w:rPr>
                          <w:noProof/>
                          <w:sz w:val="22"/>
                          <w:szCs w:val="22"/>
                          <w:lang w:val="en-US"/>
                        </w:rPr>
                      </w:pPr>
                      <w:bookmarkStart w:id="16" w:name="_Ref233628779"/>
                      <w:r w:rsidRPr="00785FF3">
                        <w:rPr>
                          <w:b/>
                          <w:bCs/>
                        </w:rPr>
                        <w:t xml:space="preserve">Figure S </w:t>
                      </w:r>
                      <w:r w:rsidRPr="00785FF3">
                        <w:rPr>
                          <w:b/>
                          <w:bCs/>
                        </w:rPr>
                        <w:fldChar w:fldCharType="begin"/>
                      </w:r>
                      <w:r w:rsidRPr="00785FF3">
                        <w:rPr>
                          <w:b/>
                          <w:bCs/>
                        </w:rPr>
                        <w:instrText xml:space="preserve"> SEQ Figure_S \* ARABIC </w:instrText>
                      </w:r>
                      <w:r w:rsidRPr="00785FF3">
                        <w:rPr>
                          <w:b/>
                          <w:bCs/>
                        </w:rPr>
                        <w:fldChar w:fldCharType="separate"/>
                      </w:r>
                      <w:r w:rsidR="00312A45">
                        <w:rPr>
                          <w:b/>
                          <w:bCs/>
                          <w:noProof/>
                        </w:rPr>
                        <w:t>6</w:t>
                      </w:r>
                      <w:r w:rsidRPr="00785FF3">
                        <w:rPr>
                          <w:b/>
                          <w:bCs/>
                        </w:rPr>
                        <w:fldChar w:fldCharType="end"/>
                      </w:r>
                      <w:bookmarkEnd w:id="16"/>
                      <w:r w:rsidRPr="00785FF3">
                        <w:rPr>
                          <w:b/>
                          <w:bCs/>
                        </w:rPr>
                        <w:t>.</w:t>
                      </w:r>
                      <w:r>
                        <w:t xml:space="preserve"> </w:t>
                      </w:r>
                      <w:r w:rsidRPr="008D63DB">
                        <w:rPr>
                          <w:b/>
                          <w:bCs/>
                        </w:rPr>
                        <w:t>Baseline repolarization atlas: regional distribution and principal modes of variation of the g</w:t>
                      </w:r>
                      <w:r w:rsidRPr="008D63DB">
                        <w:rPr>
                          <w:b/>
                          <w:bCs/>
                          <w:vertAlign w:val="subscript"/>
                        </w:rPr>
                        <w:t>Ks</w:t>
                      </w:r>
                      <w:r w:rsidRPr="008D63DB">
                        <w:rPr>
                          <w:b/>
                          <w:bCs/>
                        </w:rPr>
                        <w:t xml:space="preserve"> across the </w:t>
                      </w:r>
                      <w:r w:rsidRPr="00263BA6">
                        <w:rPr>
                          <w:b/>
                          <w:bCs/>
                        </w:rPr>
                        <w:t>eHTN</w:t>
                      </w:r>
                      <w:r>
                        <w:rPr>
                          <w:b/>
                          <w:bCs/>
                        </w:rPr>
                        <w:t xml:space="preserve"> </w:t>
                      </w:r>
                      <w:r w:rsidRPr="008D63DB">
                        <w:rPr>
                          <w:b/>
                          <w:bCs/>
                        </w:rPr>
                        <w:t>MyoFit46 cohort</w:t>
                      </w:r>
                      <w:r w:rsidRPr="000F4132">
                        <w:rPr>
                          <w:lang w:val="en-US"/>
                        </w:rPr>
                        <w:t xml:space="preserve">. </w:t>
                      </w:r>
                      <w:r w:rsidRPr="00FB1147">
                        <w:rPr>
                          <w:b/>
                          <w:bCs/>
                        </w:rPr>
                        <w:t>(a)</w:t>
                      </w:r>
                      <w:r w:rsidRPr="00FB1147">
                        <w:t xml:space="preserve"> Boxplots of </w:t>
                      </w:r>
                      <w:r>
                        <w:t>g</w:t>
                      </w:r>
                      <w:r w:rsidRPr="00FB1147">
                        <w:rPr>
                          <w:vertAlign w:val="subscript"/>
                        </w:rPr>
                        <w:t>Ks</w:t>
                      </w:r>
                      <w:r w:rsidRPr="00FB1147">
                        <w:t xml:space="preserve"> scaling factors comparing inter-chamber (</w:t>
                      </w:r>
                      <w:r w:rsidR="004A5842">
                        <w:t>left ventricle (LV)</w:t>
                      </w:r>
                      <w:r w:rsidRPr="00FB1147">
                        <w:t xml:space="preserve"> vs.</w:t>
                      </w:r>
                      <w:r w:rsidR="003C1163">
                        <w:t xml:space="preserve"> </w:t>
                      </w:r>
                      <w:r w:rsidR="004A5842">
                        <w:t>right ventricle</w:t>
                      </w:r>
                      <w:r w:rsidRPr="00FB1147">
                        <w:t xml:space="preserve"> </w:t>
                      </w:r>
                      <w:r w:rsidR="003C1163">
                        <w:t>(</w:t>
                      </w:r>
                      <w:r w:rsidRPr="00FB1147">
                        <w:t>RV)</w:t>
                      </w:r>
                      <w:r w:rsidR="003C1163">
                        <w:t>)</w:t>
                      </w:r>
                      <w:r w:rsidRPr="00FB1147">
                        <w:t xml:space="preserve">, LV longitudinal (Basal, Mid, Apical), and RV longitudinal distributions. Statistical significance was assessed using </w:t>
                      </w:r>
                      <w:r w:rsidRPr="00FB7BFB">
                        <w:t>the Mann-Whitney U test</w:t>
                      </w:r>
                      <w:r w:rsidRPr="00FB1147">
                        <w:t xml:space="preserve"> with </w:t>
                      </w:r>
                      <w:r w:rsidRPr="006064B6">
                        <w:t>Benjamini–Hochberg</w:t>
                      </w:r>
                      <w:r w:rsidRPr="00FB1147">
                        <w:t xml:space="preserve"> correction (* p</w:t>
                      </w:r>
                      <w:r w:rsidRPr="0065306C">
                        <w:rPr>
                          <w:vertAlign w:val="subscript"/>
                        </w:rPr>
                        <w:t>adj</w:t>
                      </w:r>
                      <w:r w:rsidRPr="00FB1147">
                        <w:t>&lt;0.05, *** p</w:t>
                      </w:r>
                      <w:r w:rsidRPr="0065306C">
                        <w:rPr>
                          <w:vertAlign w:val="subscript"/>
                        </w:rPr>
                        <w:t>adj</w:t>
                      </w:r>
                      <w:r w:rsidRPr="00FB1147">
                        <w:t xml:space="preserve">&lt;0.001). </w:t>
                      </w:r>
                      <w:r w:rsidRPr="00FB1147">
                        <w:rPr>
                          <w:b/>
                          <w:bCs/>
                        </w:rPr>
                        <w:t>(b)</w:t>
                      </w:r>
                      <w:r w:rsidRPr="00FB1147">
                        <w:t xml:space="preserve"> Cohort-mean </w:t>
                      </w:r>
                      <w:r>
                        <w:t>g</w:t>
                      </w:r>
                      <w:r w:rsidRPr="00FB1147">
                        <w:rPr>
                          <w:vertAlign w:val="subscript"/>
                        </w:rPr>
                        <w:t>Ks</w:t>
                      </w:r>
                      <w:r w:rsidRPr="00FB1147">
                        <w:t xml:space="preserve"> map displayed on the flattened biventricular endocardial surface. The black curve delineates the LV–RV boundary. </w:t>
                      </w:r>
                      <w:r w:rsidR="002309A0" w:rsidRPr="00FB1147">
                        <w:t>An</w:t>
                      </w:r>
                      <w:r w:rsidRPr="00FB1147">
                        <w:t xml:space="preserve"> </w:t>
                      </w:r>
                      <w:r w:rsidR="003C1163">
                        <w:t>apex-to-base</w:t>
                      </w:r>
                      <w:r w:rsidRPr="00FB1147">
                        <w:t xml:space="preserve"> gradient is visible in both chambers. </w:t>
                      </w:r>
                      <w:r w:rsidRPr="00FB1147">
                        <w:rPr>
                          <w:b/>
                          <w:bCs/>
                        </w:rPr>
                        <w:t>(c)</w:t>
                      </w:r>
                      <w:r w:rsidRPr="00FB1147">
                        <w:t xml:space="preserve"> Three leading principal modes of variation (Modes 1–3) derived from </w:t>
                      </w:r>
                      <w:r>
                        <w:t>p</w:t>
                      </w:r>
                      <w:r w:rsidRPr="00FB1147">
                        <w:t xml:space="preserve">rincipal </w:t>
                      </w:r>
                      <w:r>
                        <w:t>c</w:t>
                      </w:r>
                      <w:r w:rsidRPr="00FB1147">
                        <w:t xml:space="preserve">omponent </w:t>
                      </w:r>
                      <w:r>
                        <w:t>a</w:t>
                      </w:r>
                      <w:r w:rsidRPr="00FB1147">
                        <w:t xml:space="preserve">nalysis of the spatially resolved </w:t>
                      </w:r>
                      <w:r>
                        <w:t>g</w:t>
                      </w:r>
                      <w:r w:rsidRPr="00FB1147">
                        <w:rPr>
                          <w:vertAlign w:val="subscript"/>
                        </w:rPr>
                        <w:t>Ks</w:t>
                      </w:r>
                      <w:r w:rsidRPr="00FB1147">
                        <w:t xml:space="preserve"> maps across participants. For each mode, the positive (left) and negative (right) extremes (mean ± 2 standard deviations</w:t>
                      </w:r>
                      <w:r w:rsidR="002309A0">
                        <w:t xml:space="preserve"> (std)</w:t>
                      </w:r>
                      <w:r w:rsidRPr="00FB1147">
                        <w:t xml:space="preserve">) are shown on the flattened biventricular surface, illustrating the dominant spatial patterns of inter-subject variability. </w:t>
                      </w:r>
                      <w:r w:rsidRPr="00D77BAA">
                        <w:t>The anatomical orientation of the flattened epicardial representation is indicated by the inset schematic, where RV and LV denote right and left ventricles, respectively, and A and I denote anterior and inferior regions.</w:t>
                      </w:r>
                    </w:p>
                  </w:txbxContent>
                </v:textbox>
                <w10:wrap type="topAndBottom" anchorx="margin"/>
              </v:shape>
            </w:pict>
          </mc:Fallback>
        </mc:AlternateContent>
      </w:r>
      <w:r w:rsidRPr="009239F8">
        <w:rPr>
          <w:rFonts w:ascii="Times New Roman" w:hAnsi="Times New Roman" w:cs="Times New Roman"/>
          <w:noProof/>
          <w:lang w:val="en-US"/>
        </w:rPr>
        <w:drawing>
          <wp:anchor distT="0" distB="0" distL="114300" distR="114300" simplePos="0" relativeHeight="251658255" behindDoc="0" locked="0" layoutInCell="1" allowOverlap="1" wp14:anchorId="7C991EF7" wp14:editId="5995624C">
            <wp:simplePos x="0" y="0"/>
            <wp:positionH relativeFrom="margin">
              <wp:posOffset>25400</wp:posOffset>
            </wp:positionH>
            <wp:positionV relativeFrom="paragraph">
              <wp:posOffset>0</wp:posOffset>
            </wp:positionV>
            <wp:extent cx="5356860" cy="6005195"/>
            <wp:effectExtent l="0" t="0" r="0" b="0"/>
            <wp:wrapTopAndBottom/>
            <wp:docPr id="1452639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39427"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56860" cy="6005195"/>
                    </a:xfrm>
                    <a:prstGeom prst="rect">
                      <a:avLst/>
                    </a:prstGeom>
                  </pic:spPr>
                </pic:pic>
              </a:graphicData>
            </a:graphic>
            <wp14:sizeRelH relativeFrom="margin">
              <wp14:pctWidth>0</wp14:pctWidth>
            </wp14:sizeRelH>
            <wp14:sizeRelV relativeFrom="margin">
              <wp14:pctHeight>0</wp14:pctHeight>
            </wp14:sizeRelV>
          </wp:anchor>
        </w:drawing>
      </w:r>
    </w:p>
    <w:p w14:paraId="0E0B7BAA" w14:textId="74AE75EF" w:rsidR="00B62B74" w:rsidRPr="009239F8" w:rsidRDefault="00B62B74" w:rsidP="009A5B48">
      <w:pPr>
        <w:pStyle w:val="Heading4"/>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S7.2.2: Aging repolarization</w:t>
      </w:r>
    </w:p>
    <w:p w14:paraId="1EA6BEA7" w14:textId="0B0FD03B" w:rsidR="001A5B50" w:rsidRPr="009239F8" w:rsidRDefault="00A67649"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The AgR layer was applied to all 47 eHTN participants, with age-related repolarization adaptation required in every subject</w:t>
      </w:r>
      <w:r w:rsidR="000749D9" w:rsidRPr="009239F8">
        <w:rPr>
          <w:rFonts w:ascii="Times New Roman" w:hAnsi="Times New Roman" w:cs="Times New Roman"/>
          <w:lang w:val="en-US"/>
        </w:rPr>
        <w:t>.</w:t>
      </w:r>
      <w:r w:rsidR="00042B15" w:rsidRPr="009239F8">
        <w:rPr>
          <w:rFonts w:ascii="Times New Roman" w:hAnsi="Times New Roman" w:cs="Times New Roman"/>
          <w:lang w:val="en-US"/>
        </w:rPr>
        <w:t xml:space="preserve"> </w:t>
      </w:r>
      <w:r w:rsidR="000749D9" w:rsidRPr="009239F8">
        <w:rPr>
          <w:rFonts w:ascii="Times New Roman" w:hAnsi="Times New Roman" w:cs="Times New Roman"/>
          <w:lang w:val="en-US"/>
        </w:rPr>
        <w:t xml:space="preserve"> </w:t>
      </w:r>
      <w:r w:rsidR="006C08D8" w:rsidRPr="009239F8">
        <w:rPr>
          <w:rFonts w:ascii="Times New Roman" w:hAnsi="Times New Roman" w:cs="Times New Roman"/>
          <w:lang w:val="en-US"/>
        </w:rPr>
        <w:t>Across the cohort, AgR= was the dominant class, covering a median of 64.8% of the epicardial surface, followed by AgR</w:t>
      </w:r>
      <w:r w:rsidR="006C08D8" w:rsidRPr="009239F8">
        <w:rPr>
          <w:rFonts w:ascii="Times New Roman" w:hAnsi="Times New Roman" w:cs="Times New Roman"/>
          <w:vertAlign w:val="superscript"/>
          <w:lang w:val="en-US"/>
        </w:rPr>
        <w:t>↑</w:t>
      </w:r>
      <w:r w:rsidR="006C08D8" w:rsidRPr="009239F8">
        <w:rPr>
          <w:rFonts w:ascii="Times New Roman" w:hAnsi="Times New Roman" w:cs="Times New Roman"/>
          <w:lang w:val="en-US"/>
        </w:rPr>
        <w:t xml:space="preserve"> and AgR</w:t>
      </w:r>
      <w:r w:rsidR="006C08D8" w:rsidRPr="009239F8">
        <w:rPr>
          <w:rFonts w:ascii="Times New Roman" w:hAnsi="Times New Roman" w:cs="Times New Roman"/>
          <w:vertAlign w:val="superscript"/>
          <w:lang w:val="en-US"/>
        </w:rPr>
        <w:t>↓</w:t>
      </w:r>
      <w:r w:rsidR="006C08D8" w:rsidRPr="009239F8">
        <w:rPr>
          <w:rFonts w:ascii="Times New Roman" w:hAnsi="Times New Roman" w:cs="Times New Roman"/>
          <w:lang w:val="en-US"/>
        </w:rPr>
        <w:t xml:space="preserve"> in comparable global proportions (13.4% and 12.1%, respectively</w:t>
      </w:r>
      <w:r w:rsidR="00160D2B" w:rsidRPr="009239F8">
        <w:rPr>
          <w:rFonts w:ascii="Times New Roman" w:hAnsi="Times New Roman" w:cs="Times New Roman"/>
          <w:lang w:val="en-US"/>
        </w:rPr>
        <w:t xml:space="preserve">, </w:t>
      </w:r>
      <w:r w:rsidR="00160D2B" w:rsidRPr="009239F8">
        <w:rPr>
          <w:rFonts w:ascii="Times New Roman" w:hAnsi="Times New Roman" w:cs="Times New Roman"/>
          <w:lang w:val="en-US"/>
        </w:rPr>
        <w:fldChar w:fldCharType="begin"/>
      </w:r>
      <w:r w:rsidR="00160D2B" w:rsidRPr="009239F8">
        <w:rPr>
          <w:rFonts w:ascii="Times New Roman" w:hAnsi="Times New Roman" w:cs="Times New Roman"/>
          <w:lang w:val="en-US"/>
        </w:rPr>
        <w:instrText xml:space="preserve"> REF _Ref232697868 \h  \* MERGEFORMAT </w:instrText>
      </w:r>
      <w:r w:rsidR="00160D2B" w:rsidRPr="009239F8">
        <w:rPr>
          <w:rFonts w:ascii="Times New Roman" w:hAnsi="Times New Roman" w:cs="Times New Roman"/>
          <w:lang w:val="en-US"/>
        </w:rPr>
      </w:r>
      <w:r w:rsidR="00160D2B" w:rsidRPr="009239F8">
        <w:rPr>
          <w:rFonts w:ascii="Times New Roman" w:hAnsi="Times New Roman" w:cs="Times New Roman"/>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bCs/>
          <w:noProof/>
          <w:lang w:val="en-US"/>
        </w:rPr>
        <w:t>5</w:t>
      </w:r>
      <w:r w:rsidR="00160D2B" w:rsidRPr="009239F8">
        <w:rPr>
          <w:rFonts w:ascii="Times New Roman" w:hAnsi="Times New Roman" w:cs="Times New Roman"/>
          <w:lang w:val="en-US"/>
        </w:rPr>
        <w:fldChar w:fldCharType="end"/>
      </w:r>
      <w:r w:rsidR="006C08D8" w:rsidRPr="009239F8">
        <w:rPr>
          <w:rFonts w:ascii="Times New Roman" w:hAnsi="Times New Roman" w:cs="Times New Roman"/>
          <w:lang w:val="en-US"/>
        </w:rPr>
        <w:t xml:space="preserve">). </w:t>
      </w:r>
    </w:p>
    <w:p w14:paraId="7C7BD8CD" w14:textId="033228C0" w:rsidR="006C08D8" w:rsidRPr="009239F8" w:rsidRDefault="006C08D8"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Spatially, AgR= predominated across the LV, particularly at the mid and apical regions, while the RV showed lower neutral coverage and greater contribution from the other two classes (</w:t>
      </w:r>
      <w:r w:rsidR="00DD5A1D" w:rsidRPr="009239F8">
        <w:rPr>
          <w:rFonts w:ascii="Times New Roman" w:hAnsi="Times New Roman" w:cs="Times New Roman"/>
          <w:b/>
          <w:bCs/>
          <w:lang w:val="en-US"/>
        </w:rPr>
        <w:fldChar w:fldCharType="begin"/>
      </w:r>
      <w:r w:rsidR="00DD5A1D" w:rsidRPr="009239F8">
        <w:rPr>
          <w:rFonts w:ascii="Times New Roman" w:hAnsi="Times New Roman" w:cs="Times New Roman"/>
          <w:b/>
          <w:bCs/>
          <w:lang w:val="en-US"/>
        </w:rPr>
        <w:instrText xml:space="preserve"> REF _Ref232697906 \h  \* MERGEFORMAT </w:instrText>
      </w:r>
      <w:r w:rsidR="00DD5A1D" w:rsidRPr="009239F8">
        <w:rPr>
          <w:rFonts w:ascii="Times New Roman" w:hAnsi="Times New Roman" w:cs="Times New Roman"/>
          <w:b/>
          <w:bCs/>
          <w:lang w:val="en-US"/>
        </w:rPr>
      </w:r>
      <w:r w:rsidR="00DD5A1D" w:rsidRPr="009239F8">
        <w:rPr>
          <w:rFonts w:ascii="Times New Roman" w:hAnsi="Times New Roman" w:cs="Times New Roman"/>
          <w:b/>
          <w:bCs/>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7</w:t>
      </w:r>
      <w:r w:rsidR="00DD5A1D" w:rsidRPr="009239F8">
        <w:rPr>
          <w:rFonts w:ascii="Times New Roman" w:hAnsi="Times New Roman" w:cs="Times New Roman"/>
          <w:b/>
          <w:bCs/>
          <w:lang w:val="en-US"/>
        </w:rPr>
        <w:fldChar w:fldCharType="end"/>
      </w:r>
      <w:r w:rsidR="00DD5A1D" w:rsidRPr="009239F8">
        <w:rPr>
          <w:rFonts w:ascii="Times New Roman" w:hAnsi="Times New Roman" w:cs="Times New Roman"/>
          <w:b/>
          <w:bCs/>
          <w:lang w:val="en-US"/>
        </w:rPr>
        <w:t xml:space="preserve"> b</w:t>
      </w:r>
      <w:r w:rsidRPr="009239F8">
        <w:rPr>
          <w:rFonts w:ascii="Times New Roman" w:hAnsi="Times New Roman" w:cs="Times New Roman"/>
          <w:lang w:val="en-US"/>
        </w:rPr>
        <w:t>).</w:t>
      </w:r>
      <w:r w:rsidR="001A5B50" w:rsidRPr="009239F8">
        <w:rPr>
          <w:rFonts w:ascii="Times New Roman" w:hAnsi="Times New Roman" w:cs="Times New Roman"/>
          <w:lang w:val="en-US"/>
        </w:rPr>
        <w:t xml:space="preserve"> </w:t>
      </w:r>
      <w:r w:rsidRPr="009239F8">
        <w:rPr>
          <w:rFonts w:ascii="Times New Roman" w:hAnsi="Times New Roman" w:cs="Times New Roman"/>
          <w:lang w:val="en-US"/>
        </w:rPr>
        <w:t>AgR</w:t>
      </w:r>
      <w:r w:rsidRPr="009239F8">
        <w:rPr>
          <w:rFonts w:ascii="Times New Roman" w:hAnsi="Times New Roman" w:cs="Times New Roman"/>
          <w:vertAlign w:val="superscript"/>
          <w:lang w:val="en-US"/>
        </w:rPr>
        <w:t>↑</w:t>
      </w:r>
      <w:r w:rsidRPr="009239F8">
        <w:rPr>
          <w:rFonts w:ascii="Times New Roman" w:hAnsi="Times New Roman" w:cs="Times New Roman"/>
          <w:lang w:val="en-US"/>
        </w:rPr>
        <w:t xml:space="preserve"> was concentrated at the basal regions of both ventricles, with a marked base-to-apex decreasing gradient and virtual absence at the apex</w:t>
      </w:r>
      <w:r w:rsidR="00DD5A1D" w:rsidRPr="009239F8">
        <w:rPr>
          <w:rFonts w:ascii="Times New Roman" w:hAnsi="Times New Roman" w:cs="Times New Roman"/>
          <w:lang w:val="en-US"/>
        </w:rPr>
        <w:t xml:space="preserve"> (</w:t>
      </w:r>
      <w:r w:rsidR="00DD5A1D" w:rsidRPr="009239F8">
        <w:rPr>
          <w:rFonts w:ascii="Times New Roman" w:hAnsi="Times New Roman" w:cs="Times New Roman"/>
          <w:lang w:val="en-US"/>
        </w:rPr>
        <w:fldChar w:fldCharType="begin"/>
      </w:r>
      <w:r w:rsidR="00DD5A1D" w:rsidRPr="009239F8">
        <w:rPr>
          <w:rFonts w:ascii="Times New Roman" w:hAnsi="Times New Roman" w:cs="Times New Roman"/>
          <w:lang w:val="en-US"/>
        </w:rPr>
        <w:instrText xml:space="preserve"> REF _Ref232697906 \h  \* MERGEFORMAT </w:instrText>
      </w:r>
      <w:r w:rsidR="00DD5A1D" w:rsidRPr="009239F8">
        <w:rPr>
          <w:rFonts w:ascii="Times New Roman" w:hAnsi="Times New Roman" w:cs="Times New Roman"/>
          <w:lang w:val="en-US"/>
        </w:rPr>
      </w:r>
      <w:r w:rsidR="00DD5A1D"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7</w:t>
      </w:r>
      <w:r w:rsidR="00DD5A1D" w:rsidRPr="009239F8">
        <w:rPr>
          <w:rFonts w:ascii="Times New Roman" w:hAnsi="Times New Roman" w:cs="Times New Roman"/>
          <w:lang w:val="en-US"/>
        </w:rPr>
        <w:fldChar w:fldCharType="end"/>
      </w:r>
      <w:r w:rsidR="00DD5A1D" w:rsidRPr="009239F8">
        <w:rPr>
          <w:rFonts w:ascii="Times New Roman" w:hAnsi="Times New Roman" w:cs="Times New Roman"/>
          <w:lang w:val="en-US"/>
        </w:rPr>
        <w:t xml:space="preserve"> </w:t>
      </w:r>
      <w:r w:rsidR="00DD5A1D" w:rsidRPr="009239F8">
        <w:rPr>
          <w:rFonts w:ascii="Times New Roman" w:hAnsi="Times New Roman" w:cs="Times New Roman"/>
          <w:b/>
          <w:bCs/>
          <w:lang w:val="en-US"/>
        </w:rPr>
        <w:t>a</w:t>
      </w:r>
      <w:r w:rsidRPr="009239F8">
        <w:rPr>
          <w:rFonts w:ascii="Times New Roman" w:hAnsi="Times New Roman" w:cs="Times New Roman"/>
          <w:lang w:val="en-US"/>
        </w:rPr>
        <w:t>). AgR</w:t>
      </w:r>
      <w:r w:rsidRPr="009239F8">
        <w:rPr>
          <w:rFonts w:ascii="Times New Roman" w:hAnsi="Times New Roman" w:cs="Times New Roman"/>
          <w:vertAlign w:val="superscript"/>
          <w:lang w:val="en-US"/>
        </w:rPr>
        <w:t>↓</w:t>
      </w:r>
      <w:r w:rsidRPr="009239F8">
        <w:rPr>
          <w:rFonts w:ascii="Times New Roman" w:hAnsi="Times New Roman" w:cs="Times New Roman"/>
          <w:lang w:val="en-US"/>
        </w:rPr>
        <w:t xml:space="preserve"> showed the opposite spatial pattern, being largely absent from the LV and concentrated in the RV, increasing progressively from base to apex along the lateral and inferior walls (</w:t>
      </w:r>
      <w:r w:rsidR="00DD5A1D" w:rsidRPr="009239F8">
        <w:rPr>
          <w:rFonts w:ascii="Times New Roman" w:hAnsi="Times New Roman" w:cs="Times New Roman"/>
          <w:lang w:val="en-US"/>
        </w:rPr>
        <w:fldChar w:fldCharType="begin"/>
      </w:r>
      <w:r w:rsidR="00DD5A1D" w:rsidRPr="009239F8">
        <w:rPr>
          <w:rFonts w:ascii="Times New Roman" w:hAnsi="Times New Roman" w:cs="Times New Roman"/>
          <w:lang w:val="en-US"/>
        </w:rPr>
        <w:instrText xml:space="preserve"> REF _Ref232697906 \h  \* MERGEFORMAT </w:instrText>
      </w:r>
      <w:r w:rsidR="00DD5A1D" w:rsidRPr="009239F8">
        <w:rPr>
          <w:rFonts w:ascii="Times New Roman" w:hAnsi="Times New Roman" w:cs="Times New Roman"/>
          <w:lang w:val="en-US"/>
        </w:rPr>
      </w:r>
      <w:r w:rsidR="00DD5A1D"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7</w:t>
      </w:r>
      <w:r w:rsidR="00DD5A1D" w:rsidRPr="009239F8">
        <w:rPr>
          <w:rFonts w:ascii="Times New Roman" w:hAnsi="Times New Roman" w:cs="Times New Roman"/>
          <w:lang w:val="en-US"/>
        </w:rPr>
        <w:fldChar w:fldCharType="end"/>
      </w:r>
      <w:r w:rsidR="00DD5A1D" w:rsidRPr="009239F8">
        <w:rPr>
          <w:rFonts w:ascii="Times New Roman" w:hAnsi="Times New Roman" w:cs="Times New Roman"/>
          <w:lang w:val="en-US"/>
        </w:rPr>
        <w:t xml:space="preserve"> </w:t>
      </w:r>
      <w:r w:rsidR="00DD5A1D" w:rsidRPr="009239F8">
        <w:rPr>
          <w:rFonts w:ascii="Times New Roman" w:hAnsi="Times New Roman" w:cs="Times New Roman"/>
          <w:b/>
          <w:bCs/>
          <w:lang w:val="en-US"/>
        </w:rPr>
        <w:t>c</w:t>
      </w:r>
      <w:r w:rsidRPr="009239F8">
        <w:rPr>
          <w:rFonts w:ascii="Times New Roman" w:hAnsi="Times New Roman" w:cs="Times New Roman"/>
          <w:lang w:val="en-US"/>
        </w:rPr>
        <w:t>).</w:t>
      </w:r>
    </w:p>
    <w:p w14:paraId="62F8FAEB" w14:textId="63EF4476" w:rsidR="009457CE" w:rsidRPr="009239F8" w:rsidRDefault="009457CE" w:rsidP="009A5B48">
      <w:pPr>
        <w:spacing w:line="480" w:lineRule="auto"/>
        <w:rPr>
          <w:rFonts w:ascii="Times New Roman" w:hAnsi="Times New Roman" w:cs="Times New Roman"/>
          <w:lang w:val="en-US"/>
        </w:rPr>
      </w:pPr>
      <w:r w:rsidRPr="009239F8">
        <w:rPr>
          <w:rFonts w:ascii="Times New Roman" w:hAnsi="Times New Roman" w:cs="Times New Roman"/>
          <w:noProof/>
          <w:lang w:val="en-US"/>
        </w:rPr>
        <mc:AlternateContent>
          <mc:Choice Requires="wps">
            <w:drawing>
              <wp:anchor distT="0" distB="0" distL="114300" distR="114300" simplePos="0" relativeHeight="251658247" behindDoc="0" locked="0" layoutInCell="1" allowOverlap="1" wp14:anchorId="2823FF0E" wp14:editId="5DE6DD6E">
                <wp:simplePos x="0" y="0"/>
                <wp:positionH relativeFrom="margin">
                  <wp:align>right</wp:align>
                </wp:positionH>
                <wp:positionV relativeFrom="paragraph">
                  <wp:posOffset>2309495</wp:posOffset>
                </wp:positionV>
                <wp:extent cx="5758815" cy="635"/>
                <wp:effectExtent l="0" t="0" r="0" b="1270"/>
                <wp:wrapTopAndBottom/>
                <wp:docPr id="413750269" name="Text Box 1"/>
                <wp:cNvGraphicFramePr/>
                <a:graphic xmlns:a="http://schemas.openxmlformats.org/drawingml/2006/main">
                  <a:graphicData uri="http://schemas.microsoft.com/office/word/2010/wordprocessingShape">
                    <wps:wsp>
                      <wps:cNvSpPr txBox="1"/>
                      <wps:spPr>
                        <a:xfrm>
                          <a:off x="0" y="0"/>
                          <a:ext cx="5758815" cy="635"/>
                        </a:xfrm>
                        <a:prstGeom prst="rect">
                          <a:avLst/>
                        </a:prstGeom>
                        <a:solidFill>
                          <a:prstClr val="white"/>
                        </a:solidFill>
                        <a:ln>
                          <a:noFill/>
                        </a:ln>
                      </wps:spPr>
                      <wps:txbx>
                        <w:txbxContent>
                          <w:p w14:paraId="0FC6608A" w14:textId="0B707BB0" w:rsidR="00B62B74" w:rsidRPr="008C04EC" w:rsidRDefault="00B62B74" w:rsidP="00B62B74">
                            <w:pPr>
                              <w:pStyle w:val="Caption"/>
                              <w:jc w:val="both"/>
                              <w:rPr>
                                <w:noProof/>
                                <w:sz w:val="22"/>
                                <w:szCs w:val="22"/>
                                <w:lang w:val="en-US"/>
                              </w:rPr>
                            </w:pPr>
                            <w:bookmarkStart w:id="11" w:name="_Ref232697906"/>
                            <w:r w:rsidRPr="009472DF">
                              <w:rPr>
                                <w:b/>
                                <w:bCs/>
                              </w:rPr>
                              <w:t xml:space="preserve">Figure S </w:t>
                            </w:r>
                            <w:r w:rsidRPr="009472DF">
                              <w:rPr>
                                <w:b/>
                                <w:bCs/>
                              </w:rPr>
                              <w:fldChar w:fldCharType="begin"/>
                            </w:r>
                            <w:r w:rsidRPr="009472DF">
                              <w:rPr>
                                <w:b/>
                                <w:bCs/>
                              </w:rPr>
                              <w:instrText xml:space="preserve"> SEQ Figure_S \* ARABIC </w:instrText>
                            </w:r>
                            <w:r w:rsidRPr="009472DF">
                              <w:rPr>
                                <w:b/>
                                <w:bCs/>
                              </w:rPr>
                              <w:fldChar w:fldCharType="separate"/>
                            </w:r>
                            <w:r w:rsidR="00BE10AD">
                              <w:rPr>
                                <w:b/>
                                <w:bCs/>
                                <w:noProof/>
                              </w:rPr>
                              <w:t>7</w:t>
                            </w:r>
                            <w:r w:rsidRPr="009472DF">
                              <w:rPr>
                                <w:b/>
                                <w:bCs/>
                              </w:rPr>
                              <w:fldChar w:fldCharType="end"/>
                            </w:r>
                            <w:bookmarkEnd w:id="11"/>
                            <w:r w:rsidRPr="009472DF">
                              <w:rPr>
                                <w:b/>
                                <w:bCs/>
                              </w:rPr>
                              <w:t>.</w:t>
                            </w:r>
                            <w:r>
                              <w:t xml:space="preserve"> </w:t>
                            </w:r>
                            <w:r w:rsidR="002309A0">
                              <w:rPr>
                                <w:rFonts w:asciiTheme="majorHAnsi" w:hAnsiTheme="majorHAnsi"/>
                                <w:b/>
                              </w:rPr>
                              <w:t>Aging</w:t>
                            </w:r>
                            <w:r w:rsidRPr="00BE0CD9">
                              <w:rPr>
                                <w:rFonts w:asciiTheme="majorHAnsi" w:hAnsiTheme="majorHAnsi"/>
                                <w:b/>
                              </w:rPr>
                              <w:t xml:space="preserve"> repolarization</w:t>
                            </w:r>
                            <w:r w:rsidR="002309A0">
                              <w:rPr>
                                <w:rFonts w:asciiTheme="majorHAnsi" w:hAnsiTheme="majorHAnsi"/>
                                <w:b/>
                              </w:rPr>
                              <w:t xml:space="preserve"> (AgR)</w:t>
                            </w:r>
                            <w:r w:rsidRPr="00BE0CD9">
                              <w:rPr>
                                <w:rFonts w:asciiTheme="majorHAnsi" w:hAnsiTheme="majorHAnsi"/>
                                <w:b/>
                              </w:rPr>
                              <w:t xml:space="preserve"> adaptation was required in every participant</w:t>
                            </w:r>
                            <w:r w:rsidRPr="000A0C61">
                              <w:rPr>
                                <w:rFonts w:asciiTheme="majorHAnsi" w:hAnsiTheme="majorHAnsi"/>
                                <w:b/>
                              </w:rPr>
                              <w:t xml:space="preserve"> (n=</w:t>
                            </w:r>
                            <w:r>
                              <w:rPr>
                                <w:rFonts w:asciiTheme="majorHAnsi" w:hAnsiTheme="majorHAnsi"/>
                                <w:b/>
                              </w:rPr>
                              <w:t>47</w:t>
                            </w:r>
                            <w:r w:rsidRPr="000A0C61">
                              <w:rPr>
                                <w:rFonts w:asciiTheme="majorHAnsi" w:hAnsiTheme="majorHAnsi"/>
                                <w:b/>
                              </w:rPr>
                              <w:t xml:space="preserve">). </w:t>
                            </w:r>
                            <w:r w:rsidRPr="000A0C61">
                              <w:rPr>
                                <w:rFonts w:asciiTheme="majorHAnsi" w:hAnsiTheme="majorHAnsi"/>
                              </w:rPr>
                              <w:t xml:space="preserve">Population-level prevalence maps of AgR compensation classes across the </w:t>
                            </w:r>
                            <w:r w:rsidR="002309A0">
                              <w:rPr>
                                <w:rFonts w:asciiTheme="majorHAnsi" w:hAnsiTheme="majorHAnsi"/>
                              </w:rPr>
                              <w:t>early-stage hypertensive (</w:t>
                            </w:r>
                            <w:r w:rsidRPr="00263BA6">
                              <w:rPr>
                                <w:rFonts w:asciiTheme="majorHAnsi" w:hAnsiTheme="majorHAnsi"/>
                              </w:rPr>
                              <w:t>eHTN</w:t>
                            </w:r>
                            <w:r w:rsidR="002309A0">
                              <w:rPr>
                                <w:rFonts w:asciiTheme="majorHAnsi" w:hAnsiTheme="majorHAnsi"/>
                              </w:rPr>
                              <w:t>)</w:t>
                            </w:r>
                            <w:r>
                              <w:rPr>
                                <w:rFonts w:asciiTheme="majorHAnsi" w:hAnsiTheme="majorHAnsi"/>
                              </w:rPr>
                              <w:t xml:space="preserve"> </w:t>
                            </w:r>
                            <w:r w:rsidRPr="000A0C61">
                              <w:rPr>
                                <w:rFonts w:asciiTheme="majorHAnsi" w:hAnsiTheme="majorHAnsi"/>
                              </w:rPr>
                              <w:t xml:space="preserve">MyoFit46 cohort. Each map displays the proportion of </w:t>
                            </w:r>
                            <w:r w:rsidR="006A668C">
                              <w:rPr>
                                <w:rFonts w:asciiTheme="majorHAnsi" w:hAnsiTheme="majorHAnsi"/>
                              </w:rPr>
                              <w:t>participants</w:t>
                            </w:r>
                            <w:r w:rsidRPr="000A0C61">
                              <w:rPr>
                                <w:rFonts w:asciiTheme="majorHAnsi" w:hAnsiTheme="majorHAnsi"/>
                              </w:rPr>
                              <w:t xml:space="preserve"> exhibiting a given AgR compensation state at each epicardial point, ranging from 0 (no subject) to 100 (n=</w:t>
                            </w:r>
                            <w:r>
                              <w:rPr>
                                <w:rFonts w:asciiTheme="majorHAnsi" w:hAnsiTheme="majorHAnsi"/>
                              </w:rPr>
                              <w:t>47</w:t>
                            </w:r>
                            <w:r w:rsidRPr="000A0C61">
                              <w:rPr>
                                <w:rFonts w:asciiTheme="majorHAnsi" w:hAnsiTheme="majorHAnsi"/>
                              </w:rPr>
                              <w:t xml:space="preserve">). a) </w:t>
                            </w:r>
                            <w:r w:rsidRPr="000A0C61">
                              <w:rPr>
                                <w:rFonts w:asciiTheme="majorHAnsi" w:hAnsiTheme="majorHAnsi" w:cs="Times New Roman"/>
                              </w:rPr>
                              <w:t>AgR</w:t>
                            </w:r>
                            <w:r w:rsidRPr="000A0C61">
                              <w:rPr>
                                <w:rFonts w:asciiTheme="majorHAnsi" w:hAnsiTheme="majorHAnsi" w:cs="Times New Roman"/>
                                <w:vertAlign w:val="superscript"/>
                              </w:rPr>
                              <w:t>↑</w:t>
                            </w:r>
                            <w:r w:rsidRPr="000A0C61">
                              <w:rPr>
                                <w:rFonts w:asciiTheme="majorHAnsi" w:eastAsiaTheme="minorEastAsia" w:hAnsiTheme="majorHAnsi"/>
                              </w:rPr>
                              <w:t xml:space="preserve"> </w:t>
                            </w:r>
                            <w:r>
                              <w:rPr>
                                <w:rFonts w:asciiTheme="majorHAnsi" w:hAnsiTheme="majorHAnsi"/>
                              </w:rPr>
                              <w:t>prolongation</w:t>
                            </w:r>
                            <w:r w:rsidRPr="000A0C61">
                              <w:rPr>
                                <w:rFonts w:asciiTheme="majorHAnsi" w:hAnsiTheme="majorHAnsi"/>
                              </w:rPr>
                              <w:t xml:space="preserve"> compensation prevalence. b) AgR</w:t>
                            </w:r>
                            <w:r w:rsidRPr="000A0C61">
                              <w:rPr>
                                <w:rFonts w:asciiTheme="majorHAnsi" w:hAnsiTheme="majorHAnsi"/>
                                <w:vertAlign w:val="superscript"/>
                              </w:rPr>
                              <w:t>=</w:t>
                            </w:r>
                            <w:r w:rsidRPr="000A0C61">
                              <w:rPr>
                                <w:rFonts w:asciiTheme="majorHAnsi" w:hAnsiTheme="majorHAnsi"/>
                              </w:rPr>
                              <w:t xml:space="preserve"> neutral prevalence (no compensation). c) AgR</w:t>
                            </w:r>
                            <w:r w:rsidRPr="00B01D14">
                              <w:rPr>
                                <w:rFonts w:asciiTheme="majorHAnsi" w:hAnsiTheme="majorHAnsi"/>
                                <w:vertAlign w:val="superscript"/>
                              </w:rPr>
                              <w:t>↓</w:t>
                            </w:r>
                            <w:r w:rsidRPr="000A0C61">
                              <w:rPr>
                                <w:rFonts w:asciiTheme="majorHAnsi" w:hAnsiTheme="majorHAnsi"/>
                              </w:rPr>
                              <w:t xml:space="preserve"> </w:t>
                            </w:r>
                            <w:r>
                              <w:rPr>
                                <w:rFonts w:asciiTheme="majorHAnsi" w:hAnsiTheme="majorHAnsi"/>
                              </w:rPr>
                              <w:t>shortening</w:t>
                            </w:r>
                            <w:r w:rsidRPr="000A0C61">
                              <w:rPr>
                                <w:rFonts w:asciiTheme="majorHAnsi" w:hAnsiTheme="majorHAnsi"/>
                              </w:rPr>
                              <w:t xml:space="preserve"> compensation prevalence. The black line indicates the left ventric</w:t>
                            </w:r>
                            <w:r w:rsidR="002309A0">
                              <w:rPr>
                                <w:rFonts w:asciiTheme="majorHAnsi" w:hAnsiTheme="majorHAnsi"/>
                              </w:rPr>
                              <w:t>le (LV)</w:t>
                            </w:r>
                            <w:r w:rsidRPr="000A0C61">
                              <w:rPr>
                                <w:rFonts w:asciiTheme="majorHAnsi" w:hAnsiTheme="majorHAnsi"/>
                              </w:rPr>
                              <w:t xml:space="preserve"> — right ventricl</w:t>
                            </w:r>
                            <w:r w:rsidR="002309A0">
                              <w:rPr>
                                <w:rFonts w:asciiTheme="majorHAnsi" w:hAnsiTheme="majorHAnsi"/>
                              </w:rPr>
                              <w:t>e (RV)</w:t>
                            </w:r>
                            <w:r w:rsidRPr="000A0C61">
                              <w:rPr>
                                <w:rFonts w:asciiTheme="majorHAnsi" w:hAnsiTheme="majorHAnsi"/>
                              </w:rPr>
                              <w:t xml:space="preserve"> insertion. </w:t>
                            </w:r>
                            <w:r w:rsidRPr="00D77BAA">
                              <w:t>The anatomical orientation of the flattened epicardial representation is indicated by the inset schematic, where RV and LV denote right and left ventricles, respectively, and A and I denote anterior and inferior regions.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23FF0E" id="_x0000_s1029" type="#_x0000_t202" style="position:absolute;margin-left:402.25pt;margin-top:181.85pt;width:453.45pt;height:.05pt;z-index:25165824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" stroked="f">
                <v:textbox style="mso-fit-shape-to-text:t" inset="0,0,0,0">
                  <w:txbxContent>
                    <w:p w14:paraId="0FC6608A" w14:textId="0B707BB0" w:rsidR="00B62B74" w:rsidRPr="008C04EC" w:rsidRDefault="00B62B74" w:rsidP="00B62B74">
                      <w:pPr>
                        <w:pStyle w:val="Caption"/>
                        <w:jc w:val="both"/>
                        <w:rPr>
                          <w:noProof/>
                          <w:sz w:val="22"/>
                          <w:szCs w:val="22"/>
                          <w:lang w:val="en-US"/>
                        </w:rPr>
                      </w:pPr>
                      <w:bookmarkStart w:id="18" w:name="_Ref232697906"/>
                      <w:r w:rsidRPr="009472DF">
                        <w:rPr>
                          <w:b/>
                          <w:bCs/>
                        </w:rPr>
                        <w:t xml:space="preserve">Figure S </w:t>
                      </w:r>
                      <w:r w:rsidRPr="009472DF">
                        <w:rPr>
                          <w:b/>
                          <w:bCs/>
                        </w:rPr>
                        <w:fldChar w:fldCharType="begin"/>
                      </w:r>
                      <w:r w:rsidRPr="009472DF">
                        <w:rPr>
                          <w:b/>
                          <w:bCs/>
                        </w:rPr>
                        <w:instrText xml:space="preserve"> SEQ Figure_S \* ARABIC </w:instrText>
                      </w:r>
                      <w:r w:rsidRPr="009472DF">
                        <w:rPr>
                          <w:b/>
                          <w:bCs/>
                        </w:rPr>
                        <w:fldChar w:fldCharType="separate"/>
                      </w:r>
                      <w:r w:rsidR="00BE10AD">
                        <w:rPr>
                          <w:b/>
                          <w:bCs/>
                          <w:noProof/>
                        </w:rPr>
                        <w:t>7</w:t>
                      </w:r>
                      <w:r w:rsidRPr="009472DF">
                        <w:rPr>
                          <w:b/>
                          <w:bCs/>
                        </w:rPr>
                        <w:fldChar w:fldCharType="end"/>
                      </w:r>
                      <w:bookmarkEnd w:id="18"/>
                      <w:r w:rsidRPr="009472DF">
                        <w:rPr>
                          <w:b/>
                          <w:bCs/>
                        </w:rPr>
                        <w:t>.</w:t>
                      </w:r>
                      <w:r>
                        <w:t xml:space="preserve"> </w:t>
                      </w:r>
                      <w:r w:rsidR="002309A0">
                        <w:rPr>
                          <w:rFonts w:asciiTheme="majorHAnsi" w:hAnsiTheme="majorHAnsi"/>
                          <w:b/>
                        </w:rPr>
                        <w:t>Aging</w:t>
                      </w:r>
                      <w:r w:rsidRPr="00BE0CD9">
                        <w:rPr>
                          <w:rFonts w:asciiTheme="majorHAnsi" w:hAnsiTheme="majorHAnsi"/>
                          <w:b/>
                        </w:rPr>
                        <w:t xml:space="preserve"> repolarization</w:t>
                      </w:r>
                      <w:r w:rsidR="002309A0">
                        <w:rPr>
                          <w:rFonts w:asciiTheme="majorHAnsi" w:hAnsiTheme="majorHAnsi"/>
                          <w:b/>
                        </w:rPr>
                        <w:t xml:space="preserve"> (AgR)</w:t>
                      </w:r>
                      <w:r w:rsidRPr="00BE0CD9">
                        <w:rPr>
                          <w:rFonts w:asciiTheme="majorHAnsi" w:hAnsiTheme="majorHAnsi"/>
                          <w:b/>
                        </w:rPr>
                        <w:t xml:space="preserve"> adaptation was required in every participant</w:t>
                      </w:r>
                      <w:r w:rsidRPr="000A0C61">
                        <w:rPr>
                          <w:rFonts w:asciiTheme="majorHAnsi" w:hAnsiTheme="majorHAnsi"/>
                          <w:b/>
                        </w:rPr>
                        <w:t xml:space="preserve"> (n=</w:t>
                      </w:r>
                      <w:r>
                        <w:rPr>
                          <w:rFonts w:asciiTheme="majorHAnsi" w:hAnsiTheme="majorHAnsi"/>
                          <w:b/>
                        </w:rPr>
                        <w:t>47</w:t>
                      </w:r>
                      <w:r w:rsidRPr="000A0C61">
                        <w:rPr>
                          <w:rFonts w:asciiTheme="majorHAnsi" w:hAnsiTheme="majorHAnsi"/>
                          <w:b/>
                        </w:rPr>
                        <w:t xml:space="preserve">). </w:t>
                      </w:r>
                      <w:r w:rsidRPr="000A0C61">
                        <w:rPr>
                          <w:rFonts w:asciiTheme="majorHAnsi" w:hAnsiTheme="majorHAnsi"/>
                        </w:rPr>
                        <w:t xml:space="preserve">Population-level prevalence maps of AgR compensation classes across the </w:t>
                      </w:r>
                      <w:r w:rsidR="002309A0">
                        <w:rPr>
                          <w:rFonts w:asciiTheme="majorHAnsi" w:hAnsiTheme="majorHAnsi"/>
                        </w:rPr>
                        <w:t>early-stage hypertensive (</w:t>
                      </w:r>
                      <w:r w:rsidRPr="00263BA6">
                        <w:rPr>
                          <w:rFonts w:asciiTheme="majorHAnsi" w:hAnsiTheme="majorHAnsi"/>
                        </w:rPr>
                        <w:t>eHTN</w:t>
                      </w:r>
                      <w:r w:rsidR="002309A0">
                        <w:rPr>
                          <w:rFonts w:asciiTheme="majorHAnsi" w:hAnsiTheme="majorHAnsi"/>
                        </w:rPr>
                        <w:t>)</w:t>
                      </w:r>
                      <w:r>
                        <w:rPr>
                          <w:rFonts w:asciiTheme="majorHAnsi" w:hAnsiTheme="majorHAnsi"/>
                        </w:rPr>
                        <w:t xml:space="preserve"> </w:t>
                      </w:r>
                      <w:r w:rsidRPr="000A0C61">
                        <w:rPr>
                          <w:rFonts w:asciiTheme="majorHAnsi" w:hAnsiTheme="majorHAnsi"/>
                        </w:rPr>
                        <w:t xml:space="preserve">MyoFit46 cohort. Each map displays the proportion of </w:t>
                      </w:r>
                      <w:r w:rsidR="006A668C">
                        <w:rPr>
                          <w:rFonts w:asciiTheme="majorHAnsi" w:hAnsiTheme="majorHAnsi"/>
                        </w:rPr>
                        <w:t>participants</w:t>
                      </w:r>
                      <w:r w:rsidRPr="000A0C61">
                        <w:rPr>
                          <w:rFonts w:asciiTheme="majorHAnsi" w:hAnsiTheme="majorHAnsi"/>
                        </w:rPr>
                        <w:t xml:space="preserve"> exhibiting a given AgR compensation state at each epicardial point, ranging from 0 (no subject) to 100 (n=</w:t>
                      </w:r>
                      <w:r>
                        <w:rPr>
                          <w:rFonts w:asciiTheme="majorHAnsi" w:hAnsiTheme="majorHAnsi"/>
                        </w:rPr>
                        <w:t>47</w:t>
                      </w:r>
                      <w:r w:rsidRPr="000A0C61">
                        <w:rPr>
                          <w:rFonts w:asciiTheme="majorHAnsi" w:hAnsiTheme="majorHAnsi"/>
                        </w:rPr>
                        <w:t xml:space="preserve">). a) </w:t>
                      </w:r>
                      <w:r w:rsidRPr="000A0C61">
                        <w:rPr>
                          <w:rFonts w:asciiTheme="majorHAnsi" w:hAnsiTheme="majorHAnsi" w:cs="Times New Roman"/>
                        </w:rPr>
                        <w:t>AgR</w:t>
                      </w:r>
                      <w:r w:rsidRPr="000A0C61">
                        <w:rPr>
                          <w:rFonts w:asciiTheme="majorHAnsi" w:hAnsiTheme="majorHAnsi" w:cs="Times New Roman"/>
                          <w:vertAlign w:val="superscript"/>
                        </w:rPr>
                        <w:t>↑</w:t>
                      </w:r>
                      <w:r w:rsidRPr="000A0C61">
                        <w:rPr>
                          <w:rFonts w:asciiTheme="majorHAnsi" w:eastAsiaTheme="minorEastAsia" w:hAnsiTheme="majorHAnsi"/>
                        </w:rPr>
                        <w:t xml:space="preserve"> </w:t>
                      </w:r>
                      <w:r>
                        <w:rPr>
                          <w:rFonts w:asciiTheme="majorHAnsi" w:hAnsiTheme="majorHAnsi"/>
                        </w:rPr>
                        <w:t>prolongation</w:t>
                      </w:r>
                      <w:r w:rsidRPr="000A0C61">
                        <w:rPr>
                          <w:rFonts w:asciiTheme="majorHAnsi" w:hAnsiTheme="majorHAnsi"/>
                        </w:rPr>
                        <w:t xml:space="preserve"> compensation prevalence. b) AgR</w:t>
                      </w:r>
                      <w:r w:rsidRPr="000A0C61">
                        <w:rPr>
                          <w:rFonts w:asciiTheme="majorHAnsi" w:hAnsiTheme="majorHAnsi"/>
                          <w:vertAlign w:val="superscript"/>
                        </w:rPr>
                        <w:t>=</w:t>
                      </w:r>
                      <w:r w:rsidRPr="000A0C61">
                        <w:rPr>
                          <w:rFonts w:asciiTheme="majorHAnsi" w:hAnsiTheme="majorHAnsi"/>
                        </w:rPr>
                        <w:t xml:space="preserve"> neutral prevalence (no compensation). c) AgR</w:t>
                      </w:r>
                      <w:r w:rsidRPr="00B01D14">
                        <w:rPr>
                          <w:rFonts w:asciiTheme="majorHAnsi" w:hAnsiTheme="majorHAnsi"/>
                          <w:vertAlign w:val="superscript"/>
                        </w:rPr>
                        <w:t>↓</w:t>
                      </w:r>
                      <w:r w:rsidRPr="000A0C61">
                        <w:rPr>
                          <w:rFonts w:asciiTheme="majorHAnsi" w:hAnsiTheme="majorHAnsi"/>
                        </w:rPr>
                        <w:t xml:space="preserve"> </w:t>
                      </w:r>
                      <w:r>
                        <w:rPr>
                          <w:rFonts w:asciiTheme="majorHAnsi" w:hAnsiTheme="majorHAnsi"/>
                        </w:rPr>
                        <w:t>shortening</w:t>
                      </w:r>
                      <w:r w:rsidRPr="000A0C61">
                        <w:rPr>
                          <w:rFonts w:asciiTheme="majorHAnsi" w:hAnsiTheme="majorHAnsi"/>
                        </w:rPr>
                        <w:t xml:space="preserve"> compensation prevalence. The black line indicates the left ventric</w:t>
                      </w:r>
                      <w:r w:rsidR="002309A0">
                        <w:rPr>
                          <w:rFonts w:asciiTheme="majorHAnsi" w:hAnsiTheme="majorHAnsi"/>
                        </w:rPr>
                        <w:t>le (LV)</w:t>
                      </w:r>
                      <w:r w:rsidRPr="000A0C61">
                        <w:rPr>
                          <w:rFonts w:asciiTheme="majorHAnsi" w:hAnsiTheme="majorHAnsi"/>
                        </w:rPr>
                        <w:t xml:space="preserve"> — right ventricl</w:t>
                      </w:r>
                      <w:r w:rsidR="002309A0">
                        <w:rPr>
                          <w:rFonts w:asciiTheme="majorHAnsi" w:hAnsiTheme="majorHAnsi"/>
                        </w:rPr>
                        <w:t>e (RV)</w:t>
                      </w:r>
                      <w:r w:rsidRPr="000A0C61">
                        <w:rPr>
                          <w:rFonts w:asciiTheme="majorHAnsi" w:hAnsiTheme="majorHAnsi"/>
                        </w:rPr>
                        <w:t xml:space="preserve"> insertion. </w:t>
                      </w:r>
                      <w:r w:rsidRPr="00D77BAA">
                        <w:t>The anatomical orientation of the flattened epicardial representation is indicated by the inset schematic, where RV and LV denote right and left ventricles, respectively, and A and I denote anterior and inferior regions.</w:t>
                      </w:r>
                    </w:p>
                  </w:txbxContent>
                </v:textbox>
                <w10:wrap type="topAndBottom" anchorx="margin"/>
              </v:shape>
            </w:pict>
          </mc:Fallback>
        </mc:AlternateContent>
      </w:r>
      <w:r w:rsidRPr="009239F8">
        <w:rPr>
          <w:rFonts w:ascii="Times New Roman" w:hAnsi="Times New Roman" w:cs="Times New Roman"/>
          <w:noProof/>
          <w:lang w:val="en-US"/>
        </w:rPr>
        <w:drawing>
          <wp:anchor distT="0" distB="0" distL="114300" distR="114300" simplePos="0" relativeHeight="251658246" behindDoc="0" locked="0" layoutInCell="1" allowOverlap="1" wp14:anchorId="7EE2A458" wp14:editId="3E3E1368">
            <wp:simplePos x="0" y="0"/>
            <wp:positionH relativeFrom="margin">
              <wp:align>left</wp:align>
            </wp:positionH>
            <wp:positionV relativeFrom="paragraph">
              <wp:posOffset>224078</wp:posOffset>
            </wp:positionV>
            <wp:extent cx="5779135" cy="2190115"/>
            <wp:effectExtent l="0" t="0" r="0" b="635"/>
            <wp:wrapTopAndBottom/>
            <wp:docPr id="8179642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964216" name="Picture 8179642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79135" cy="2190115"/>
                    </a:xfrm>
                    <a:prstGeom prst="rect">
                      <a:avLst/>
                    </a:prstGeom>
                  </pic:spPr>
                </pic:pic>
              </a:graphicData>
            </a:graphic>
            <wp14:sizeRelH relativeFrom="margin">
              <wp14:pctWidth>0</wp14:pctWidth>
            </wp14:sizeRelH>
            <wp14:sizeRelV relativeFrom="margin">
              <wp14:pctHeight>0</wp14:pctHeight>
            </wp14:sizeRelV>
          </wp:anchor>
        </w:drawing>
      </w:r>
    </w:p>
    <w:p w14:paraId="6993D8EF" w14:textId="748241EF" w:rsidR="00B62B74" w:rsidRPr="009239F8" w:rsidRDefault="00B62B74" w:rsidP="009A5B48">
      <w:pPr>
        <w:pStyle w:val="Caption"/>
        <w:keepNext/>
        <w:spacing w:line="480" w:lineRule="auto"/>
        <w:jc w:val="both"/>
        <w:rPr>
          <w:rFonts w:cs="Times New Roman"/>
          <w:color w:val="auto"/>
          <w:lang w:val="en-US"/>
        </w:rPr>
      </w:pPr>
      <w:bookmarkStart w:id="12" w:name="_Ref232697868"/>
      <w:r w:rsidRPr="009239F8">
        <w:rPr>
          <w:rFonts w:cs="Times New Roman"/>
          <w:b/>
          <w:color w:val="auto"/>
          <w:lang w:val="en-US"/>
        </w:rPr>
        <w:t xml:space="preserve">Table S </w:t>
      </w:r>
      <w:r w:rsidRPr="009239F8">
        <w:rPr>
          <w:rFonts w:cs="Times New Roman"/>
          <w:b/>
          <w:color w:val="auto"/>
          <w:lang w:val="en-US"/>
        </w:rPr>
        <w:fldChar w:fldCharType="begin"/>
      </w:r>
      <w:r w:rsidRPr="009239F8">
        <w:rPr>
          <w:rFonts w:cs="Times New Roman"/>
          <w:b/>
          <w:bCs/>
          <w:color w:val="auto"/>
          <w:lang w:val="en-US"/>
        </w:rPr>
        <w:instrText xml:space="preserve"> SEQ Table_S \* ARABIC </w:instrText>
      </w:r>
      <w:r w:rsidRPr="009239F8">
        <w:rPr>
          <w:rFonts w:cs="Times New Roman"/>
          <w:b/>
          <w:color w:val="auto"/>
          <w:lang w:val="en-US"/>
        </w:rPr>
        <w:fldChar w:fldCharType="separate"/>
      </w:r>
      <w:r w:rsidR="00890076" w:rsidRPr="009239F8">
        <w:rPr>
          <w:rFonts w:cs="Times New Roman"/>
          <w:b/>
          <w:bCs/>
          <w:noProof/>
          <w:color w:val="auto"/>
          <w:lang w:val="en-US"/>
        </w:rPr>
        <w:t>5</w:t>
      </w:r>
      <w:r w:rsidRPr="009239F8">
        <w:rPr>
          <w:rFonts w:cs="Times New Roman"/>
          <w:b/>
          <w:color w:val="auto"/>
          <w:lang w:val="en-US"/>
        </w:rPr>
        <w:fldChar w:fldCharType="end"/>
      </w:r>
      <w:bookmarkEnd w:id="12"/>
      <w:r w:rsidRPr="009239F8">
        <w:rPr>
          <w:rFonts w:cs="Times New Roman"/>
          <w:color w:val="auto"/>
          <w:lang w:val="en-US"/>
        </w:rPr>
        <w:t xml:space="preserve">. </w:t>
      </w:r>
      <w:r w:rsidRPr="009239F8">
        <w:rPr>
          <w:rFonts w:cs="Times New Roman"/>
          <w:b/>
          <w:color w:val="auto"/>
          <w:lang w:val="en-US"/>
        </w:rPr>
        <w:t xml:space="preserve">Regional distribution of </w:t>
      </w:r>
      <w:r w:rsidR="002309A0" w:rsidRPr="009239F8">
        <w:rPr>
          <w:rFonts w:cs="Times New Roman"/>
          <w:b/>
          <w:color w:val="auto"/>
          <w:lang w:val="en-US"/>
        </w:rPr>
        <w:t>aging repolarization (AgR)</w:t>
      </w:r>
      <w:r w:rsidRPr="009239F8">
        <w:rPr>
          <w:rFonts w:cs="Times New Roman"/>
          <w:b/>
          <w:color w:val="auto"/>
          <w:lang w:val="en-US"/>
        </w:rPr>
        <w:t xml:space="preserve"> classes across the </w:t>
      </w:r>
      <w:r w:rsidR="002309A0" w:rsidRPr="009239F8">
        <w:rPr>
          <w:rFonts w:cs="Times New Roman"/>
          <w:b/>
          <w:color w:val="auto"/>
          <w:lang w:val="en-US"/>
        </w:rPr>
        <w:t xml:space="preserve">early-stage hypertensive (eHTN) </w:t>
      </w:r>
      <w:r w:rsidRPr="009239F8">
        <w:rPr>
          <w:rFonts w:cs="Times New Roman"/>
          <w:b/>
          <w:color w:val="auto"/>
          <w:lang w:val="en-US"/>
        </w:rPr>
        <w:t>MyoFit46 cohort.</w:t>
      </w:r>
      <w:r w:rsidRPr="009239F8">
        <w:rPr>
          <w:rFonts w:cs="Times New Roman"/>
          <w:color w:val="auto"/>
          <w:lang w:val="en-US"/>
        </w:rPr>
        <w:t xml:space="preserve"> Median [</w:t>
      </w:r>
      <w:r w:rsidR="002309A0" w:rsidRPr="009239F8">
        <w:rPr>
          <w:rFonts w:cs="Times New Roman"/>
          <w:color w:val="auto"/>
          <w:lang w:val="en-US"/>
        </w:rPr>
        <w:t>interquartile range</w:t>
      </w:r>
      <w:r w:rsidRPr="009239F8">
        <w:rPr>
          <w:rFonts w:cs="Times New Roman"/>
          <w:color w:val="auto"/>
          <w:lang w:val="en-US"/>
        </w:rPr>
        <w:t xml:space="preserve">] epicardial surface percentage covered by </w:t>
      </w:r>
      <w:r w:rsidRPr="009239F8">
        <w:rPr>
          <w:rFonts w:eastAsiaTheme="minorEastAsia" w:cs="Times New Roman"/>
          <w:color w:val="auto"/>
          <w:lang w:val="en-US"/>
        </w:rPr>
        <w:t>AgR</w:t>
      </w:r>
      <w:r w:rsidRPr="009239F8">
        <w:rPr>
          <w:rFonts w:eastAsia="Yu Gothic" w:cs="Times New Roman"/>
          <w:color w:val="auto"/>
          <w:vertAlign w:val="superscript"/>
          <w:lang w:val="en-US"/>
        </w:rPr>
        <w:t>↓</w:t>
      </w:r>
      <w:r w:rsidRPr="009239F8">
        <w:rPr>
          <w:rFonts w:eastAsiaTheme="minorEastAsia" w:cs="Times New Roman"/>
          <w:color w:val="auto"/>
          <w:lang w:val="en-US"/>
        </w:rPr>
        <w:t>(shortening), AgR</w:t>
      </w:r>
      <w:r w:rsidRPr="009239F8">
        <w:rPr>
          <w:rFonts w:eastAsiaTheme="minorEastAsia" w:cs="Times New Roman"/>
          <w:color w:val="auto"/>
          <w:vertAlign w:val="superscript"/>
          <w:lang w:val="en-US"/>
        </w:rPr>
        <w:t>=</w:t>
      </w:r>
      <w:r w:rsidRPr="009239F8">
        <w:rPr>
          <w:rFonts w:eastAsiaTheme="minorEastAsia" w:cs="Times New Roman"/>
          <w:color w:val="auto"/>
          <w:lang w:val="en-US"/>
        </w:rPr>
        <w:t>(neutral), and AgR</w:t>
      </w:r>
      <w:r w:rsidRPr="009239F8">
        <w:rPr>
          <w:rFonts w:eastAsiaTheme="minorEastAsia" w:cs="Times New Roman"/>
          <w:color w:val="auto"/>
          <w:vertAlign w:val="superscript"/>
          <w:lang w:val="en-US"/>
        </w:rPr>
        <w:t>↑</w:t>
      </w:r>
      <w:r w:rsidRPr="009239F8">
        <w:rPr>
          <w:rFonts w:eastAsiaTheme="minorEastAsia" w:cs="Times New Roman"/>
          <w:color w:val="auto"/>
          <w:lang w:val="en-US"/>
        </w:rPr>
        <w:t>(prolongation)</w:t>
      </w:r>
      <w:r w:rsidRPr="009239F8">
        <w:rPr>
          <w:rFonts w:cs="Times New Roman"/>
          <w:color w:val="auto"/>
          <w:lang w:val="en-US"/>
        </w:rPr>
        <w:t xml:space="preserve"> compensation per region across 47 subjects. Medians are computed independently per class and do not sum to 100%. Chamber comparisons were assessed using the Wilcoxon signed-rank test; longitudinal and circumferential comparisons using the Friedman omnibus test.</w:t>
      </w:r>
      <w:r w:rsidR="002309A0" w:rsidRPr="009239F8">
        <w:rPr>
          <w:rFonts w:cs="Times New Roman"/>
          <w:color w:val="auto"/>
          <w:lang w:val="en-US"/>
        </w:rPr>
        <w:t xml:space="preserve"> LV: Left ventricle; RV: right ventricle.</w:t>
      </w:r>
    </w:p>
    <w:tbl>
      <w:tblPr>
        <w:tblStyle w:val="TableGrid"/>
        <w:tblW w:w="9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2338"/>
        <w:gridCol w:w="2339"/>
        <w:gridCol w:w="2342"/>
      </w:tblGrid>
      <w:tr w:rsidR="00B62B74" w:rsidRPr="009239F8" w14:paraId="2C2F68AB" w14:textId="77777777" w:rsidTr="00A72AA9">
        <w:trPr>
          <w:trHeight w:val="494"/>
        </w:trPr>
        <w:tc>
          <w:tcPr>
            <w:tcW w:w="2285" w:type="dxa"/>
            <w:tcBorders>
              <w:top w:val="single" w:sz="4" w:space="0" w:color="auto"/>
              <w:bottom w:val="single" w:sz="4" w:space="0" w:color="auto"/>
            </w:tcBorders>
            <w:vAlign w:val="center"/>
          </w:tcPr>
          <w:p w14:paraId="67F64128"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Region</w:t>
            </w:r>
          </w:p>
        </w:tc>
        <w:tc>
          <w:tcPr>
            <w:tcW w:w="2338" w:type="dxa"/>
            <w:tcBorders>
              <w:top w:val="single" w:sz="4" w:space="0" w:color="auto"/>
              <w:bottom w:val="single" w:sz="4" w:space="0" w:color="auto"/>
            </w:tcBorders>
            <w:vAlign w:val="center"/>
          </w:tcPr>
          <w:p w14:paraId="6D2E90CB" w14:textId="77777777" w:rsidR="00B62B74" w:rsidRPr="009239F8" w:rsidRDefault="00B62B74" w:rsidP="009A5B48">
            <w:pPr>
              <w:spacing w:line="480" w:lineRule="auto"/>
              <w:rPr>
                <w:rFonts w:ascii="Times New Roman" w:hAnsi="Times New Roman" w:cs="Times New Roman"/>
                <w:b/>
                <w:lang w:val="en-US"/>
              </w:rPr>
            </w:pPr>
            <w:r w:rsidRPr="009239F8">
              <w:rPr>
                <w:rFonts w:ascii="Times New Roman" w:hAnsi="Times New Roman" w:cs="Times New Roman"/>
                <w:b/>
                <w:lang w:val="en-US"/>
              </w:rPr>
              <w:t>AgR</w:t>
            </w:r>
            <w:r w:rsidRPr="009239F8">
              <w:rPr>
                <w:rFonts w:ascii="Times New Roman" w:hAnsi="Times New Roman" w:cs="Times New Roman"/>
                <w:b/>
                <w:vertAlign w:val="superscript"/>
                <w:lang w:val="en-US"/>
              </w:rPr>
              <w:t xml:space="preserve">↓ </w:t>
            </w:r>
            <w:r w:rsidRPr="009239F8">
              <w:rPr>
                <w:rFonts w:ascii="Times New Roman" w:hAnsi="Times New Roman" w:cs="Times New Roman"/>
                <w:i/>
                <w:lang w:val="en-US"/>
              </w:rPr>
              <w:t>(%)</w:t>
            </w:r>
          </w:p>
        </w:tc>
        <w:tc>
          <w:tcPr>
            <w:tcW w:w="2339" w:type="dxa"/>
            <w:tcBorders>
              <w:top w:val="single" w:sz="4" w:space="0" w:color="auto"/>
              <w:bottom w:val="single" w:sz="4" w:space="0" w:color="auto"/>
            </w:tcBorders>
            <w:vAlign w:val="center"/>
          </w:tcPr>
          <w:p w14:paraId="2E759FDA" w14:textId="77777777" w:rsidR="00B62B74" w:rsidRPr="009239F8" w:rsidRDefault="00B62B74" w:rsidP="009A5B48">
            <w:pPr>
              <w:spacing w:line="480" w:lineRule="auto"/>
              <w:rPr>
                <w:rFonts w:ascii="Times New Roman" w:hAnsi="Times New Roman" w:cs="Times New Roman"/>
                <w:b/>
                <w:lang w:val="en-US"/>
              </w:rPr>
            </w:pPr>
            <w:r w:rsidRPr="009239F8">
              <w:rPr>
                <w:rFonts w:ascii="Times New Roman" w:hAnsi="Times New Roman" w:cs="Times New Roman"/>
                <w:b/>
                <w:lang w:val="en-US"/>
              </w:rPr>
              <w:t>AgR</w:t>
            </w:r>
            <w:r w:rsidRPr="009239F8">
              <w:rPr>
                <w:rFonts w:ascii="Times New Roman" w:hAnsi="Times New Roman" w:cs="Times New Roman"/>
                <w:b/>
                <w:vertAlign w:val="superscript"/>
                <w:lang w:val="en-US"/>
              </w:rPr>
              <w:t>↑</w:t>
            </w:r>
            <w:r w:rsidRPr="009239F8">
              <w:rPr>
                <w:rFonts w:ascii="Times New Roman" w:hAnsi="Times New Roman" w:cs="Times New Roman"/>
                <w:i/>
                <w:lang w:val="en-US"/>
              </w:rPr>
              <w:t xml:space="preserve"> (%)</w:t>
            </w:r>
          </w:p>
        </w:tc>
        <w:tc>
          <w:tcPr>
            <w:tcW w:w="2341" w:type="dxa"/>
            <w:tcBorders>
              <w:top w:val="single" w:sz="4" w:space="0" w:color="auto"/>
              <w:bottom w:val="single" w:sz="4" w:space="0" w:color="auto"/>
            </w:tcBorders>
            <w:vAlign w:val="center"/>
          </w:tcPr>
          <w:p w14:paraId="71823B72" w14:textId="77777777" w:rsidR="00B62B74" w:rsidRPr="009239F8" w:rsidRDefault="00B62B74" w:rsidP="009A5B48">
            <w:pPr>
              <w:spacing w:line="480" w:lineRule="auto"/>
              <w:rPr>
                <w:rFonts w:ascii="Times New Roman" w:hAnsi="Times New Roman" w:cs="Times New Roman"/>
                <w:b/>
                <w:lang w:val="en-US"/>
              </w:rPr>
            </w:pPr>
            <w:r w:rsidRPr="009239F8">
              <w:rPr>
                <w:rFonts w:ascii="Times New Roman" w:hAnsi="Times New Roman" w:cs="Times New Roman"/>
                <w:b/>
                <w:lang w:val="en-US"/>
              </w:rPr>
              <w:t>AgR</w:t>
            </w:r>
            <w:r w:rsidRPr="009239F8">
              <w:rPr>
                <w:rFonts w:ascii="Times New Roman" w:hAnsi="Times New Roman" w:cs="Times New Roman"/>
                <w:b/>
                <w:vertAlign w:val="superscript"/>
                <w:lang w:val="en-US"/>
              </w:rPr>
              <w:t>=</w:t>
            </w:r>
            <w:r w:rsidRPr="009239F8">
              <w:rPr>
                <w:rFonts w:ascii="Times New Roman" w:hAnsi="Times New Roman" w:cs="Times New Roman"/>
                <w:i/>
                <w:lang w:val="en-US"/>
              </w:rPr>
              <w:t xml:space="preserve"> (%)</w:t>
            </w:r>
          </w:p>
        </w:tc>
      </w:tr>
      <w:tr w:rsidR="00B62B74" w:rsidRPr="009239F8" w14:paraId="7C66D5C8" w14:textId="77777777" w:rsidTr="00A72AA9">
        <w:trPr>
          <w:trHeight w:val="498"/>
        </w:trPr>
        <w:tc>
          <w:tcPr>
            <w:tcW w:w="2285" w:type="dxa"/>
            <w:tcBorders>
              <w:top w:val="single" w:sz="4" w:space="0" w:color="auto"/>
              <w:bottom w:val="single" w:sz="4" w:space="0" w:color="auto"/>
            </w:tcBorders>
          </w:tcPr>
          <w:p w14:paraId="31CF4376" w14:textId="77777777" w:rsidR="00B62B74" w:rsidRPr="009239F8" w:rsidRDefault="00B62B74" w:rsidP="009A5B48">
            <w:pPr>
              <w:spacing w:line="480" w:lineRule="auto"/>
              <w:rPr>
                <w:rFonts w:ascii="Times New Roman" w:hAnsi="Times New Roman" w:cs="Times New Roman"/>
                <w:b/>
                <w:bCs/>
                <w:i/>
                <w:iCs/>
                <w:lang w:val="en-US"/>
              </w:rPr>
            </w:pPr>
            <w:r w:rsidRPr="009239F8">
              <w:rPr>
                <w:rFonts w:ascii="Times New Roman" w:hAnsi="Times New Roman" w:cs="Times New Roman"/>
                <w:b/>
                <w:i/>
                <w:lang w:val="en-US"/>
              </w:rPr>
              <w:t>Global</w:t>
            </w:r>
          </w:p>
        </w:tc>
        <w:tc>
          <w:tcPr>
            <w:tcW w:w="2338" w:type="dxa"/>
            <w:tcBorders>
              <w:top w:val="single" w:sz="4" w:space="0" w:color="auto"/>
              <w:bottom w:val="single" w:sz="4" w:space="0" w:color="auto"/>
            </w:tcBorders>
          </w:tcPr>
          <w:p w14:paraId="775BC973"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12.1 [1.5–37.3]</w:t>
            </w:r>
          </w:p>
        </w:tc>
        <w:tc>
          <w:tcPr>
            <w:tcW w:w="2339" w:type="dxa"/>
            <w:tcBorders>
              <w:top w:val="single" w:sz="4" w:space="0" w:color="auto"/>
              <w:bottom w:val="single" w:sz="4" w:space="0" w:color="auto"/>
            </w:tcBorders>
          </w:tcPr>
          <w:p w14:paraId="174C3AD7"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13.4 [3.3–26.9]</w:t>
            </w:r>
          </w:p>
        </w:tc>
        <w:tc>
          <w:tcPr>
            <w:tcW w:w="2341" w:type="dxa"/>
            <w:tcBorders>
              <w:top w:val="single" w:sz="4" w:space="0" w:color="auto"/>
              <w:bottom w:val="single" w:sz="4" w:space="0" w:color="auto"/>
            </w:tcBorders>
          </w:tcPr>
          <w:p w14:paraId="6279F989"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64.8 [45.3–75.8]</w:t>
            </w:r>
          </w:p>
        </w:tc>
      </w:tr>
      <w:tr w:rsidR="00B62B74" w:rsidRPr="009239F8" w14:paraId="5C61ACA2" w14:textId="77777777" w:rsidTr="00A72AA9">
        <w:trPr>
          <w:trHeight w:val="513"/>
        </w:trPr>
        <w:tc>
          <w:tcPr>
            <w:tcW w:w="9304" w:type="dxa"/>
            <w:gridSpan w:val="4"/>
            <w:tcBorders>
              <w:top w:val="single" w:sz="4" w:space="0" w:color="auto"/>
              <w:bottom w:val="single" w:sz="4" w:space="0" w:color="auto"/>
            </w:tcBorders>
          </w:tcPr>
          <w:p w14:paraId="102451C5"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b/>
                <w:i/>
                <w:lang w:val="en-US"/>
              </w:rPr>
              <w:t>Chamber</w:t>
            </w:r>
          </w:p>
        </w:tc>
      </w:tr>
      <w:tr w:rsidR="00B62B74" w:rsidRPr="009239F8" w14:paraId="2353C108" w14:textId="77777777" w:rsidTr="00A72AA9">
        <w:trPr>
          <w:trHeight w:val="498"/>
        </w:trPr>
        <w:tc>
          <w:tcPr>
            <w:tcW w:w="2285" w:type="dxa"/>
            <w:tcBorders>
              <w:top w:val="single" w:sz="4" w:space="0" w:color="auto"/>
            </w:tcBorders>
          </w:tcPr>
          <w:p w14:paraId="2A28BA4A"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LV</w:t>
            </w:r>
          </w:p>
        </w:tc>
        <w:tc>
          <w:tcPr>
            <w:tcW w:w="2338" w:type="dxa"/>
            <w:tcBorders>
              <w:top w:val="single" w:sz="4" w:space="0" w:color="auto"/>
            </w:tcBorders>
          </w:tcPr>
          <w:p w14:paraId="777F70E3"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2.0 [0.0–30.9]</w:t>
            </w:r>
          </w:p>
        </w:tc>
        <w:tc>
          <w:tcPr>
            <w:tcW w:w="2339" w:type="dxa"/>
            <w:tcBorders>
              <w:top w:val="single" w:sz="4" w:space="0" w:color="auto"/>
            </w:tcBorders>
          </w:tcPr>
          <w:p w14:paraId="6F1AA3A8"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10.6 [3.4–24.0]</w:t>
            </w:r>
          </w:p>
        </w:tc>
        <w:tc>
          <w:tcPr>
            <w:tcW w:w="2341" w:type="dxa"/>
            <w:tcBorders>
              <w:top w:val="single" w:sz="4" w:space="0" w:color="auto"/>
            </w:tcBorders>
          </w:tcPr>
          <w:p w14:paraId="6C055326"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69.1 [54.0–84.5]</w:t>
            </w:r>
          </w:p>
        </w:tc>
      </w:tr>
      <w:tr w:rsidR="00B62B74" w:rsidRPr="009239F8" w14:paraId="2D82892A" w14:textId="77777777" w:rsidTr="00A72AA9">
        <w:trPr>
          <w:trHeight w:val="498"/>
        </w:trPr>
        <w:tc>
          <w:tcPr>
            <w:tcW w:w="2285" w:type="dxa"/>
          </w:tcPr>
          <w:p w14:paraId="5F211CDB"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RV</w:t>
            </w:r>
          </w:p>
        </w:tc>
        <w:tc>
          <w:tcPr>
            <w:tcW w:w="2338" w:type="dxa"/>
          </w:tcPr>
          <w:p w14:paraId="145CEC4E"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24.1 [2.6–50.7]</w:t>
            </w:r>
          </w:p>
        </w:tc>
        <w:tc>
          <w:tcPr>
            <w:tcW w:w="2339" w:type="dxa"/>
          </w:tcPr>
          <w:p w14:paraId="4BE231A5"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9.9 [2.1–25.9]</w:t>
            </w:r>
          </w:p>
        </w:tc>
        <w:tc>
          <w:tcPr>
            <w:tcW w:w="2341" w:type="dxa"/>
          </w:tcPr>
          <w:p w14:paraId="3F976175"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61.0 [33.3–72.0]</w:t>
            </w:r>
          </w:p>
        </w:tc>
      </w:tr>
      <w:tr w:rsidR="00B62B74" w:rsidRPr="009239F8" w14:paraId="5BE0BD3E" w14:textId="77777777" w:rsidTr="00A72AA9">
        <w:trPr>
          <w:trHeight w:val="513"/>
        </w:trPr>
        <w:tc>
          <w:tcPr>
            <w:tcW w:w="2285" w:type="dxa"/>
            <w:tcBorders>
              <w:bottom w:val="single" w:sz="4" w:space="0" w:color="auto"/>
            </w:tcBorders>
          </w:tcPr>
          <w:p w14:paraId="03D4EAED"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i/>
                <w:lang w:val="en-US"/>
              </w:rPr>
              <w:t>p</w:t>
            </w:r>
            <w:r w:rsidRPr="009239F8">
              <w:rPr>
                <w:rFonts w:ascii="Times New Roman" w:hAnsi="Times New Roman" w:cs="Times New Roman"/>
                <w:lang w:val="en-US"/>
              </w:rPr>
              <w:t>-value</w:t>
            </w:r>
          </w:p>
        </w:tc>
        <w:tc>
          <w:tcPr>
            <w:tcW w:w="2338" w:type="dxa"/>
            <w:tcBorders>
              <w:bottom w:val="single" w:sz="4" w:space="0" w:color="auto"/>
            </w:tcBorders>
          </w:tcPr>
          <w:p w14:paraId="1A453155" w14:textId="77777777" w:rsidR="00B62B74" w:rsidRPr="009239F8" w:rsidRDefault="00B62B74" w:rsidP="009A5B48">
            <w:pPr>
              <w:spacing w:line="480" w:lineRule="auto"/>
              <w:rPr>
                <w:rFonts w:ascii="Times New Roman" w:hAnsi="Times New Roman" w:cs="Times New Roman"/>
                <w:b/>
                <w:bCs/>
                <w:lang w:val="en-US"/>
              </w:rPr>
            </w:pPr>
            <w:r w:rsidRPr="009239F8">
              <w:rPr>
                <w:rFonts w:ascii="Times New Roman" w:hAnsi="Times New Roman" w:cs="Times New Roman"/>
                <w:b/>
                <w:lang w:val="en-US"/>
              </w:rPr>
              <w:t>&lt;0.001</w:t>
            </w:r>
          </w:p>
        </w:tc>
        <w:tc>
          <w:tcPr>
            <w:tcW w:w="2339" w:type="dxa"/>
            <w:tcBorders>
              <w:bottom w:val="single" w:sz="4" w:space="0" w:color="auto"/>
            </w:tcBorders>
          </w:tcPr>
          <w:p w14:paraId="6B825C4C"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0.718</w:t>
            </w:r>
          </w:p>
        </w:tc>
        <w:tc>
          <w:tcPr>
            <w:tcW w:w="2341" w:type="dxa"/>
            <w:tcBorders>
              <w:bottom w:val="single" w:sz="4" w:space="0" w:color="auto"/>
            </w:tcBorders>
          </w:tcPr>
          <w:p w14:paraId="031BC853" w14:textId="77777777" w:rsidR="00B62B74" w:rsidRPr="009239F8" w:rsidRDefault="00B62B74" w:rsidP="009A5B48">
            <w:pPr>
              <w:spacing w:line="480" w:lineRule="auto"/>
              <w:rPr>
                <w:rFonts w:ascii="Times New Roman" w:hAnsi="Times New Roman" w:cs="Times New Roman"/>
                <w:b/>
                <w:bCs/>
                <w:lang w:val="en-US"/>
              </w:rPr>
            </w:pPr>
            <w:r w:rsidRPr="009239F8">
              <w:rPr>
                <w:rFonts w:ascii="Times New Roman" w:hAnsi="Times New Roman" w:cs="Times New Roman"/>
                <w:b/>
                <w:bCs/>
                <w:lang w:val="en-US"/>
              </w:rPr>
              <w:t>&lt;0.001</w:t>
            </w:r>
          </w:p>
        </w:tc>
      </w:tr>
      <w:tr w:rsidR="00B62B74" w:rsidRPr="009239F8" w14:paraId="4CF9F747" w14:textId="77777777" w:rsidTr="00A72AA9">
        <w:trPr>
          <w:trHeight w:val="498"/>
        </w:trPr>
        <w:tc>
          <w:tcPr>
            <w:tcW w:w="9304" w:type="dxa"/>
            <w:gridSpan w:val="4"/>
            <w:tcBorders>
              <w:top w:val="single" w:sz="4" w:space="0" w:color="auto"/>
              <w:bottom w:val="single" w:sz="4" w:space="0" w:color="auto"/>
            </w:tcBorders>
          </w:tcPr>
          <w:p w14:paraId="57C8C9FE"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b/>
                <w:i/>
                <w:lang w:val="en-US"/>
              </w:rPr>
              <w:t xml:space="preserve">Longitudinal LV </w:t>
            </w:r>
          </w:p>
        </w:tc>
      </w:tr>
      <w:tr w:rsidR="00B62B74" w:rsidRPr="009239F8" w14:paraId="62981BA7" w14:textId="77777777" w:rsidTr="00A72AA9">
        <w:trPr>
          <w:trHeight w:val="498"/>
        </w:trPr>
        <w:tc>
          <w:tcPr>
            <w:tcW w:w="2285" w:type="dxa"/>
            <w:tcBorders>
              <w:top w:val="single" w:sz="4" w:space="0" w:color="auto"/>
            </w:tcBorders>
          </w:tcPr>
          <w:p w14:paraId="2C904F1D"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LV Base</w:t>
            </w:r>
          </w:p>
        </w:tc>
        <w:tc>
          <w:tcPr>
            <w:tcW w:w="2338" w:type="dxa"/>
            <w:tcBorders>
              <w:top w:val="single" w:sz="4" w:space="0" w:color="auto"/>
            </w:tcBorders>
          </w:tcPr>
          <w:p w14:paraId="3737C9BA"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0.4 [0.0–19.1]</w:t>
            </w:r>
          </w:p>
        </w:tc>
        <w:tc>
          <w:tcPr>
            <w:tcW w:w="2339" w:type="dxa"/>
            <w:tcBorders>
              <w:top w:val="single" w:sz="4" w:space="0" w:color="auto"/>
            </w:tcBorders>
          </w:tcPr>
          <w:p w14:paraId="7242B544"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31.8 [9.0–48.4]</w:t>
            </w:r>
          </w:p>
        </w:tc>
        <w:tc>
          <w:tcPr>
            <w:tcW w:w="2341" w:type="dxa"/>
            <w:tcBorders>
              <w:top w:val="single" w:sz="4" w:space="0" w:color="auto"/>
            </w:tcBorders>
          </w:tcPr>
          <w:p w14:paraId="0430E399"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58.7 [37.9–70.4]</w:t>
            </w:r>
          </w:p>
        </w:tc>
      </w:tr>
      <w:tr w:rsidR="00B62B74" w:rsidRPr="009239F8" w14:paraId="145BB193" w14:textId="77777777" w:rsidTr="00A72AA9">
        <w:trPr>
          <w:trHeight w:val="498"/>
        </w:trPr>
        <w:tc>
          <w:tcPr>
            <w:tcW w:w="2285" w:type="dxa"/>
          </w:tcPr>
          <w:p w14:paraId="0069C2EB"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LV Mid</w:t>
            </w:r>
          </w:p>
        </w:tc>
        <w:tc>
          <w:tcPr>
            <w:tcW w:w="2338" w:type="dxa"/>
          </w:tcPr>
          <w:p w14:paraId="74675E66"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1.7 [0.0–27.2]</w:t>
            </w:r>
          </w:p>
        </w:tc>
        <w:tc>
          <w:tcPr>
            <w:tcW w:w="2339" w:type="dxa"/>
          </w:tcPr>
          <w:p w14:paraId="3C9D75A1"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1.2 [0.0–18.8]</w:t>
            </w:r>
          </w:p>
        </w:tc>
        <w:tc>
          <w:tcPr>
            <w:tcW w:w="2341" w:type="dxa"/>
          </w:tcPr>
          <w:p w14:paraId="7FB66C0A"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74.2 [53.0–90.6]</w:t>
            </w:r>
          </w:p>
        </w:tc>
      </w:tr>
      <w:tr w:rsidR="00B62B74" w:rsidRPr="009239F8" w14:paraId="6435E2AD" w14:textId="77777777" w:rsidTr="00A72AA9">
        <w:trPr>
          <w:trHeight w:val="513"/>
        </w:trPr>
        <w:tc>
          <w:tcPr>
            <w:tcW w:w="2285" w:type="dxa"/>
          </w:tcPr>
          <w:p w14:paraId="1CB80449"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LV Apex</w:t>
            </w:r>
          </w:p>
        </w:tc>
        <w:tc>
          <w:tcPr>
            <w:tcW w:w="2338" w:type="dxa"/>
          </w:tcPr>
          <w:p w14:paraId="5A891A9E"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0.7 [0.0–35.6]</w:t>
            </w:r>
          </w:p>
        </w:tc>
        <w:tc>
          <w:tcPr>
            <w:tcW w:w="2339" w:type="dxa"/>
          </w:tcPr>
          <w:p w14:paraId="58CEFEC8"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0.0 [0.0–3.6]</w:t>
            </w:r>
          </w:p>
        </w:tc>
        <w:tc>
          <w:tcPr>
            <w:tcW w:w="2341" w:type="dxa"/>
          </w:tcPr>
          <w:p w14:paraId="18112144"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86.3 [46.8–99.4]</w:t>
            </w:r>
          </w:p>
        </w:tc>
      </w:tr>
      <w:tr w:rsidR="00B62B74" w:rsidRPr="009239F8" w14:paraId="1B4EE705" w14:textId="77777777" w:rsidTr="00A72AA9">
        <w:trPr>
          <w:trHeight w:val="498"/>
        </w:trPr>
        <w:tc>
          <w:tcPr>
            <w:tcW w:w="2285" w:type="dxa"/>
            <w:tcBorders>
              <w:bottom w:val="single" w:sz="4" w:space="0" w:color="auto"/>
            </w:tcBorders>
          </w:tcPr>
          <w:p w14:paraId="0245F0CD"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i/>
                <w:lang w:val="en-US"/>
              </w:rPr>
              <w:t>p</w:t>
            </w:r>
            <w:r w:rsidRPr="009239F8">
              <w:rPr>
                <w:rFonts w:ascii="Times New Roman" w:hAnsi="Times New Roman" w:cs="Times New Roman"/>
                <w:lang w:val="en-US"/>
              </w:rPr>
              <w:t>-value</w:t>
            </w:r>
          </w:p>
        </w:tc>
        <w:tc>
          <w:tcPr>
            <w:tcW w:w="2338" w:type="dxa"/>
            <w:tcBorders>
              <w:bottom w:val="single" w:sz="4" w:space="0" w:color="auto"/>
            </w:tcBorders>
          </w:tcPr>
          <w:p w14:paraId="503395CE"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0.011</w:t>
            </w:r>
          </w:p>
        </w:tc>
        <w:tc>
          <w:tcPr>
            <w:tcW w:w="2339" w:type="dxa"/>
            <w:tcBorders>
              <w:bottom w:val="single" w:sz="4" w:space="0" w:color="auto"/>
            </w:tcBorders>
          </w:tcPr>
          <w:p w14:paraId="6606D58E" w14:textId="77777777" w:rsidR="00B62B74" w:rsidRPr="009239F8" w:rsidRDefault="00B62B74" w:rsidP="009A5B48">
            <w:pPr>
              <w:spacing w:line="480" w:lineRule="auto"/>
              <w:rPr>
                <w:rFonts w:ascii="Times New Roman" w:hAnsi="Times New Roman" w:cs="Times New Roman"/>
                <w:b/>
                <w:bCs/>
                <w:lang w:val="en-US"/>
              </w:rPr>
            </w:pPr>
            <w:r w:rsidRPr="009239F8">
              <w:rPr>
                <w:rFonts w:ascii="Times New Roman" w:hAnsi="Times New Roman" w:cs="Times New Roman"/>
                <w:b/>
                <w:lang w:val="en-US"/>
              </w:rPr>
              <w:t>&lt;0.001</w:t>
            </w:r>
          </w:p>
        </w:tc>
        <w:tc>
          <w:tcPr>
            <w:tcW w:w="2341" w:type="dxa"/>
            <w:tcBorders>
              <w:bottom w:val="single" w:sz="4" w:space="0" w:color="auto"/>
            </w:tcBorders>
          </w:tcPr>
          <w:p w14:paraId="2F3B91A3" w14:textId="77777777" w:rsidR="00B62B74" w:rsidRPr="009239F8" w:rsidRDefault="00B62B74" w:rsidP="009A5B48">
            <w:pPr>
              <w:spacing w:line="480" w:lineRule="auto"/>
              <w:rPr>
                <w:rFonts w:ascii="Times New Roman" w:hAnsi="Times New Roman" w:cs="Times New Roman"/>
                <w:b/>
                <w:bCs/>
                <w:lang w:val="en-US"/>
              </w:rPr>
            </w:pPr>
            <w:r w:rsidRPr="009239F8">
              <w:rPr>
                <w:rFonts w:ascii="Times New Roman" w:hAnsi="Times New Roman" w:cs="Times New Roman"/>
                <w:b/>
                <w:lang w:val="en-US"/>
              </w:rPr>
              <w:t>&lt;0.01</w:t>
            </w:r>
          </w:p>
        </w:tc>
      </w:tr>
      <w:tr w:rsidR="00B62B74" w:rsidRPr="009239F8" w14:paraId="799688E3" w14:textId="77777777" w:rsidTr="00A72AA9">
        <w:trPr>
          <w:trHeight w:val="498"/>
        </w:trPr>
        <w:tc>
          <w:tcPr>
            <w:tcW w:w="9304" w:type="dxa"/>
            <w:gridSpan w:val="4"/>
            <w:tcBorders>
              <w:top w:val="single" w:sz="4" w:space="0" w:color="auto"/>
              <w:bottom w:val="single" w:sz="4" w:space="0" w:color="auto"/>
            </w:tcBorders>
          </w:tcPr>
          <w:p w14:paraId="3D016543"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b/>
                <w:i/>
                <w:lang w:val="en-US"/>
              </w:rPr>
              <w:t>Longitudinal RV</w:t>
            </w:r>
          </w:p>
        </w:tc>
      </w:tr>
      <w:tr w:rsidR="00B62B74" w:rsidRPr="009239F8" w14:paraId="3BAB9C57" w14:textId="77777777" w:rsidTr="00A72AA9">
        <w:trPr>
          <w:trHeight w:val="498"/>
        </w:trPr>
        <w:tc>
          <w:tcPr>
            <w:tcW w:w="2285" w:type="dxa"/>
            <w:tcBorders>
              <w:top w:val="single" w:sz="4" w:space="0" w:color="auto"/>
            </w:tcBorders>
          </w:tcPr>
          <w:p w14:paraId="1F0E6C98"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RV Base</w:t>
            </w:r>
          </w:p>
        </w:tc>
        <w:tc>
          <w:tcPr>
            <w:tcW w:w="2338" w:type="dxa"/>
            <w:tcBorders>
              <w:top w:val="single" w:sz="4" w:space="0" w:color="auto"/>
            </w:tcBorders>
          </w:tcPr>
          <w:p w14:paraId="0768CE13"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8.2 [0.8–24.2]</w:t>
            </w:r>
          </w:p>
        </w:tc>
        <w:tc>
          <w:tcPr>
            <w:tcW w:w="2339" w:type="dxa"/>
            <w:tcBorders>
              <w:top w:val="single" w:sz="4" w:space="0" w:color="auto"/>
            </w:tcBorders>
          </w:tcPr>
          <w:p w14:paraId="5AB673FC"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32.1 [5.6–60.4]</w:t>
            </w:r>
          </w:p>
        </w:tc>
        <w:tc>
          <w:tcPr>
            <w:tcW w:w="2341" w:type="dxa"/>
            <w:tcBorders>
              <w:top w:val="single" w:sz="4" w:space="0" w:color="auto"/>
            </w:tcBorders>
          </w:tcPr>
          <w:p w14:paraId="248C7685"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41.1 [24.6–67.1]</w:t>
            </w:r>
          </w:p>
        </w:tc>
      </w:tr>
      <w:tr w:rsidR="00B62B74" w:rsidRPr="009239F8" w14:paraId="3425EB4B" w14:textId="77777777" w:rsidTr="00A72AA9">
        <w:trPr>
          <w:trHeight w:val="513"/>
        </w:trPr>
        <w:tc>
          <w:tcPr>
            <w:tcW w:w="2285" w:type="dxa"/>
          </w:tcPr>
          <w:p w14:paraId="41998F25"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RV Mid</w:t>
            </w:r>
          </w:p>
        </w:tc>
        <w:tc>
          <w:tcPr>
            <w:tcW w:w="2338" w:type="dxa"/>
          </w:tcPr>
          <w:p w14:paraId="3B155A9B"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24.3 [3.0–60.5]</w:t>
            </w:r>
          </w:p>
        </w:tc>
        <w:tc>
          <w:tcPr>
            <w:tcW w:w="2339" w:type="dxa"/>
          </w:tcPr>
          <w:p w14:paraId="3D41AFD2"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0.7 [0.0–9.8]</w:t>
            </w:r>
          </w:p>
        </w:tc>
        <w:tc>
          <w:tcPr>
            <w:tcW w:w="2341" w:type="dxa"/>
          </w:tcPr>
          <w:p w14:paraId="1C02D805"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55.4 [27.5–80.2]</w:t>
            </w:r>
          </w:p>
        </w:tc>
      </w:tr>
      <w:tr w:rsidR="00B62B74" w:rsidRPr="009239F8" w14:paraId="753BDD83" w14:textId="77777777" w:rsidTr="00A72AA9">
        <w:trPr>
          <w:trHeight w:val="498"/>
        </w:trPr>
        <w:tc>
          <w:tcPr>
            <w:tcW w:w="2285" w:type="dxa"/>
          </w:tcPr>
          <w:p w14:paraId="2DC06DEB"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RV Apex</w:t>
            </w:r>
          </w:p>
        </w:tc>
        <w:tc>
          <w:tcPr>
            <w:tcW w:w="2338" w:type="dxa"/>
          </w:tcPr>
          <w:p w14:paraId="4A45A9C3"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30.0 [0.0–75.2]</w:t>
            </w:r>
          </w:p>
        </w:tc>
        <w:tc>
          <w:tcPr>
            <w:tcW w:w="2339" w:type="dxa"/>
          </w:tcPr>
          <w:p w14:paraId="6D8E6C10"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0.0 [0.0–0.1]</w:t>
            </w:r>
          </w:p>
        </w:tc>
        <w:tc>
          <w:tcPr>
            <w:tcW w:w="2341" w:type="dxa"/>
          </w:tcPr>
          <w:p w14:paraId="0BD493EF"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68.2 [22.4–98.2]</w:t>
            </w:r>
          </w:p>
        </w:tc>
      </w:tr>
      <w:tr w:rsidR="00B62B74" w:rsidRPr="009239F8" w14:paraId="5F15A0A6" w14:textId="77777777" w:rsidTr="00A72AA9">
        <w:trPr>
          <w:trHeight w:val="498"/>
        </w:trPr>
        <w:tc>
          <w:tcPr>
            <w:tcW w:w="2285" w:type="dxa"/>
            <w:tcBorders>
              <w:bottom w:val="single" w:sz="4" w:space="0" w:color="auto"/>
            </w:tcBorders>
          </w:tcPr>
          <w:p w14:paraId="14ADD272"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i/>
                <w:lang w:val="en-US"/>
              </w:rPr>
              <w:t>p</w:t>
            </w:r>
            <w:r w:rsidRPr="009239F8">
              <w:rPr>
                <w:rFonts w:ascii="Times New Roman" w:hAnsi="Times New Roman" w:cs="Times New Roman"/>
                <w:lang w:val="en-US"/>
              </w:rPr>
              <w:t xml:space="preserve">-value </w:t>
            </w:r>
          </w:p>
        </w:tc>
        <w:tc>
          <w:tcPr>
            <w:tcW w:w="2338" w:type="dxa"/>
            <w:tcBorders>
              <w:bottom w:val="single" w:sz="4" w:space="0" w:color="auto"/>
            </w:tcBorders>
          </w:tcPr>
          <w:p w14:paraId="6B6F0999"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b/>
                <w:lang w:val="en-US"/>
              </w:rPr>
              <w:t>&lt;0.01</w:t>
            </w:r>
          </w:p>
        </w:tc>
        <w:tc>
          <w:tcPr>
            <w:tcW w:w="2339" w:type="dxa"/>
            <w:tcBorders>
              <w:bottom w:val="single" w:sz="4" w:space="0" w:color="auto"/>
            </w:tcBorders>
          </w:tcPr>
          <w:p w14:paraId="1DD0168A" w14:textId="77777777" w:rsidR="00B62B74" w:rsidRPr="009239F8" w:rsidRDefault="00B62B74" w:rsidP="009A5B48">
            <w:pPr>
              <w:spacing w:line="480" w:lineRule="auto"/>
              <w:rPr>
                <w:rFonts w:ascii="Times New Roman" w:hAnsi="Times New Roman" w:cs="Times New Roman"/>
                <w:b/>
                <w:bCs/>
                <w:lang w:val="en-US"/>
              </w:rPr>
            </w:pPr>
            <w:r w:rsidRPr="009239F8">
              <w:rPr>
                <w:rFonts w:ascii="Times New Roman" w:hAnsi="Times New Roman" w:cs="Times New Roman"/>
                <w:b/>
                <w:lang w:val="en-US"/>
              </w:rPr>
              <w:t>&lt;0.001</w:t>
            </w:r>
          </w:p>
        </w:tc>
        <w:tc>
          <w:tcPr>
            <w:tcW w:w="2341" w:type="dxa"/>
            <w:tcBorders>
              <w:bottom w:val="single" w:sz="4" w:space="0" w:color="auto"/>
            </w:tcBorders>
          </w:tcPr>
          <w:p w14:paraId="52FD6B99"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0.259</w:t>
            </w:r>
          </w:p>
        </w:tc>
      </w:tr>
      <w:tr w:rsidR="00B62B74" w:rsidRPr="009239F8" w14:paraId="15181A18" w14:textId="77777777" w:rsidTr="00A72AA9">
        <w:trPr>
          <w:trHeight w:val="513"/>
        </w:trPr>
        <w:tc>
          <w:tcPr>
            <w:tcW w:w="9304" w:type="dxa"/>
            <w:gridSpan w:val="4"/>
            <w:tcBorders>
              <w:top w:val="single" w:sz="4" w:space="0" w:color="auto"/>
              <w:bottom w:val="single" w:sz="4" w:space="0" w:color="auto"/>
            </w:tcBorders>
          </w:tcPr>
          <w:p w14:paraId="5BC0F8DD"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b/>
                <w:i/>
                <w:lang w:val="en-US"/>
              </w:rPr>
              <w:t>Circumferential LV</w:t>
            </w:r>
          </w:p>
        </w:tc>
      </w:tr>
      <w:tr w:rsidR="00B62B74" w:rsidRPr="009239F8" w14:paraId="435B2530" w14:textId="77777777" w:rsidTr="00A72AA9">
        <w:trPr>
          <w:trHeight w:val="498"/>
        </w:trPr>
        <w:tc>
          <w:tcPr>
            <w:tcW w:w="2285" w:type="dxa"/>
            <w:tcBorders>
              <w:top w:val="single" w:sz="4" w:space="0" w:color="auto"/>
            </w:tcBorders>
          </w:tcPr>
          <w:p w14:paraId="58ADBC18"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LV Lateral</w:t>
            </w:r>
          </w:p>
        </w:tc>
        <w:tc>
          <w:tcPr>
            <w:tcW w:w="2338" w:type="dxa"/>
            <w:tcBorders>
              <w:top w:val="single" w:sz="4" w:space="0" w:color="auto"/>
            </w:tcBorders>
          </w:tcPr>
          <w:p w14:paraId="1C15D976"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0.1 [0.0–11.6]</w:t>
            </w:r>
          </w:p>
        </w:tc>
        <w:tc>
          <w:tcPr>
            <w:tcW w:w="2339" w:type="dxa"/>
            <w:tcBorders>
              <w:top w:val="single" w:sz="4" w:space="0" w:color="auto"/>
            </w:tcBorders>
          </w:tcPr>
          <w:p w14:paraId="0D443732"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4.1 [0.0–17.6]</w:t>
            </w:r>
          </w:p>
        </w:tc>
        <w:tc>
          <w:tcPr>
            <w:tcW w:w="2341" w:type="dxa"/>
            <w:tcBorders>
              <w:top w:val="single" w:sz="4" w:space="0" w:color="auto"/>
            </w:tcBorders>
          </w:tcPr>
          <w:p w14:paraId="0D063CE7"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82.9 [53.3–91.5]</w:t>
            </w:r>
          </w:p>
        </w:tc>
      </w:tr>
      <w:tr w:rsidR="00B62B74" w:rsidRPr="009239F8" w14:paraId="2B7D85C8" w14:textId="77777777" w:rsidTr="00A72AA9">
        <w:trPr>
          <w:trHeight w:val="513"/>
        </w:trPr>
        <w:tc>
          <w:tcPr>
            <w:tcW w:w="2285" w:type="dxa"/>
          </w:tcPr>
          <w:p w14:paraId="1AAE6FEA"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LV Inferior</w:t>
            </w:r>
          </w:p>
        </w:tc>
        <w:tc>
          <w:tcPr>
            <w:tcW w:w="2338" w:type="dxa"/>
          </w:tcPr>
          <w:p w14:paraId="310836CE"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0.0 [0.0–19.0]</w:t>
            </w:r>
          </w:p>
        </w:tc>
        <w:tc>
          <w:tcPr>
            <w:tcW w:w="2339" w:type="dxa"/>
          </w:tcPr>
          <w:p w14:paraId="232B4BAA"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8.0 [0.0–41.0]</w:t>
            </w:r>
          </w:p>
        </w:tc>
        <w:tc>
          <w:tcPr>
            <w:tcW w:w="2341" w:type="dxa"/>
          </w:tcPr>
          <w:p w14:paraId="4F026F88"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63.7 [17.9–93.7]</w:t>
            </w:r>
          </w:p>
        </w:tc>
      </w:tr>
      <w:tr w:rsidR="00B62B74" w:rsidRPr="009239F8" w14:paraId="0DBD60E8" w14:textId="77777777" w:rsidTr="00A72AA9">
        <w:trPr>
          <w:trHeight w:val="498"/>
        </w:trPr>
        <w:tc>
          <w:tcPr>
            <w:tcW w:w="2285" w:type="dxa"/>
          </w:tcPr>
          <w:p w14:paraId="0982072D"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LV Anterior</w:t>
            </w:r>
          </w:p>
        </w:tc>
        <w:tc>
          <w:tcPr>
            <w:tcW w:w="2338" w:type="dxa"/>
          </w:tcPr>
          <w:p w14:paraId="5C5A01B1"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0.2 [0.0–25.2]</w:t>
            </w:r>
          </w:p>
        </w:tc>
        <w:tc>
          <w:tcPr>
            <w:tcW w:w="2339" w:type="dxa"/>
          </w:tcPr>
          <w:p w14:paraId="03FFD3EC"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18.0 [0.6–34.7]</w:t>
            </w:r>
          </w:p>
        </w:tc>
        <w:tc>
          <w:tcPr>
            <w:tcW w:w="2341" w:type="dxa"/>
          </w:tcPr>
          <w:p w14:paraId="0871B870"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65.9 [33.0–80.8]</w:t>
            </w:r>
          </w:p>
        </w:tc>
      </w:tr>
      <w:tr w:rsidR="00B62B74" w:rsidRPr="009239F8" w14:paraId="11E625FC" w14:textId="77777777" w:rsidTr="00A72AA9">
        <w:trPr>
          <w:trHeight w:val="498"/>
        </w:trPr>
        <w:tc>
          <w:tcPr>
            <w:tcW w:w="2285" w:type="dxa"/>
            <w:tcBorders>
              <w:bottom w:val="single" w:sz="4" w:space="0" w:color="auto"/>
            </w:tcBorders>
          </w:tcPr>
          <w:p w14:paraId="353B4AF2"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i/>
                <w:lang w:val="en-US"/>
              </w:rPr>
              <w:t>p</w:t>
            </w:r>
            <w:r w:rsidRPr="009239F8">
              <w:rPr>
                <w:rFonts w:ascii="Times New Roman" w:hAnsi="Times New Roman" w:cs="Times New Roman"/>
                <w:lang w:val="en-US"/>
              </w:rPr>
              <w:t>-value</w:t>
            </w:r>
          </w:p>
        </w:tc>
        <w:tc>
          <w:tcPr>
            <w:tcW w:w="2338" w:type="dxa"/>
            <w:tcBorders>
              <w:bottom w:val="single" w:sz="4" w:space="0" w:color="auto"/>
            </w:tcBorders>
          </w:tcPr>
          <w:p w14:paraId="3EB6F543" w14:textId="77777777" w:rsidR="00B62B74" w:rsidRPr="009239F8" w:rsidRDefault="00B62B74" w:rsidP="009A5B48">
            <w:pPr>
              <w:spacing w:line="480" w:lineRule="auto"/>
              <w:rPr>
                <w:rFonts w:ascii="Times New Roman" w:hAnsi="Times New Roman" w:cs="Times New Roman"/>
                <w:b/>
                <w:bCs/>
                <w:lang w:val="en-US"/>
              </w:rPr>
            </w:pPr>
            <w:r w:rsidRPr="009239F8">
              <w:rPr>
                <w:rFonts w:ascii="Times New Roman" w:hAnsi="Times New Roman" w:cs="Times New Roman"/>
                <w:lang w:val="en-US"/>
              </w:rPr>
              <w:t>0.151</w:t>
            </w:r>
          </w:p>
        </w:tc>
        <w:tc>
          <w:tcPr>
            <w:tcW w:w="2339" w:type="dxa"/>
            <w:tcBorders>
              <w:bottom w:val="single" w:sz="4" w:space="0" w:color="auto"/>
            </w:tcBorders>
          </w:tcPr>
          <w:p w14:paraId="0BEBF2E5"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b/>
                <w:lang w:val="en-US"/>
              </w:rPr>
              <w:t>&lt;0.01</w:t>
            </w:r>
          </w:p>
        </w:tc>
        <w:tc>
          <w:tcPr>
            <w:tcW w:w="2341" w:type="dxa"/>
            <w:tcBorders>
              <w:bottom w:val="single" w:sz="4" w:space="0" w:color="auto"/>
            </w:tcBorders>
          </w:tcPr>
          <w:p w14:paraId="75D1EFB7"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0.027</w:t>
            </w:r>
          </w:p>
        </w:tc>
      </w:tr>
      <w:tr w:rsidR="00B62B74" w:rsidRPr="009239F8" w14:paraId="0ED9DFC8" w14:textId="77777777" w:rsidTr="00A72AA9">
        <w:trPr>
          <w:trHeight w:val="498"/>
        </w:trPr>
        <w:tc>
          <w:tcPr>
            <w:tcW w:w="9304" w:type="dxa"/>
            <w:gridSpan w:val="4"/>
            <w:tcBorders>
              <w:top w:val="single" w:sz="4" w:space="0" w:color="auto"/>
              <w:bottom w:val="single" w:sz="4" w:space="0" w:color="auto"/>
            </w:tcBorders>
          </w:tcPr>
          <w:p w14:paraId="454BFA9B"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b/>
                <w:i/>
                <w:lang w:val="en-US"/>
              </w:rPr>
              <w:t>Circumferential RV</w:t>
            </w:r>
          </w:p>
        </w:tc>
      </w:tr>
      <w:tr w:rsidR="00B62B74" w:rsidRPr="009239F8" w14:paraId="2BF9B723" w14:textId="77777777" w:rsidTr="00A72AA9">
        <w:trPr>
          <w:trHeight w:val="513"/>
        </w:trPr>
        <w:tc>
          <w:tcPr>
            <w:tcW w:w="2285" w:type="dxa"/>
            <w:tcBorders>
              <w:top w:val="single" w:sz="4" w:space="0" w:color="auto"/>
            </w:tcBorders>
          </w:tcPr>
          <w:p w14:paraId="576ABC78"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RV Lateral</w:t>
            </w:r>
          </w:p>
        </w:tc>
        <w:tc>
          <w:tcPr>
            <w:tcW w:w="2338" w:type="dxa"/>
            <w:tcBorders>
              <w:top w:val="single" w:sz="4" w:space="0" w:color="auto"/>
            </w:tcBorders>
          </w:tcPr>
          <w:p w14:paraId="34CD2601"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11.6 [0.0–59.4]</w:t>
            </w:r>
          </w:p>
        </w:tc>
        <w:tc>
          <w:tcPr>
            <w:tcW w:w="2339" w:type="dxa"/>
            <w:tcBorders>
              <w:top w:val="single" w:sz="4" w:space="0" w:color="auto"/>
            </w:tcBorders>
          </w:tcPr>
          <w:p w14:paraId="3D37C91C"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8.2 [0.9–31.7]</w:t>
            </w:r>
          </w:p>
        </w:tc>
        <w:tc>
          <w:tcPr>
            <w:tcW w:w="2341" w:type="dxa"/>
            <w:tcBorders>
              <w:top w:val="single" w:sz="4" w:space="0" w:color="auto"/>
            </w:tcBorders>
          </w:tcPr>
          <w:p w14:paraId="202AFB5C"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51.2 [22.6–82.8]</w:t>
            </w:r>
          </w:p>
        </w:tc>
      </w:tr>
      <w:tr w:rsidR="00B62B74" w:rsidRPr="009239F8" w14:paraId="15FC34E7" w14:textId="77777777" w:rsidTr="00A72AA9">
        <w:trPr>
          <w:trHeight w:val="498"/>
        </w:trPr>
        <w:tc>
          <w:tcPr>
            <w:tcW w:w="2285" w:type="dxa"/>
          </w:tcPr>
          <w:p w14:paraId="25F394D4"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RV Inferior</w:t>
            </w:r>
          </w:p>
        </w:tc>
        <w:tc>
          <w:tcPr>
            <w:tcW w:w="2338" w:type="dxa"/>
          </w:tcPr>
          <w:p w14:paraId="0CA15E10"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10.2 [0.0–70.5]</w:t>
            </w:r>
          </w:p>
        </w:tc>
        <w:tc>
          <w:tcPr>
            <w:tcW w:w="2339" w:type="dxa"/>
          </w:tcPr>
          <w:p w14:paraId="25A24582"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0.0 [0.0–0.0]</w:t>
            </w:r>
          </w:p>
        </w:tc>
        <w:tc>
          <w:tcPr>
            <w:tcW w:w="2341" w:type="dxa"/>
          </w:tcPr>
          <w:p w14:paraId="5D5160D2"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71.2 [16.7–100.0]</w:t>
            </w:r>
          </w:p>
        </w:tc>
      </w:tr>
      <w:tr w:rsidR="00B62B74" w:rsidRPr="009239F8" w14:paraId="56DC4518" w14:textId="77777777" w:rsidTr="00A72AA9">
        <w:trPr>
          <w:trHeight w:val="498"/>
        </w:trPr>
        <w:tc>
          <w:tcPr>
            <w:tcW w:w="2285" w:type="dxa"/>
          </w:tcPr>
          <w:p w14:paraId="078648E1"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RV Anterior</w:t>
            </w:r>
          </w:p>
        </w:tc>
        <w:tc>
          <w:tcPr>
            <w:tcW w:w="2338" w:type="dxa"/>
          </w:tcPr>
          <w:p w14:paraId="45A693BD"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16.2 [1.5–51.1]</w:t>
            </w:r>
          </w:p>
        </w:tc>
        <w:tc>
          <w:tcPr>
            <w:tcW w:w="2339" w:type="dxa"/>
          </w:tcPr>
          <w:p w14:paraId="227E95C0"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12.9 [1.5–23.5]</w:t>
            </w:r>
          </w:p>
        </w:tc>
        <w:tc>
          <w:tcPr>
            <w:tcW w:w="2341" w:type="dxa"/>
          </w:tcPr>
          <w:p w14:paraId="6D43A34A"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57.4 [21.5–80.3]</w:t>
            </w:r>
          </w:p>
        </w:tc>
      </w:tr>
      <w:tr w:rsidR="00B62B74" w:rsidRPr="009239F8" w14:paraId="504DE1F8" w14:textId="77777777" w:rsidTr="00A72AA9">
        <w:trPr>
          <w:trHeight w:val="513"/>
        </w:trPr>
        <w:tc>
          <w:tcPr>
            <w:tcW w:w="2285" w:type="dxa"/>
            <w:tcBorders>
              <w:bottom w:val="single" w:sz="4" w:space="0" w:color="auto"/>
            </w:tcBorders>
          </w:tcPr>
          <w:p w14:paraId="5B538342" w14:textId="77777777" w:rsidR="00B62B74" w:rsidRPr="009239F8" w:rsidRDefault="00B62B74" w:rsidP="009A5B48">
            <w:pPr>
              <w:spacing w:line="480" w:lineRule="auto"/>
              <w:jc w:val="center"/>
              <w:rPr>
                <w:rFonts w:ascii="Times New Roman" w:hAnsi="Times New Roman" w:cs="Times New Roman"/>
                <w:lang w:val="en-US"/>
              </w:rPr>
            </w:pPr>
            <w:r w:rsidRPr="009239F8">
              <w:rPr>
                <w:rFonts w:ascii="Times New Roman" w:hAnsi="Times New Roman" w:cs="Times New Roman"/>
                <w:i/>
                <w:lang w:val="en-US"/>
              </w:rPr>
              <w:t>p</w:t>
            </w:r>
            <w:r w:rsidRPr="009239F8">
              <w:rPr>
                <w:rFonts w:ascii="Times New Roman" w:hAnsi="Times New Roman" w:cs="Times New Roman"/>
                <w:lang w:val="en-US"/>
              </w:rPr>
              <w:t>-value</w:t>
            </w:r>
          </w:p>
        </w:tc>
        <w:tc>
          <w:tcPr>
            <w:tcW w:w="2338" w:type="dxa"/>
            <w:tcBorders>
              <w:bottom w:val="single" w:sz="4" w:space="0" w:color="auto"/>
            </w:tcBorders>
          </w:tcPr>
          <w:p w14:paraId="2DDF5724"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0.327</w:t>
            </w:r>
          </w:p>
        </w:tc>
        <w:tc>
          <w:tcPr>
            <w:tcW w:w="2339" w:type="dxa"/>
            <w:tcBorders>
              <w:bottom w:val="single" w:sz="4" w:space="0" w:color="auto"/>
            </w:tcBorders>
          </w:tcPr>
          <w:p w14:paraId="6C1EC396" w14:textId="77777777" w:rsidR="00B62B74" w:rsidRPr="009239F8" w:rsidRDefault="00B62B74" w:rsidP="009A5B48">
            <w:pPr>
              <w:spacing w:line="480" w:lineRule="auto"/>
              <w:rPr>
                <w:rFonts w:ascii="Times New Roman" w:hAnsi="Times New Roman" w:cs="Times New Roman"/>
                <w:b/>
                <w:bCs/>
                <w:lang w:val="en-US"/>
              </w:rPr>
            </w:pPr>
            <w:r w:rsidRPr="009239F8">
              <w:rPr>
                <w:rFonts w:ascii="Times New Roman" w:hAnsi="Times New Roman" w:cs="Times New Roman"/>
                <w:b/>
                <w:lang w:val="en-US"/>
              </w:rPr>
              <w:t>&lt;0.001</w:t>
            </w:r>
          </w:p>
        </w:tc>
        <w:tc>
          <w:tcPr>
            <w:tcW w:w="2341" w:type="dxa"/>
            <w:tcBorders>
              <w:bottom w:val="single" w:sz="4" w:space="0" w:color="auto"/>
            </w:tcBorders>
          </w:tcPr>
          <w:p w14:paraId="73424494" w14:textId="77777777" w:rsidR="00B62B74" w:rsidRPr="009239F8" w:rsidRDefault="00B62B74" w:rsidP="009A5B48">
            <w:pPr>
              <w:spacing w:line="480" w:lineRule="auto"/>
              <w:rPr>
                <w:rFonts w:ascii="Times New Roman" w:hAnsi="Times New Roman" w:cs="Times New Roman"/>
                <w:lang w:val="en-US"/>
              </w:rPr>
            </w:pPr>
            <w:r w:rsidRPr="009239F8">
              <w:rPr>
                <w:rFonts w:ascii="Times New Roman" w:hAnsi="Times New Roman" w:cs="Times New Roman"/>
                <w:lang w:val="en-US"/>
              </w:rPr>
              <w:t>0.455</w:t>
            </w:r>
          </w:p>
        </w:tc>
      </w:tr>
    </w:tbl>
    <w:p w14:paraId="0FC01B6B" w14:textId="77777777" w:rsidR="00B62B74" w:rsidRPr="009239F8" w:rsidRDefault="00B62B74" w:rsidP="009A5B48">
      <w:pPr>
        <w:spacing w:line="480" w:lineRule="auto"/>
        <w:rPr>
          <w:rFonts w:ascii="Times New Roman" w:hAnsi="Times New Roman" w:cs="Times New Roman"/>
          <w:lang w:val="en-US"/>
        </w:rPr>
      </w:pPr>
    </w:p>
    <w:p w14:paraId="35D76ED6" w14:textId="5A6D1B22" w:rsidR="0096673B" w:rsidRPr="009239F8" w:rsidRDefault="00384CD9"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w:t>
      </w:r>
      <w:r w:rsidR="00573875" w:rsidRPr="009239F8">
        <w:rPr>
          <w:rFonts w:ascii="Times New Roman" w:hAnsi="Times New Roman" w:cs="Times New Roman"/>
          <w:color w:val="auto"/>
          <w:lang w:val="en-US"/>
        </w:rPr>
        <w:t>8</w:t>
      </w:r>
      <w:r w:rsidRPr="009239F8">
        <w:rPr>
          <w:rFonts w:ascii="Times New Roman" w:hAnsi="Times New Roman" w:cs="Times New Roman"/>
          <w:color w:val="auto"/>
          <w:lang w:val="en-US"/>
        </w:rPr>
        <w:t xml:space="preserve">: </w:t>
      </w:r>
      <w:r w:rsidR="00342793" w:rsidRPr="009239F8">
        <w:rPr>
          <w:rFonts w:ascii="Times New Roman" w:hAnsi="Times New Roman" w:cs="Times New Roman"/>
          <w:color w:val="auto"/>
          <w:lang w:val="en-US"/>
        </w:rPr>
        <w:t xml:space="preserve">eHTN and </w:t>
      </w:r>
      <w:r w:rsidR="006129A2" w:rsidRPr="009239F8">
        <w:rPr>
          <w:rFonts w:ascii="Times New Roman" w:hAnsi="Times New Roman" w:cs="Times New Roman"/>
          <w:color w:val="auto"/>
          <w:lang w:val="en-US"/>
        </w:rPr>
        <w:t xml:space="preserve">healthy </w:t>
      </w:r>
      <w:r w:rsidR="00573875" w:rsidRPr="009239F8">
        <w:rPr>
          <w:rFonts w:ascii="Times New Roman" w:hAnsi="Times New Roman" w:cs="Times New Roman"/>
          <w:color w:val="auto"/>
          <w:lang w:val="en-US"/>
        </w:rPr>
        <w:t>atlases</w:t>
      </w:r>
      <w:r w:rsidR="00342793" w:rsidRPr="009239F8">
        <w:rPr>
          <w:rFonts w:ascii="Times New Roman" w:hAnsi="Times New Roman" w:cs="Times New Roman"/>
          <w:color w:val="auto"/>
          <w:lang w:val="en-US"/>
        </w:rPr>
        <w:t xml:space="preserve"> comparison</w:t>
      </w:r>
    </w:p>
    <w:p w14:paraId="751550C6" w14:textId="3A25E9E3" w:rsidR="005C1C39" w:rsidRPr="009239F8" w:rsidRDefault="006F674B" w:rsidP="009A5B48">
      <w:pPr>
        <w:pStyle w:val="Heading3"/>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w:t>
      </w:r>
      <w:r w:rsidR="00B55A66" w:rsidRPr="009239F8">
        <w:rPr>
          <w:rFonts w:ascii="Times New Roman" w:hAnsi="Times New Roman" w:cs="Times New Roman"/>
          <w:color w:val="auto"/>
          <w:lang w:val="en-US"/>
        </w:rPr>
        <w:t>8.1</w:t>
      </w:r>
      <w:r w:rsidRPr="009239F8">
        <w:rPr>
          <w:rFonts w:ascii="Times New Roman" w:hAnsi="Times New Roman" w:cs="Times New Roman"/>
          <w:color w:val="auto"/>
          <w:lang w:val="en-US"/>
        </w:rPr>
        <w:t xml:space="preserve">: Regional comparison of PMJ prevalence </w:t>
      </w:r>
    </w:p>
    <w:p w14:paraId="5641D119" w14:textId="7B1844E9" w:rsidR="00B20F82" w:rsidRPr="009239F8" w:rsidRDefault="008B62B2"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T</w:t>
      </w:r>
      <w:r w:rsidR="00B20F82" w:rsidRPr="009239F8">
        <w:rPr>
          <w:rFonts w:ascii="Times New Roman" w:hAnsi="Times New Roman" w:cs="Times New Roman"/>
          <w:lang w:val="en-US"/>
        </w:rPr>
        <w:t xml:space="preserve">o characterize the PMJ distribution differences at segment resolution, </w:t>
      </w:r>
      <w:r w:rsidR="003D030B" w:rsidRPr="009239F8">
        <w:rPr>
          <w:rFonts w:ascii="Times New Roman" w:hAnsi="Times New Roman" w:cs="Times New Roman"/>
          <w:lang w:val="en-US"/>
        </w:rPr>
        <w:fldChar w:fldCharType="begin"/>
      </w:r>
      <w:r w:rsidR="003D030B" w:rsidRPr="009239F8">
        <w:rPr>
          <w:rFonts w:ascii="Times New Roman" w:hAnsi="Times New Roman" w:cs="Times New Roman"/>
          <w:lang w:val="en-US"/>
        </w:rPr>
        <w:instrText xml:space="preserve"> REF _Ref232695080 \h </w:instrText>
      </w:r>
      <w:r w:rsidR="00FA58CE" w:rsidRPr="009239F8">
        <w:rPr>
          <w:rFonts w:ascii="Times New Roman" w:hAnsi="Times New Roman" w:cs="Times New Roman"/>
          <w:lang w:val="en-US"/>
        </w:rPr>
        <w:instrText xml:space="preserve"> \* MERGEFORMAT </w:instrText>
      </w:r>
      <w:r w:rsidR="003D030B" w:rsidRPr="009239F8">
        <w:rPr>
          <w:rFonts w:ascii="Times New Roman" w:hAnsi="Times New Roman" w:cs="Times New Roman"/>
          <w:lang w:val="en-US"/>
        </w:rPr>
      </w:r>
      <w:r w:rsidR="003D030B" w:rsidRPr="009239F8">
        <w:rPr>
          <w:rFonts w:ascii="Times New Roman" w:hAnsi="Times New Roman" w:cs="Times New Roman"/>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bCs/>
          <w:noProof/>
          <w:lang w:val="en-US"/>
        </w:rPr>
        <w:t>6</w:t>
      </w:r>
      <w:r w:rsidR="003D030B" w:rsidRPr="009239F8">
        <w:rPr>
          <w:rFonts w:ascii="Times New Roman" w:hAnsi="Times New Roman" w:cs="Times New Roman"/>
          <w:lang w:val="en-US"/>
        </w:rPr>
        <w:fldChar w:fldCharType="end"/>
      </w:r>
      <w:r w:rsidR="003D030B" w:rsidRPr="009239F8">
        <w:rPr>
          <w:rFonts w:ascii="Times New Roman" w:hAnsi="Times New Roman" w:cs="Times New Roman"/>
          <w:lang w:val="en-US"/>
        </w:rPr>
        <w:t xml:space="preserve"> reports the prevalence of PMJ per AHA segment for each </w:t>
      </w:r>
      <w:r w:rsidR="005C1C39" w:rsidRPr="009239F8">
        <w:rPr>
          <w:rFonts w:ascii="Times New Roman" w:hAnsi="Times New Roman" w:cs="Times New Roman"/>
          <w:lang w:val="en-US"/>
        </w:rPr>
        <w:t>eHTN and healthy cohorts</w:t>
      </w:r>
      <w:r w:rsidR="00312A45" w:rsidRPr="009239F8">
        <w:rPr>
          <w:rFonts w:ascii="Times New Roman" w:hAnsi="Times New Roman" w:cs="Times New Roman"/>
          <w:lang w:val="en-US"/>
        </w:rPr>
        <w:t>.</w:t>
      </w:r>
    </w:p>
    <w:p w14:paraId="55D6E56E" w14:textId="6BACFF4E" w:rsidR="0056394E" w:rsidRPr="009239F8" w:rsidRDefault="003D030B"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 xml:space="preserve">Globally, PMJ prevalence did not differ significantly between the healthy and eHTN cohorts (Wilcoxon signed-rank </w:t>
      </w:r>
      <w:r w:rsidRPr="009239F8">
        <w:rPr>
          <w:rFonts w:ascii="Times New Roman" w:hAnsi="Times New Roman" w:cs="Times New Roman"/>
          <w:i/>
          <w:iCs/>
          <w:lang w:val="en-US"/>
        </w:rPr>
        <w:t>p</w:t>
      </w:r>
      <w:r w:rsidRPr="009239F8">
        <w:rPr>
          <w:rFonts w:ascii="Times New Roman" w:hAnsi="Times New Roman" w:cs="Times New Roman"/>
          <w:lang w:val="en-US"/>
        </w:rPr>
        <w:t xml:space="preserve"> = 0.</w:t>
      </w:r>
      <w:r w:rsidR="000F6EB8" w:rsidRPr="009239F8">
        <w:rPr>
          <w:rFonts w:ascii="Times New Roman" w:hAnsi="Times New Roman" w:cs="Times New Roman"/>
          <w:lang w:val="en-US"/>
        </w:rPr>
        <w:t>62</w:t>
      </w:r>
      <w:r w:rsidRPr="009239F8">
        <w:rPr>
          <w:rFonts w:ascii="Times New Roman" w:hAnsi="Times New Roman" w:cs="Times New Roman"/>
          <w:lang w:val="en-US"/>
        </w:rPr>
        <w:t>), with comparable distributions across LV and RV regions</w:t>
      </w:r>
      <w:r w:rsidR="0056394E" w:rsidRPr="009239F8">
        <w:rPr>
          <w:rFonts w:ascii="Times New Roman" w:hAnsi="Times New Roman" w:cs="Times New Roman"/>
          <w:lang w:val="en-US"/>
        </w:rPr>
        <w:t>. The largest observed differences were in segments 12 (LV mid anterolateral, −18.6 pp), 16 (LV apical lateral, +20.2 pp), and 24 (RV mid anterolateral, −22.0 pp).</w:t>
      </w:r>
    </w:p>
    <w:p w14:paraId="11F4C9CF" w14:textId="739CF284" w:rsidR="00E62AD1" w:rsidRPr="009239F8" w:rsidRDefault="00E62AD1" w:rsidP="009A5B48">
      <w:pPr>
        <w:pStyle w:val="Caption"/>
        <w:spacing w:line="480" w:lineRule="auto"/>
        <w:jc w:val="both"/>
        <w:rPr>
          <w:rFonts w:cs="Times New Roman"/>
          <w:color w:val="auto"/>
          <w:lang w:val="en-US"/>
        </w:rPr>
      </w:pPr>
      <w:bookmarkStart w:id="13" w:name="_Ref232695080"/>
      <w:r w:rsidRPr="009239F8">
        <w:rPr>
          <w:rFonts w:cs="Times New Roman"/>
          <w:b/>
          <w:color w:val="auto"/>
          <w:lang w:val="en-US"/>
        </w:rPr>
        <w:t xml:space="preserve">Table S </w:t>
      </w:r>
      <w:r w:rsidRPr="009239F8">
        <w:rPr>
          <w:rFonts w:cs="Times New Roman"/>
          <w:b/>
          <w:color w:val="auto"/>
          <w:lang w:val="en-US"/>
        </w:rPr>
        <w:fldChar w:fldCharType="begin"/>
      </w:r>
      <w:r w:rsidRPr="009239F8">
        <w:rPr>
          <w:rFonts w:cs="Times New Roman"/>
          <w:b/>
          <w:bCs/>
          <w:color w:val="auto"/>
          <w:lang w:val="en-US"/>
        </w:rPr>
        <w:instrText xml:space="preserve"> SEQ Table_S \* ARABIC </w:instrText>
      </w:r>
      <w:r w:rsidRPr="009239F8">
        <w:rPr>
          <w:rFonts w:cs="Times New Roman"/>
          <w:b/>
          <w:color w:val="auto"/>
          <w:lang w:val="en-US"/>
        </w:rPr>
        <w:fldChar w:fldCharType="separate"/>
      </w:r>
      <w:r w:rsidR="00890076" w:rsidRPr="009239F8">
        <w:rPr>
          <w:rFonts w:cs="Times New Roman"/>
          <w:b/>
          <w:bCs/>
          <w:noProof/>
          <w:color w:val="auto"/>
          <w:lang w:val="en-US"/>
        </w:rPr>
        <w:t>6</w:t>
      </w:r>
      <w:r w:rsidRPr="009239F8">
        <w:rPr>
          <w:rFonts w:cs="Times New Roman"/>
          <w:b/>
          <w:color w:val="auto"/>
          <w:lang w:val="en-US"/>
        </w:rPr>
        <w:fldChar w:fldCharType="end"/>
      </w:r>
      <w:bookmarkEnd w:id="13"/>
      <w:r w:rsidRPr="009239F8">
        <w:rPr>
          <w:rFonts w:cs="Times New Roman"/>
          <w:b/>
          <w:color w:val="auto"/>
          <w:lang w:val="en-US"/>
        </w:rPr>
        <w:t>.</w:t>
      </w:r>
      <w:r w:rsidRPr="009239F8">
        <w:rPr>
          <w:rFonts w:cs="Times New Roman"/>
          <w:color w:val="auto"/>
          <w:lang w:val="en-US"/>
        </w:rPr>
        <w:t xml:space="preserve"> </w:t>
      </w:r>
      <w:r w:rsidRPr="009239F8">
        <w:rPr>
          <w:rFonts w:cs="Times New Roman"/>
          <w:b/>
          <w:color w:val="auto"/>
          <w:lang w:val="en-US"/>
        </w:rPr>
        <w:t xml:space="preserve">Segment-level </w:t>
      </w:r>
      <w:r w:rsidR="002309A0" w:rsidRPr="009239F8">
        <w:rPr>
          <w:rFonts w:cs="Times New Roman"/>
          <w:b/>
          <w:color w:val="auto"/>
          <w:lang w:val="en-US"/>
        </w:rPr>
        <w:t>Purkinje-Myocardial junction (PMJ)</w:t>
      </w:r>
      <w:r w:rsidRPr="009239F8">
        <w:rPr>
          <w:rFonts w:cs="Times New Roman"/>
          <w:b/>
          <w:color w:val="auto"/>
          <w:lang w:val="en-US"/>
        </w:rPr>
        <w:t xml:space="preserve"> prevalence comparison between healthy and </w:t>
      </w:r>
      <w:r w:rsidR="002309A0" w:rsidRPr="009239F8">
        <w:rPr>
          <w:rFonts w:cs="Times New Roman"/>
          <w:b/>
          <w:color w:val="auto"/>
          <w:lang w:val="en-US"/>
        </w:rPr>
        <w:t xml:space="preserve">early-stage hypertensive (eHTN) </w:t>
      </w:r>
      <w:r w:rsidRPr="009239F8">
        <w:rPr>
          <w:rFonts w:cs="Times New Roman"/>
          <w:b/>
          <w:color w:val="auto"/>
          <w:lang w:val="en-US"/>
        </w:rPr>
        <w:t>MyoFit46 cohorts.</w:t>
      </w:r>
      <w:r w:rsidRPr="009239F8">
        <w:rPr>
          <w:rFonts w:cs="Times New Roman"/>
          <w:color w:val="auto"/>
          <w:lang w:val="en-US"/>
        </w:rPr>
        <w:t xml:space="preserve"> Percentage of participants with at least one PMJ within each segment for the healthy (n=30) and eHTN (n=47) cohorts, and the absolute difference in percentage points (Δ, pp).</w:t>
      </w:r>
      <w:r w:rsidR="002309A0" w:rsidRPr="009239F8">
        <w:rPr>
          <w:rFonts w:cs="Times New Roman"/>
          <w:color w:val="auto"/>
          <w:lang w:val="en-US"/>
        </w:rPr>
        <w:t xml:space="preserve"> S</w:t>
      </w:r>
      <w:r w:rsidRPr="009239F8">
        <w:rPr>
          <w:rFonts w:cs="Times New Roman"/>
          <w:color w:val="auto"/>
          <w:lang w:val="en-US"/>
        </w:rPr>
        <w:t>egments are numbered according to the standard 17-segment left ventricular model extended to include right ventricular segments (18–30). Segments 2, 3, 8, 9, 14, and 17 were excluded from phase analysis due to insufficient prevalence but are retained here for completeness.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2516"/>
        <w:gridCol w:w="2977"/>
        <w:gridCol w:w="1984"/>
      </w:tblGrid>
      <w:tr w:rsidR="0096673B" w:rsidRPr="009239F8" w14:paraId="7C0D7D64" w14:textId="77777777" w:rsidTr="00A72AA9">
        <w:trPr>
          <w:jc w:val="center"/>
        </w:trPr>
        <w:tc>
          <w:tcPr>
            <w:tcW w:w="1023" w:type="dxa"/>
            <w:tcBorders>
              <w:top w:val="single" w:sz="4" w:space="0" w:color="auto"/>
              <w:bottom w:val="single" w:sz="4" w:space="0" w:color="auto"/>
            </w:tcBorders>
            <w:vAlign w:val="center"/>
          </w:tcPr>
          <w:p w14:paraId="089323A4"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Segment</w:t>
            </w:r>
          </w:p>
        </w:tc>
        <w:tc>
          <w:tcPr>
            <w:tcW w:w="2516" w:type="dxa"/>
            <w:tcBorders>
              <w:top w:val="single" w:sz="4" w:space="0" w:color="auto"/>
              <w:bottom w:val="single" w:sz="4" w:space="0" w:color="auto"/>
            </w:tcBorders>
            <w:vAlign w:val="center"/>
          </w:tcPr>
          <w:p w14:paraId="0FCAF67D"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Healthy prevalence (%)</w:t>
            </w:r>
          </w:p>
        </w:tc>
        <w:tc>
          <w:tcPr>
            <w:tcW w:w="2977" w:type="dxa"/>
            <w:tcBorders>
              <w:top w:val="single" w:sz="4" w:space="0" w:color="auto"/>
              <w:bottom w:val="single" w:sz="4" w:space="0" w:color="auto"/>
            </w:tcBorders>
            <w:vAlign w:val="center"/>
          </w:tcPr>
          <w:p w14:paraId="785EDDD1"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eHTN prevalence (%)</w:t>
            </w:r>
          </w:p>
        </w:tc>
        <w:tc>
          <w:tcPr>
            <w:tcW w:w="1984" w:type="dxa"/>
            <w:tcBorders>
              <w:top w:val="single" w:sz="4" w:space="0" w:color="auto"/>
              <w:bottom w:val="single" w:sz="4" w:space="0" w:color="auto"/>
            </w:tcBorders>
            <w:vAlign w:val="center"/>
          </w:tcPr>
          <w:p w14:paraId="6A7094E8" w14:textId="21FAC0F2" w:rsidR="0096673B" w:rsidRPr="009239F8" w:rsidRDefault="00FC3D94"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 xml:space="preserve">Δ </w:t>
            </w:r>
            <w:r w:rsidR="0096673B" w:rsidRPr="009239F8">
              <w:rPr>
                <w:rFonts w:ascii="Times New Roman" w:hAnsi="Times New Roman" w:cs="Times New Roman"/>
                <w:b/>
                <w:lang w:val="en-US"/>
              </w:rPr>
              <w:t>(pp)</w:t>
            </w:r>
          </w:p>
        </w:tc>
      </w:tr>
      <w:tr w:rsidR="0096673B" w:rsidRPr="009239F8" w14:paraId="11E0520F" w14:textId="77777777" w:rsidTr="00A72AA9">
        <w:trPr>
          <w:jc w:val="center"/>
        </w:trPr>
        <w:tc>
          <w:tcPr>
            <w:tcW w:w="1023" w:type="dxa"/>
            <w:tcBorders>
              <w:top w:val="single" w:sz="4" w:space="0" w:color="auto"/>
            </w:tcBorders>
            <w:vAlign w:val="center"/>
          </w:tcPr>
          <w:p w14:paraId="2C9061DC"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w:t>
            </w:r>
          </w:p>
        </w:tc>
        <w:tc>
          <w:tcPr>
            <w:tcW w:w="2516" w:type="dxa"/>
            <w:tcBorders>
              <w:top w:val="single" w:sz="4" w:space="0" w:color="auto"/>
            </w:tcBorders>
            <w:vAlign w:val="center"/>
          </w:tcPr>
          <w:p w14:paraId="3A070A91"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46.7</w:t>
            </w:r>
          </w:p>
        </w:tc>
        <w:tc>
          <w:tcPr>
            <w:tcW w:w="2977" w:type="dxa"/>
            <w:tcBorders>
              <w:top w:val="single" w:sz="4" w:space="0" w:color="auto"/>
            </w:tcBorders>
          </w:tcPr>
          <w:p w14:paraId="3B2D27C1"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34.0</w:t>
            </w:r>
          </w:p>
        </w:tc>
        <w:tc>
          <w:tcPr>
            <w:tcW w:w="1984" w:type="dxa"/>
            <w:tcBorders>
              <w:top w:val="single" w:sz="4" w:space="0" w:color="auto"/>
            </w:tcBorders>
          </w:tcPr>
          <w:p w14:paraId="4E5AF11A"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-12.6</w:t>
            </w:r>
          </w:p>
        </w:tc>
      </w:tr>
      <w:tr w:rsidR="0096673B" w:rsidRPr="009239F8" w14:paraId="4B6B3041" w14:textId="77777777" w:rsidTr="00A72AA9">
        <w:trPr>
          <w:jc w:val="center"/>
        </w:trPr>
        <w:tc>
          <w:tcPr>
            <w:tcW w:w="1023" w:type="dxa"/>
            <w:vAlign w:val="center"/>
          </w:tcPr>
          <w:p w14:paraId="65B8B43B"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w:t>
            </w:r>
          </w:p>
        </w:tc>
        <w:tc>
          <w:tcPr>
            <w:tcW w:w="2516" w:type="dxa"/>
            <w:vAlign w:val="center"/>
          </w:tcPr>
          <w:p w14:paraId="79E730C5"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2977" w:type="dxa"/>
          </w:tcPr>
          <w:p w14:paraId="3546E0A4"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1984" w:type="dxa"/>
          </w:tcPr>
          <w:p w14:paraId="7B24BCC8"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r>
      <w:tr w:rsidR="0096673B" w:rsidRPr="009239F8" w14:paraId="59ED4546" w14:textId="77777777" w:rsidTr="00A72AA9">
        <w:trPr>
          <w:jc w:val="center"/>
        </w:trPr>
        <w:tc>
          <w:tcPr>
            <w:tcW w:w="1023" w:type="dxa"/>
            <w:vAlign w:val="center"/>
          </w:tcPr>
          <w:p w14:paraId="6A270128"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w:t>
            </w:r>
          </w:p>
        </w:tc>
        <w:tc>
          <w:tcPr>
            <w:tcW w:w="2516" w:type="dxa"/>
            <w:vAlign w:val="center"/>
          </w:tcPr>
          <w:p w14:paraId="756449AC"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2977" w:type="dxa"/>
          </w:tcPr>
          <w:p w14:paraId="236B4C23"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1984" w:type="dxa"/>
          </w:tcPr>
          <w:p w14:paraId="6654AFE8"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r>
      <w:tr w:rsidR="0096673B" w:rsidRPr="009239F8" w14:paraId="00185452" w14:textId="77777777" w:rsidTr="00A72AA9">
        <w:trPr>
          <w:jc w:val="center"/>
        </w:trPr>
        <w:tc>
          <w:tcPr>
            <w:tcW w:w="1023" w:type="dxa"/>
            <w:vAlign w:val="center"/>
          </w:tcPr>
          <w:p w14:paraId="7E878124"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w:t>
            </w:r>
          </w:p>
        </w:tc>
        <w:tc>
          <w:tcPr>
            <w:tcW w:w="2516" w:type="dxa"/>
            <w:vAlign w:val="center"/>
          </w:tcPr>
          <w:p w14:paraId="2F7245CE"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16.7</w:t>
            </w:r>
          </w:p>
        </w:tc>
        <w:tc>
          <w:tcPr>
            <w:tcW w:w="2977" w:type="dxa"/>
          </w:tcPr>
          <w:p w14:paraId="4DECAFE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25.5</w:t>
            </w:r>
          </w:p>
        </w:tc>
        <w:tc>
          <w:tcPr>
            <w:tcW w:w="1984" w:type="dxa"/>
          </w:tcPr>
          <w:p w14:paraId="0C24F003"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+8.9</w:t>
            </w:r>
          </w:p>
        </w:tc>
      </w:tr>
      <w:tr w:rsidR="0096673B" w:rsidRPr="009239F8" w14:paraId="65180626" w14:textId="77777777" w:rsidTr="00A72AA9">
        <w:trPr>
          <w:jc w:val="center"/>
        </w:trPr>
        <w:tc>
          <w:tcPr>
            <w:tcW w:w="1023" w:type="dxa"/>
            <w:vAlign w:val="center"/>
          </w:tcPr>
          <w:p w14:paraId="40678E3A"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w:t>
            </w:r>
          </w:p>
        </w:tc>
        <w:tc>
          <w:tcPr>
            <w:tcW w:w="2516" w:type="dxa"/>
            <w:vAlign w:val="center"/>
          </w:tcPr>
          <w:p w14:paraId="5FC82900"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56.7</w:t>
            </w:r>
          </w:p>
        </w:tc>
        <w:tc>
          <w:tcPr>
            <w:tcW w:w="2977" w:type="dxa"/>
          </w:tcPr>
          <w:p w14:paraId="1CD9DBFD"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66.0</w:t>
            </w:r>
          </w:p>
        </w:tc>
        <w:tc>
          <w:tcPr>
            <w:tcW w:w="1984" w:type="dxa"/>
          </w:tcPr>
          <w:p w14:paraId="6CD93D78"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+9.3</w:t>
            </w:r>
          </w:p>
        </w:tc>
      </w:tr>
      <w:tr w:rsidR="0096673B" w:rsidRPr="009239F8" w14:paraId="60449FDE" w14:textId="77777777" w:rsidTr="00A72AA9">
        <w:trPr>
          <w:jc w:val="center"/>
        </w:trPr>
        <w:tc>
          <w:tcPr>
            <w:tcW w:w="1023" w:type="dxa"/>
            <w:vAlign w:val="center"/>
          </w:tcPr>
          <w:p w14:paraId="65B0CCD3"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w:t>
            </w:r>
          </w:p>
        </w:tc>
        <w:tc>
          <w:tcPr>
            <w:tcW w:w="2516" w:type="dxa"/>
            <w:vAlign w:val="center"/>
          </w:tcPr>
          <w:p w14:paraId="4AAE9F81"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43.3</w:t>
            </w:r>
          </w:p>
        </w:tc>
        <w:tc>
          <w:tcPr>
            <w:tcW w:w="2977" w:type="dxa"/>
          </w:tcPr>
          <w:p w14:paraId="282A0470"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46.8</w:t>
            </w:r>
          </w:p>
        </w:tc>
        <w:tc>
          <w:tcPr>
            <w:tcW w:w="1984" w:type="dxa"/>
          </w:tcPr>
          <w:p w14:paraId="6EF8F7BA"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+3.5</w:t>
            </w:r>
          </w:p>
        </w:tc>
      </w:tr>
      <w:tr w:rsidR="0096673B" w:rsidRPr="009239F8" w14:paraId="18E74352" w14:textId="77777777" w:rsidTr="00A72AA9">
        <w:trPr>
          <w:jc w:val="center"/>
        </w:trPr>
        <w:tc>
          <w:tcPr>
            <w:tcW w:w="1023" w:type="dxa"/>
            <w:vAlign w:val="center"/>
          </w:tcPr>
          <w:p w14:paraId="43B5E6E2"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w:t>
            </w:r>
          </w:p>
        </w:tc>
        <w:tc>
          <w:tcPr>
            <w:tcW w:w="2516" w:type="dxa"/>
            <w:vAlign w:val="center"/>
          </w:tcPr>
          <w:p w14:paraId="346740C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63.3</w:t>
            </w:r>
          </w:p>
        </w:tc>
        <w:tc>
          <w:tcPr>
            <w:tcW w:w="2977" w:type="dxa"/>
          </w:tcPr>
          <w:p w14:paraId="782CA925"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57.4</w:t>
            </w:r>
          </w:p>
        </w:tc>
        <w:tc>
          <w:tcPr>
            <w:tcW w:w="1984" w:type="dxa"/>
          </w:tcPr>
          <w:p w14:paraId="6461D9A4"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-5.9</w:t>
            </w:r>
          </w:p>
        </w:tc>
      </w:tr>
      <w:tr w:rsidR="0096673B" w:rsidRPr="009239F8" w14:paraId="630972B3" w14:textId="77777777" w:rsidTr="00A72AA9">
        <w:trPr>
          <w:jc w:val="center"/>
        </w:trPr>
        <w:tc>
          <w:tcPr>
            <w:tcW w:w="1023" w:type="dxa"/>
            <w:vAlign w:val="center"/>
          </w:tcPr>
          <w:p w14:paraId="7B0E52FD"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w:t>
            </w:r>
          </w:p>
        </w:tc>
        <w:tc>
          <w:tcPr>
            <w:tcW w:w="2516" w:type="dxa"/>
            <w:vAlign w:val="center"/>
          </w:tcPr>
          <w:p w14:paraId="6F92A892"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2977" w:type="dxa"/>
          </w:tcPr>
          <w:p w14:paraId="6859E232"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1984" w:type="dxa"/>
          </w:tcPr>
          <w:p w14:paraId="5B478D6D"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r>
      <w:tr w:rsidR="0096673B" w:rsidRPr="009239F8" w14:paraId="7D2A86A7" w14:textId="77777777" w:rsidTr="00A72AA9">
        <w:trPr>
          <w:jc w:val="center"/>
        </w:trPr>
        <w:tc>
          <w:tcPr>
            <w:tcW w:w="1023" w:type="dxa"/>
            <w:vAlign w:val="center"/>
          </w:tcPr>
          <w:p w14:paraId="7C8230A3"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w:t>
            </w:r>
          </w:p>
        </w:tc>
        <w:tc>
          <w:tcPr>
            <w:tcW w:w="2516" w:type="dxa"/>
            <w:vAlign w:val="center"/>
          </w:tcPr>
          <w:p w14:paraId="2990E7D5"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2977" w:type="dxa"/>
          </w:tcPr>
          <w:p w14:paraId="371AB1B8"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2.1</w:t>
            </w:r>
          </w:p>
        </w:tc>
        <w:tc>
          <w:tcPr>
            <w:tcW w:w="1984" w:type="dxa"/>
          </w:tcPr>
          <w:p w14:paraId="1620A36F"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+2.1</w:t>
            </w:r>
          </w:p>
        </w:tc>
      </w:tr>
      <w:tr w:rsidR="0096673B" w:rsidRPr="009239F8" w14:paraId="0CBB6C77" w14:textId="77777777" w:rsidTr="00A72AA9">
        <w:trPr>
          <w:jc w:val="center"/>
        </w:trPr>
        <w:tc>
          <w:tcPr>
            <w:tcW w:w="1023" w:type="dxa"/>
            <w:vAlign w:val="center"/>
          </w:tcPr>
          <w:p w14:paraId="637CB0BF"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w:t>
            </w:r>
          </w:p>
        </w:tc>
        <w:tc>
          <w:tcPr>
            <w:tcW w:w="2516" w:type="dxa"/>
            <w:vAlign w:val="center"/>
          </w:tcPr>
          <w:p w14:paraId="419587CC"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46.7</w:t>
            </w:r>
          </w:p>
        </w:tc>
        <w:tc>
          <w:tcPr>
            <w:tcW w:w="2977" w:type="dxa"/>
          </w:tcPr>
          <w:p w14:paraId="208772FB"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44.7</w:t>
            </w:r>
          </w:p>
        </w:tc>
        <w:tc>
          <w:tcPr>
            <w:tcW w:w="1984" w:type="dxa"/>
          </w:tcPr>
          <w:p w14:paraId="0752C0CF"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-2.0</w:t>
            </w:r>
          </w:p>
        </w:tc>
      </w:tr>
      <w:tr w:rsidR="0096673B" w:rsidRPr="009239F8" w14:paraId="2D05FF49" w14:textId="77777777" w:rsidTr="00A72AA9">
        <w:trPr>
          <w:jc w:val="center"/>
        </w:trPr>
        <w:tc>
          <w:tcPr>
            <w:tcW w:w="1023" w:type="dxa"/>
            <w:vAlign w:val="center"/>
          </w:tcPr>
          <w:p w14:paraId="0D3CCB9A"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11</w:t>
            </w:r>
          </w:p>
        </w:tc>
        <w:tc>
          <w:tcPr>
            <w:tcW w:w="2516" w:type="dxa"/>
            <w:vAlign w:val="center"/>
          </w:tcPr>
          <w:p w14:paraId="705B998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66.7</w:t>
            </w:r>
          </w:p>
        </w:tc>
        <w:tc>
          <w:tcPr>
            <w:tcW w:w="2977" w:type="dxa"/>
          </w:tcPr>
          <w:p w14:paraId="051DADEF"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74.5</w:t>
            </w:r>
          </w:p>
        </w:tc>
        <w:tc>
          <w:tcPr>
            <w:tcW w:w="1984" w:type="dxa"/>
          </w:tcPr>
          <w:p w14:paraId="5EA64DDD"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+7.8</w:t>
            </w:r>
          </w:p>
        </w:tc>
      </w:tr>
      <w:tr w:rsidR="0096673B" w:rsidRPr="009239F8" w14:paraId="602F14F2" w14:textId="77777777" w:rsidTr="00A72AA9">
        <w:trPr>
          <w:jc w:val="center"/>
        </w:trPr>
        <w:tc>
          <w:tcPr>
            <w:tcW w:w="1023" w:type="dxa"/>
            <w:vAlign w:val="center"/>
          </w:tcPr>
          <w:p w14:paraId="5A1F71DA"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12</w:t>
            </w:r>
          </w:p>
        </w:tc>
        <w:tc>
          <w:tcPr>
            <w:tcW w:w="2516" w:type="dxa"/>
            <w:vAlign w:val="center"/>
          </w:tcPr>
          <w:p w14:paraId="035FAC57"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86.7</w:t>
            </w:r>
          </w:p>
        </w:tc>
        <w:tc>
          <w:tcPr>
            <w:tcW w:w="2977" w:type="dxa"/>
          </w:tcPr>
          <w:p w14:paraId="0863278D"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68.1</w:t>
            </w:r>
          </w:p>
        </w:tc>
        <w:tc>
          <w:tcPr>
            <w:tcW w:w="1984" w:type="dxa"/>
          </w:tcPr>
          <w:p w14:paraId="5EF10A90"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-18.6</w:t>
            </w:r>
          </w:p>
        </w:tc>
      </w:tr>
      <w:tr w:rsidR="0096673B" w:rsidRPr="009239F8" w14:paraId="73DD4732" w14:textId="77777777" w:rsidTr="00A72AA9">
        <w:trPr>
          <w:jc w:val="center"/>
        </w:trPr>
        <w:tc>
          <w:tcPr>
            <w:tcW w:w="1023" w:type="dxa"/>
            <w:vAlign w:val="center"/>
          </w:tcPr>
          <w:p w14:paraId="09437191"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13</w:t>
            </w:r>
          </w:p>
        </w:tc>
        <w:tc>
          <w:tcPr>
            <w:tcW w:w="2516" w:type="dxa"/>
            <w:vAlign w:val="center"/>
          </w:tcPr>
          <w:p w14:paraId="7B687F7E"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46.7</w:t>
            </w:r>
          </w:p>
        </w:tc>
        <w:tc>
          <w:tcPr>
            <w:tcW w:w="2977" w:type="dxa"/>
          </w:tcPr>
          <w:p w14:paraId="72F0115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59.6</w:t>
            </w:r>
          </w:p>
        </w:tc>
        <w:tc>
          <w:tcPr>
            <w:tcW w:w="1984" w:type="dxa"/>
          </w:tcPr>
          <w:p w14:paraId="7ED6072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+12.9</w:t>
            </w:r>
          </w:p>
        </w:tc>
      </w:tr>
      <w:tr w:rsidR="0096673B" w:rsidRPr="009239F8" w14:paraId="13979AB5" w14:textId="77777777" w:rsidTr="00A72AA9">
        <w:trPr>
          <w:jc w:val="center"/>
        </w:trPr>
        <w:tc>
          <w:tcPr>
            <w:tcW w:w="1023" w:type="dxa"/>
            <w:vAlign w:val="center"/>
          </w:tcPr>
          <w:p w14:paraId="0B0135E3"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14</w:t>
            </w:r>
          </w:p>
        </w:tc>
        <w:tc>
          <w:tcPr>
            <w:tcW w:w="2516" w:type="dxa"/>
            <w:vAlign w:val="center"/>
          </w:tcPr>
          <w:p w14:paraId="487D0E85"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2977" w:type="dxa"/>
          </w:tcPr>
          <w:p w14:paraId="00A2E1FB"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2.1</w:t>
            </w:r>
          </w:p>
        </w:tc>
        <w:tc>
          <w:tcPr>
            <w:tcW w:w="1984" w:type="dxa"/>
          </w:tcPr>
          <w:p w14:paraId="03C40F9D"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+2.1</w:t>
            </w:r>
          </w:p>
        </w:tc>
      </w:tr>
      <w:tr w:rsidR="0096673B" w:rsidRPr="009239F8" w14:paraId="66C7A6EE" w14:textId="77777777" w:rsidTr="00A72AA9">
        <w:trPr>
          <w:jc w:val="center"/>
        </w:trPr>
        <w:tc>
          <w:tcPr>
            <w:tcW w:w="1023" w:type="dxa"/>
            <w:vAlign w:val="center"/>
          </w:tcPr>
          <w:p w14:paraId="3A16D838"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15</w:t>
            </w:r>
          </w:p>
        </w:tc>
        <w:tc>
          <w:tcPr>
            <w:tcW w:w="2516" w:type="dxa"/>
            <w:vAlign w:val="center"/>
          </w:tcPr>
          <w:p w14:paraId="1971BB5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63.3</w:t>
            </w:r>
          </w:p>
        </w:tc>
        <w:tc>
          <w:tcPr>
            <w:tcW w:w="2977" w:type="dxa"/>
          </w:tcPr>
          <w:p w14:paraId="3B2C99E0"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74.5</w:t>
            </w:r>
          </w:p>
        </w:tc>
        <w:tc>
          <w:tcPr>
            <w:tcW w:w="1984" w:type="dxa"/>
          </w:tcPr>
          <w:p w14:paraId="3917F2BA"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+11.1</w:t>
            </w:r>
          </w:p>
        </w:tc>
      </w:tr>
      <w:tr w:rsidR="0096673B" w:rsidRPr="009239F8" w14:paraId="2553A1D1" w14:textId="77777777" w:rsidTr="00A72AA9">
        <w:trPr>
          <w:jc w:val="center"/>
        </w:trPr>
        <w:tc>
          <w:tcPr>
            <w:tcW w:w="1023" w:type="dxa"/>
            <w:vAlign w:val="center"/>
          </w:tcPr>
          <w:p w14:paraId="145BDEBE"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16</w:t>
            </w:r>
          </w:p>
        </w:tc>
        <w:tc>
          <w:tcPr>
            <w:tcW w:w="2516" w:type="dxa"/>
            <w:vAlign w:val="center"/>
          </w:tcPr>
          <w:p w14:paraId="237CD02E"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50.0</w:t>
            </w:r>
          </w:p>
        </w:tc>
        <w:tc>
          <w:tcPr>
            <w:tcW w:w="2977" w:type="dxa"/>
          </w:tcPr>
          <w:p w14:paraId="064B2E2F"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70.2</w:t>
            </w:r>
          </w:p>
        </w:tc>
        <w:tc>
          <w:tcPr>
            <w:tcW w:w="1984" w:type="dxa"/>
          </w:tcPr>
          <w:p w14:paraId="0D3780C4"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+20.2</w:t>
            </w:r>
          </w:p>
        </w:tc>
      </w:tr>
      <w:tr w:rsidR="0096673B" w:rsidRPr="009239F8" w14:paraId="4C675332" w14:textId="77777777" w:rsidTr="00A72AA9">
        <w:trPr>
          <w:jc w:val="center"/>
        </w:trPr>
        <w:tc>
          <w:tcPr>
            <w:tcW w:w="1023" w:type="dxa"/>
            <w:vAlign w:val="center"/>
          </w:tcPr>
          <w:p w14:paraId="147394C3"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17</w:t>
            </w:r>
          </w:p>
        </w:tc>
        <w:tc>
          <w:tcPr>
            <w:tcW w:w="2516" w:type="dxa"/>
            <w:vAlign w:val="center"/>
          </w:tcPr>
          <w:p w14:paraId="311EBB68"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3.3</w:t>
            </w:r>
          </w:p>
        </w:tc>
        <w:tc>
          <w:tcPr>
            <w:tcW w:w="2977" w:type="dxa"/>
          </w:tcPr>
          <w:p w14:paraId="030851F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1984" w:type="dxa"/>
          </w:tcPr>
          <w:p w14:paraId="713D0149"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-3.3</w:t>
            </w:r>
          </w:p>
        </w:tc>
      </w:tr>
      <w:tr w:rsidR="0096673B" w:rsidRPr="009239F8" w14:paraId="617CF718" w14:textId="77777777" w:rsidTr="00A72AA9">
        <w:trPr>
          <w:jc w:val="center"/>
        </w:trPr>
        <w:tc>
          <w:tcPr>
            <w:tcW w:w="1023" w:type="dxa"/>
            <w:vAlign w:val="center"/>
          </w:tcPr>
          <w:p w14:paraId="32EF7184"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18</w:t>
            </w:r>
          </w:p>
        </w:tc>
        <w:tc>
          <w:tcPr>
            <w:tcW w:w="2516" w:type="dxa"/>
            <w:vAlign w:val="center"/>
          </w:tcPr>
          <w:p w14:paraId="26E2B251"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76.7</w:t>
            </w:r>
          </w:p>
        </w:tc>
        <w:tc>
          <w:tcPr>
            <w:tcW w:w="2977" w:type="dxa"/>
          </w:tcPr>
          <w:p w14:paraId="61DF8D5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80.9</w:t>
            </w:r>
          </w:p>
        </w:tc>
        <w:tc>
          <w:tcPr>
            <w:tcW w:w="1984" w:type="dxa"/>
          </w:tcPr>
          <w:p w14:paraId="583E1A1F"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+4.2</w:t>
            </w:r>
          </w:p>
        </w:tc>
      </w:tr>
      <w:tr w:rsidR="0096673B" w:rsidRPr="009239F8" w14:paraId="78B72A96" w14:textId="77777777" w:rsidTr="00A72AA9">
        <w:trPr>
          <w:jc w:val="center"/>
        </w:trPr>
        <w:tc>
          <w:tcPr>
            <w:tcW w:w="1023" w:type="dxa"/>
            <w:vAlign w:val="center"/>
          </w:tcPr>
          <w:p w14:paraId="122039C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19</w:t>
            </w:r>
          </w:p>
        </w:tc>
        <w:tc>
          <w:tcPr>
            <w:tcW w:w="2516" w:type="dxa"/>
            <w:vAlign w:val="center"/>
          </w:tcPr>
          <w:p w14:paraId="7955238A"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76.7</w:t>
            </w:r>
          </w:p>
        </w:tc>
        <w:tc>
          <w:tcPr>
            <w:tcW w:w="2977" w:type="dxa"/>
          </w:tcPr>
          <w:p w14:paraId="52415154"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72.3</w:t>
            </w:r>
          </w:p>
        </w:tc>
        <w:tc>
          <w:tcPr>
            <w:tcW w:w="1984" w:type="dxa"/>
          </w:tcPr>
          <w:p w14:paraId="2ED9E872"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-4.3</w:t>
            </w:r>
          </w:p>
        </w:tc>
      </w:tr>
      <w:tr w:rsidR="0096673B" w:rsidRPr="009239F8" w14:paraId="7285FD31" w14:textId="77777777" w:rsidTr="00A72AA9">
        <w:trPr>
          <w:jc w:val="center"/>
        </w:trPr>
        <w:tc>
          <w:tcPr>
            <w:tcW w:w="1023" w:type="dxa"/>
            <w:vAlign w:val="center"/>
          </w:tcPr>
          <w:p w14:paraId="25E9C025"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20</w:t>
            </w:r>
          </w:p>
        </w:tc>
        <w:tc>
          <w:tcPr>
            <w:tcW w:w="2516" w:type="dxa"/>
            <w:vAlign w:val="center"/>
          </w:tcPr>
          <w:p w14:paraId="137D0477"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46.7</w:t>
            </w:r>
          </w:p>
        </w:tc>
        <w:tc>
          <w:tcPr>
            <w:tcW w:w="2977" w:type="dxa"/>
          </w:tcPr>
          <w:p w14:paraId="3E210579"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51.1</w:t>
            </w:r>
          </w:p>
        </w:tc>
        <w:tc>
          <w:tcPr>
            <w:tcW w:w="1984" w:type="dxa"/>
          </w:tcPr>
          <w:p w14:paraId="13DBCE4C"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+4.4</w:t>
            </w:r>
          </w:p>
        </w:tc>
      </w:tr>
      <w:tr w:rsidR="0096673B" w:rsidRPr="009239F8" w14:paraId="49971B76" w14:textId="77777777" w:rsidTr="00A72AA9">
        <w:trPr>
          <w:jc w:val="center"/>
        </w:trPr>
        <w:tc>
          <w:tcPr>
            <w:tcW w:w="1023" w:type="dxa"/>
            <w:vAlign w:val="center"/>
          </w:tcPr>
          <w:p w14:paraId="194F3ADD"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21</w:t>
            </w:r>
          </w:p>
        </w:tc>
        <w:tc>
          <w:tcPr>
            <w:tcW w:w="2516" w:type="dxa"/>
            <w:vAlign w:val="center"/>
          </w:tcPr>
          <w:p w14:paraId="0F91DFB8"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36.7</w:t>
            </w:r>
          </w:p>
        </w:tc>
        <w:tc>
          <w:tcPr>
            <w:tcW w:w="2977" w:type="dxa"/>
          </w:tcPr>
          <w:p w14:paraId="6A40487E"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38.3</w:t>
            </w:r>
          </w:p>
        </w:tc>
        <w:tc>
          <w:tcPr>
            <w:tcW w:w="1984" w:type="dxa"/>
          </w:tcPr>
          <w:p w14:paraId="3F2A01E2"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+1.6</w:t>
            </w:r>
          </w:p>
        </w:tc>
      </w:tr>
      <w:tr w:rsidR="0096673B" w:rsidRPr="009239F8" w14:paraId="792CF0EC" w14:textId="77777777" w:rsidTr="00A72AA9">
        <w:trPr>
          <w:jc w:val="center"/>
        </w:trPr>
        <w:tc>
          <w:tcPr>
            <w:tcW w:w="1023" w:type="dxa"/>
            <w:vAlign w:val="center"/>
          </w:tcPr>
          <w:p w14:paraId="450547F9"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22</w:t>
            </w:r>
          </w:p>
        </w:tc>
        <w:tc>
          <w:tcPr>
            <w:tcW w:w="2516" w:type="dxa"/>
            <w:vAlign w:val="center"/>
          </w:tcPr>
          <w:p w14:paraId="76A6E795"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83.3</w:t>
            </w:r>
          </w:p>
        </w:tc>
        <w:tc>
          <w:tcPr>
            <w:tcW w:w="2977" w:type="dxa"/>
          </w:tcPr>
          <w:p w14:paraId="7C0F2DF2"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76.6</w:t>
            </w:r>
          </w:p>
        </w:tc>
        <w:tc>
          <w:tcPr>
            <w:tcW w:w="1984" w:type="dxa"/>
          </w:tcPr>
          <w:p w14:paraId="6D628FA0"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-6.7</w:t>
            </w:r>
          </w:p>
        </w:tc>
      </w:tr>
      <w:tr w:rsidR="0096673B" w:rsidRPr="009239F8" w14:paraId="4A6F0EDA" w14:textId="77777777" w:rsidTr="00A72AA9">
        <w:trPr>
          <w:jc w:val="center"/>
        </w:trPr>
        <w:tc>
          <w:tcPr>
            <w:tcW w:w="1023" w:type="dxa"/>
            <w:vAlign w:val="center"/>
          </w:tcPr>
          <w:p w14:paraId="4C237B0E"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23</w:t>
            </w:r>
          </w:p>
        </w:tc>
        <w:tc>
          <w:tcPr>
            <w:tcW w:w="2516" w:type="dxa"/>
            <w:vAlign w:val="center"/>
          </w:tcPr>
          <w:p w14:paraId="0834A287"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86.7</w:t>
            </w:r>
          </w:p>
        </w:tc>
        <w:tc>
          <w:tcPr>
            <w:tcW w:w="2977" w:type="dxa"/>
          </w:tcPr>
          <w:p w14:paraId="664BD1BC"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80.9</w:t>
            </w:r>
          </w:p>
        </w:tc>
        <w:tc>
          <w:tcPr>
            <w:tcW w:w="1984" w:type="dxa"/>
          </w:tcPr>
          <w:p w14:paraId="05B9F81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-5.8</w:t>
            </w:r>
          </w:p>
        </w:tc>
      </w:tr>
      <w:tr w:rsidR="0096673B" w:rsidRPr="009239F8" w14:paraId="4110C0DC" w14:textId="77777777" w:rsidTr="00A72AA9">
        <w:trPr>
          <w:jc w:val="center"/>
        </w:trPr>
        <w:tc>
          <w:tcPr>
            <w:tcW w:w="1023" w:type="dxa"/>
            <w:vAlign w:val="center"/>
          </w:tcPr>
          <w:p w14:paraId="21999724"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24</w:t>
            </w:r>
          </w:p>
        </w:tc>
        <w:tc>
          <w:tcPr>
            <w:tcW w:w="2516" w:type="dxa"/>
            <w:vAlign w:val="center"/>
          </w:tcPr>
          <w:p w14:paraId="1C4800AB"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66.7</w:t>
            </w:r>
          </w:p>
        </w:tc>
        <w:tc>
          <w:tcPr>
            <w:tcW w:w="2977" w:type="dxa"/>
          </w:tcPr>
          <w:p w14:paraId="114E69A1"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44.7</w:t>
            </w:r>
          </w:p>
        </w:tc>
        <w:tc>
          <w:tcPr>
            <w:tcW w:w="1984" w:type="dxa"/>
          </w:tcPr>
          <w:p w14:paraId="0837003C"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-22.0</w:t>
            </w:r>
          </w:p>
        </w:tc>
      </w:tr>
      <w:tr w:rsidR="0096673B" w:rsidRPr="009239F8" w14:paraId="72A9D759" w14:textId="77777777" w:rsidTr="00A72AA9">
        <w:trPr>
          <w:jc w:val="center"/>
        </w:trPr>
        <w:tc>
          <w:tcPr>
            <w:tcW w:w="1023" w:type="dxa"/>
            <w:vAlign w:val="center"/>
          </w:tcPr>
          <w:p w14:paraId="3AC38134"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25</w:t>
            </w:r>
          </w:p>
        </w:tc>
        <w:tc>
          <w:tcPr>
            <w:tcW w:w="2516" w:type="dxa"/>
            <w:vAlign w:val="center"/>
          </w:tcPr>
          <w:p w14:paraId="79407417"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40.0</w:t>
            </w:r>
          </w:p>
        </w:tc>
        <w:tc>
          <w:tcPr>
            <w:tcW w:w="2977" w:type="dxa"/>
          </w:tcPr>
          <w:p w14:paraId="38B28C25"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31.9</w:t>
            </w:r>
          </w:p>
        </w:tc>
        <w:tc>
          <w:tcPr>
            <w:tcW w:w="1984" w:type="dxa"/>
          </w:tcPr>
          <w:p w14:paraId="34B72F99"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-8.1</w:t>
            </w:r>
          </w:p>
        </w:tc>
      </w:tr>
      <w:tr w:rsidR="0096673B" w:rsidRPr="009239F8" w14:paraId="7B9C7DEA" w14:textId="77777777" w:rsidTr="00A72AA9">
        <w:trPr>
          <w:jc w:val="center"/>
        </w:trPr>
        <w:tc>
          <w:tcPr>
            <w:tcW w:w="1023" w:type="dxa"/>
            <w:vAlign w:val="center"/>
          </w:tcPr>
          <w:p w14:paraId="78B75835"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26</w:t>
            </w:r>
          </w:p>
        </w:tc>
        <w:tc>
          <w:tcPr>
            <w:tcW w:w="2516" w:type="dxa"/>
            <w:vAlign w:val="center"/>
          </w:tcPr>
          <w:p w14:paraId="2CBFD23B"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20.0</w:t>
            </w:r>
          </w:p>
        </w:tc>
        <w:tc>
          <w:tcPr>
            <w:tcW w:w="2977" w:type="dxa"/>
          </w:tcPr>
          <w:p w14:paraId="55F0E757"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14.9</w:t>
            </w:r>
          </w:p>
        </w:tc>
        <w:tc>
          <w:tcPr>
            <w:tcW w:w="1984" w:type="dxa"/>
          </w:tcPr>
          <w:p w14:paraId="15E7E081"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-5.1</w:t>
            </w:r>
          </w:p>
        </w:tc>
      </w:tr>
      <w:tr w:rsidR="0096673B" w:rsidRPr="009239F8" w14:paraId="259416C0" w14:textId="77777777" w:rsidTr="00A72AA9">
        <w:trPr>
          <w:jc w:val="center"/>
        </w:trPr>
        <w:tc>
          <w:tcPr>
            <w:tcW w:w="1023" w:type="dxa"/>
            <w:vAlign w:val="center"/>
          </w:tcPr>
          <w:p w14:paraId="3D977E08"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27</w:t>
            </w:r>
          </w:p>
        </w:tc>
        <w:tc>
          <w:tcPr>
            <w:tcW w:w="2516" w:type="dxa"/>
            <w:vAlign w:val="center"/>
          </w:tcPr>
          <w:p w14:paraId="77CAD4D7"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60.0</w:t>
            </w:r>
          </w:p>
        </w:tc>
        <w:tc>
          <w:tcPr>
            <w:tcW w:w="2977" w:type="dxa"/>
          </w:tcPr>
          <w:p w14:paraId="3B543770"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51.1</w:t>
            </w:r>
          </w:p>
        </w:tc>
        <w:tc>
          <w:tcPr>
            <w:tcW w:w="1984" w:type="dxa"/>
          </w:tcPr>
          <w:p w14:paraId="28DF9CEE"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-8.9</w:t>
            </w:r>
          </w:p>
        </w:tc>
      </w:tr>
      <w:tr w:rsidR="0096673B" w:rsidRPr="009239F8" w14:paraId="6C241931" w14:textId="77777777" w:rsidTr="00A72AA9">
        <w:trPr>
          <w:jc w:val="center"/>
        </w:trPr>
        <w:tc>
          <w:tcPr>
            <w:tcW w:w="1023" w:type="dxa"/>
            <w:vAlign w:val="center"/>
          </w:tcPr>
          <w:p w14:paraId="3D3997BF"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28</w:t>
            </w:r>
          </w:p>
        </w:tc>
        <w:tc>
          <w:tcPr>
            <w:tcW w:w="2516" w:type="dxa"/>
            <w:vAlign w:val="center"/>
          </w:tcPr>
          <w:p w14:paraId="657F459D"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13.3</w:t>
            </w:r>
          </w:p>
        </w:tc>
        <w:tc>
          <w:tcPr>
            <w:tcW w:w="2977" w:type="dxa"/>
          </w:tcPr>
          <w:p w14:paraId="5E9E7FF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10.6</w:t>
            </w:r>
          </w:p>
        </w:tc>
        <w:tc>
          <w:tcPr>
            <w:tcW w:w="1984" w:type="dxa"/>
          </w:tcPr>
          <w:p w14:paraId="019FD7BD"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-2.7</w:t>
            </w:r>
          </w:p>
        </w:tc>
      </w:tr>
      <w:tr w:rsidR="0096673B" w:rsidRPr="009239F8" w14:paraId="6D7EE18C" w14:textId="77777777" w:rsidTr="00A72AA9">
        <w:trPr>
          <w:jc w:val="center"/>
        </w:trPr>
        <w:tc>
          <w:tcPr>
            <w:tcW w:w="1023" w:type="dxa"/>
            <w:vAlign w:val="center"/>
          </w:tcPr>
          <w:p w14:paraId="3FE75B19"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29</w:t>
            </w:r>
          </w:p>
        </w:tc>
        <w:tc>
          <w:tcPr>
            <w:tcW w:w="2516" w:type="dxa"/>
            <w:vAlign w:val="center"/>
          </w:tcPr>
          <w:p w14:paraId="299E9B7C"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2977" w:type="dxa"/>
          </w:tcPr>
          <w:p w14:paraId="44BFAFE0"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1984" w:type="dxa"/>
          </w:tcPr>
          <w:p w14:paraId="08CAF753"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r>
      <w:tr w:rsidR="0096673B" w:rsidRPr="009239F8" w14:paraId="249CCD9D" w14:textId="77777777" w:rsidTr="00A72AA9">
        <w:trPr>
          <w:jc w:val="center"/>
        </w:trPr>
        <w:tc>
          <w:tcPr>
            <w:tcW w:w="1023" w:type="dxa"/>
            <w:tcBorders>
              <w:bottom w:val="single" w:sz="4" w:space="0" w:color="auto"/>
            </w:tcBorders>
            <w:vAlign w:val="center"/>
          </w:tcPr>
          <w:p w14:paraId="379FB31E"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30</w:t>
            </w:r>
          </w:p>
        </w:tc>
        <w:tc>
          <w:tcPr>
            <w:tcW w:w="2516" w:type="dxa"/>
            <w:tcBorders>
              <w:bottom w:val="single" w:sz="4" w:space="0" w:color="auto"/>
            </w:tcBorders>
            <w:vAlign w:val="center"/>
          </w:tcPr>
          <w:p w14:paraId="04A75819"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6.7</w:t>
            </w:r>
          </w:p>
        </w:tc>
        <w:tc>
          <w:tcPr>
            <w:tcW w:w="2977" w:type="dxa"/>
            <w:tcBorders>
              <w:bottom w:val="single" w:sz="4" w:space="0" w:color="auto"/>
            </w:tcBorders>
          </w:tcPr>
          <w:p w14:paraId="22EB7486"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w:t>
            </w:r>
          </w:p>
        </w:tc>
        <w:tc>
          <w:tcPr>
            <w:tcW w:w="1984" w:type="dxa"/>
            <w:tcBorders>
              <w:bottom w:val="single" w:sz="4" w:space="0" w:color="auto"/>
            </w:tcBorders>
          </w:tcPr>
          <w:p w14:paraId="3DE2106C" w14:textId="77777777" w:rsidR="0096673B" w:rsidRPr="009239F8" w:rsidRDefault="0096673B" w:rsidP="009A5B48">
            <w:pPr>
              <w:keepNext/>
              <w:spacing w:line="480" w:lineRule="auto"/>
              <w:jc w:val="center"/>
              <w:rPr>
                <w:rFonts w:ascii="Times New Roman" w:hAnsi="Times New Roman" w:cs="Times New Roman"/>
                <w:lang w:val="en-US"/>
              </w:rPr>
            </w:pPr>
            <w:r w:rsidRPr="009239F8">
              <w:rPr>
                <w:rFonts w:ascii="Times New Roman" w:hAnsi="Times New Roman" w:cs="Times New Roman"/>
                <w:lang w:val="en-US"/>
              </w:rPr>
              <w:t>-6.7</w:t>
            </w:r>
          </w:p>
        </w:tc>
      </w:tr>
    </w:tbl>
    <w:p w14:paraId="1558905A" w14:textId="0FF8F63B" w:rsidR="006F674B" w:rsidRPr="009239F8" w:rsidRDefault="006F674B" w:rsidP="009A5B48">
      <w:pPr>
        <w:pStyle w:val="Heading3"/>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w:t>
      </w:r>
      <w:r w:rsidR="009E7A5D" w:rsidRPr="009239F8">
        <w:rPr>
          <w:rFonts w:ascii="Times New Roman" w:hAnsi="Times New Roman" w:cs="Times New Roman"/>
          <w:color w:val="auto"/>
          <w:lang w:val="en-US"/>
        </w:rPr>
        <w:t>8.2</w:t>
      </w:r>
      <w:r w:rsidRPr="009239F8">
        <w:rPr>
          <w:rFonts w:ascii="Times New Roman" w:hAnsi="Times New Roman" w:cs="Times New Roman"/>
          <w:color w:val="auto"/>
          <w:lang w:val="en-US"/>
        </w:rPr>
        <w:t xml:space="preserve">: </w:t>
      </w:r>
      <w:r w:rsidR="001867AB" w:rsidRPr="009239F8">
        <w:rPr>
          <w:rFonts w:ascii="Times New Roman" w:hAnsi="Times New Roman" w:cs="Times New Roman"/>
          <w:color w:val="auto"/>
          <w:lang w:val="en-US"/>
        </w:rPr>
        <w:t xml:space="preserve">PMJ activation phase </w:t>
      </w:r>
      <w:r w:rsidR="000B20ED" w:rsidRPr="009239F8">
        <w:rPr>
          <w:rFonts w:ascii="Times New Roman" w:hAnsi="Times New Roman" w:cs="Times New Roman"/>
          <w:color w:val="auto"/>
          <w:lang w:val="en-US"/>
        </w:rPr>
        <w:t>co</w:t>
      </w:r>
      <w:r w:rsidR="009074AA" w:rsidRPr="009239F8">
        <w:rPr>
          <w:rFonts w:ascii="Times New Roman" w:hAnsi="Times New Roman" w:cs="Times New Roman"/>
          <w:color w:val="auto"/>
          <w:lang w:val="en-US"/>
        </w:rPr>
        <w:t xml:space="preserve">mparison </w:t>
      </w:r>
    </w:p>
    <w:p w14:paraId="3B8A5116" w14:textId="2E3384E0" w:rsidR="00BB6547" w:rsidRPr="009239F8" w:rsidRDefault="00BB6547" w:rsidP="009A5B48">
      <w:pPr>
        <w:spacing w:line="480" w:lineRule="auto"/>
        <w:jc w:val="both"/>
        <w:rPr>
          <w:rFonts w:ascii="Times New Roman" w:hAnsi="Times New Roman" w:cs="Times New Roman"/>
          <w:b/>
          <w:bCs/>
          <w:lang w:val="en-US"/>
        </w:rPr>
      </w:pPr>
      <w:r w:rsidRPr="009239F8">
        <w:rPr>
          <w:rFonts w:ascii="Times New Roman" w:hAnsi="Times New Roman" w:cs="Times New Roman"/>
          <w:lang w:val="en-US"/>
        </w:rPr>
        <w:fldChar w:fldCharType="begin"/>
      </w:r>
      <w:r w:rsidRPr="009239F8">
        <w:rPr>
          <w:rFonts w:ascii="Times New Roman" w:hAnsi="Times New Roman" w:cs="Times New Roman"/>
          <w:lang w:val="en-US"/>
        </w:rPr>
        <w:instrText xml:space="preserve"> REF _Ref232697180 \h  \* MERGEFORMAT </w:instrText>
      </w:r>
      <w:r w:rsidRPr="009239F8">
        <w:rPr>
          <w:rFonts w:ascii="Times New Roman" w:hAnsi="Times New Roman" w:cs="Times New Roman"/>
          <w:lang w:val="en-US"/>
        </w:rPr>
      </w:r>
      <w:r w:rsidRPr="009239F8">
        <w:rPr>
          <w:rFonts w:ascii="Times New Roman" w:hAnsi="Times New Roman" w:cs="Times New Roman"/>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bCs/>
          <w:noProof/>
          <w:lang w:val="en-US"/>
        </w:rPr>
        <w:t>7</w:t>
      </w:r>
      <w:r w:rsidRPr="009239F8">
        <w:rPr>
          <w:rFonts w:ascii="Times New Roman" w:hAnsi="Times New Roman" w:cs="Times New Roman"/>
          <w:lang w:val="en-US"/>
        </w:rPr>
        <w:fldChar w:fldCharType="end"/>
      </w:r>
      <w:r w:rsidRPr="009239F8">
        <w:rPr>
          <w:rFonts w:ascii="Times New Roman" w:hAnsi="Times New Roman" w:cs="Times New Roman"/>
          <w:lang w:val="en-US"/>
        </w:rPr>
        <w:t xml:space="preserve"> quantifies the differences between healthy and eHTN groups in PMJ activation-phase fractions at segment level</w:t>
      </w:r>
      <w:r w:rsidR="00312A45" w:rsidRPr="009239F8">
        <w:rPr>
          <w:rFonts w:ascii="Times New Roman" w:hAnsi="Times New Roman" w:cs="Times New Roman"/>
          <w:lang w:val="en-US"/>
        </w:rPr>
        <w:t xml:space="preserve">, while </w:t>
      </w:r>
      <w:r w:rsidR="00312A45" w:rsidRPr="009239F8">
        <w:rPr>
          <w:rFonts w:ascii="Times New Roman" w:hAnsi="Times New Roman" w:cs="Times New Roman"/>
          <w:lang w:val="en-US"/>
        </w:rPr>
        <w:fldChar w:fldCharType="begin"/>
      </w:r>
      <w:r w:rsidR="00312A45" w:rsidRPr="009239F8">
        <w:rPr>
          <w:rFonts w:ascii="Times New Roman" w:hAnsi="Times New Roman" w:cs="Times New Roman"/>
          <w:lang w:val="en-US"/>
        </w:rPr>
        <w:instrText xml:space="preserve"> REF _Ref232768812 \h  \* MERGEFORMAT </w:instrText>
      </w:r>
      <w:r w:rsidR="00312A45" w:rsidRPr="009239F8">
        <w:rPr>
          <w:rFonts w:ascii="Times New Roman" w:hAnsi="Times New Roman" w:cs="Times New Roman"/>
          <w:lang w:val="en-US"/>
        </w:rPr>
      </w:r>
      <w:r w:rsidR="00312A45" w:rsidRPr="009239F8">
        <w:rPr>
          <w:rFonts w:ascii="Times New Roman" w:hAnsi="Times New Roman" w:cs="Times New Roman"/>
          <w:lang w:val="en-US"/>
        </w:rPr>
        <w:fldChar w:fldCharType="separate"/>
      </w:r>
      <w:r w:rsidR="00890076" w:rsidRPr="009239F8">
        <w:rPr>
          <w:rFonts w:ascii="Times New Roman" w:hAnsi="Times New Roman" w:cs="Times New Roman"/>
          <w:b/>
          <w:lang w:val="en-US"/>
        </w:rPr>
        <w:t xml:space="preserve">Figure S </w:t>
      </w:r>
      <w:r w:rsidR="00890076" w:rsidRPr="009239F8">
        <w:rPr>
          <w:rFonts w:ascii="Times New Roman" w:hAnsi="Times New Roman" w:cs="Times New Roman"/>
          <w:b/>
          <w:bCs/>
          <w:noProof/>
          <w:lang w:val="en-US"/>
        </w:rPr>
        <w:t>8</w:t>
      </w:r>
      <w:r w:rsidR="00312A45" w:rsidRPr="009239F8">
        <w:rPr>
          <w:rFonts w:ascii="Times New Roman" w:hAnsi="Times New Roman" w:cs="Times New Roman"/>
          <w:lang w:val="en-US"/>
        </w:rPr>
        <w:fldChar w:fldCharType="end"/>
      </w:r>
      <w:r w:rsidR="00312A45" w:rsidRPr="009239F8">
        <w:rPr>
          <w:rFonts w:ascii="Times New Roman" w:hAnsi="Times New Roman" w:cs="Times New Roman"/>
          <w:lang w:val="en-US"/>
        </w:rPr>
        <w:t xml:space="preserve"> summarizes between-cohort differences in PMJ activation-phase composition. </w:t>
      </w:r>
      <w:r w:rsidRPr="009239F8">
        <w:rPr>
          <w:rFonts w:ascii="Times New Roman" w:hAnsi="Times New Roman" w:cs="Times New Roman"/>
          <w:lang w:val="en-US"/>
        </w:rPr>
        <w:t xml:space="preserve"> A significant reduction in the Late-phase fraction was identified in the eHTN cohort (median Δ = −7.89 pp, p</w:t>
      </w:r>
      <w:r w:rsidRPr="009239F8">
        <w:rPr>
          <w:rFonts w:ascii="Times New Roman" w:hAnsi="Times New Roman" w:cs="Times New Roman"/>
          <w:vertAlign w:val="subscript"/>
          <w:lang w:val="en-US"/>
        </w:rPr>
        <w:t>adj</w:t>
      </w:r>
      <w:r w:rsidRPr="009239F8">
        <w:rPr>
          <w:rFonts w:ascii="Times New Roman" w:hAnsi="Times New Roman" w:cs="Times New Roman"/>
          <w:lang w:val="en-US"/>
        </w:rPr>
        <w:t xml:space="preserve"> = 0.021), with the largest single-segment difference observed at AHA 18 (RV basal inferior, −35.86 pp). This reduction was directionally consistent across the majority of segments and was accompanied by a shift toward the Mid-early phase (median Δ = +5.10 pp, padj = 0.098). Early and Mid-late fractions showed no significant group differences after correction.</w:t>
      </w:r>
      <w:r w:rsidR="00357790" w:rsidRPr="009239F8">
        <w:rPr>
          <w:rFonts w:ascii="Times New Roman" w:hAnsi="Times New Roman" w:cs="Times New Roman"/>
          <w:lang w:val="en-US"/>
        </w:rPr>
        <w:t xml:space="preserve"> No sign test </w:t>
      </w:r>
      <w:r w:rsidR="00A37565" w:rsidRPr="009239F8">
        <w:rPr>
          <w:rFonts w:ascii="Times New Roman" w:hAnsi="Times New Roman" w:cs="Times New Roman"/>
          <w:lang w:val="en-US"/>
        </w:rPr>
        <w:t>gives</w:t>
      </w:r>
      <w:r w:rsidR="00357790" w:rsidRPr="009239F8">
        <w:rPr>
          <w:rFonts w:ascii="Times New Roman" w:hAnsi="Times New Roman" w:cs="Times New Roman"/>
          <w:lang w:val="en-US"/>
        </w:rPr>
        <w:t xml:space="preserve"> statistically significant results after correction </w:t>
      </w:r>
      <w:r w:rsidR="00443172" w:rsidRPr="009239F8">
        <w:rPr>
          <w:rFonts w:ascii="Times New Roman" w:hAnsi="Times New Roman" w:cs="Times New Roman"/>
          <w:b/>
          <w:bCs/>
          <w:lang w:val="en-US"/>
        </w:rPr>
        <w:fldChar w:fldCharType="begin"/>
      </w:r>
      <w:r w:rsidR="00443172" w:rsidRPr="009239F8">
        <w:rPr>
          <w:rFonts w:ascii="Times New Roman" w:hAnsi="Times New Roman" w:cs="Times New Roman"/>
          <w:b/>
          <w:bCs/>
          <w:lang w:val="en-US"/>
        </w:rPr>
        <w:instrText xml:space="preserve"> REF _Ref233624519 \h  \* MERGEFORMAT </w:instrText>
      </w:r>
      <w:r w:rsidR="00443172" w:rsidRPr="009239F8">
        <w:rPr>
          <w:rFonts w:ascii="Times New Roman" w:hAnsi="Times New Roman" w:cs="Times New Roman"/>
          <w:b/>
          <w:bCs/>
          <w:lang w:val="en-US"/>
        </w:rPr>
      </w:r>
      <w:r w:rsidR="00443172" w:rsidRPr="009239F8">
        <w:rPr>
          <w:rFonts w:ascii="Times New Roman" w:hAnsi="Times New Roman" w:cs="Times New Roman"/>
          <w:b/>
          <w:bCs/>
          <w:lang w:val="en-US"/>
        </w:rPr>
        <w:fldChar w:fldCharType="separate"/>
      </w:r>
      <w:r w:rsidR="00890076" w:rsidRPr="009239F8">
        <w:rPr>
          <w:rFonts w:ascii="Times New Roman" w:hAnsi="Times New Roman" w:cs="Times New Roman"/>
          <w:b/>
          <w:bCs/>
          <w:noProof/>
          <w:lang w:val="en-US"/>
        </w:rPr>
        <w:t>Table</w:t>
      </w:r>
      <w:r w:rsidR="00890076" w:rsidRPr="009239F8">
        <w:rPr>
          <w:rFonts w:ascii="Times New Roman" w:hAnsi="Times New Roman" w:cs="Times New Roman"/>
          <w:lang w:val="en-US"/>
        </w:rPr>
        <w:t xml:space="preserve"> S</w:t>
      </w:r>
      <w:r w:rsidR="00890076" w:rsidRPr="009239F8">
        <w:rPr>
          <w:rFonts w:ascii="Times New Roman" w:hAnsi="Times New Roman" w:cs="Times New Roman"/>
          <w:noProof/>
          <w:lang w:val="en-US"/>
        </w:rPr>
        <w:t xml:space="preserve"> </w:t>
      </w:r>
      <w:r w:rsidR="00890076" w:rsidRPr="009239F8">
        <w:rPr>
          <w:noProof/>
          <w:lang w:val="en-US"/>
        </w:rPr>
        <w:t>8</w:t>
      </w:r>
      <w:r w:rsidR="00443172" w:rsidRPr="009239F8">
        <w:rPr>
          <w:rFonts w:ascii="Times New Roman" w:hAnsi="Times New Roman" w:cs="Times New Roman"/>
          <w:b/>
          <w:bCs/>
          <w:lang w:val="en-US"/>
        </w:rPr>
        <w:fldChar w:fldCharType="end"/>
      </w:r>
      <w:r w:rsidR="00443172" w:rsidRPr="009239F8">
        <w:rPr>
          <w:rFonts w:ascii="Times New Roman" w:hAnsi="Times New Roman" w:cs="Times New Roman"/>
          <w:b/>
          <w:bCs/>
          <w:lang w:val="en-US"/>
        </w:rPr>
        <w:t>.</w:t>
      </w:r>
    </w:p>
    <w:p w14:paraId="4385C51A" w14:textId="285AF713" w:rsidR="00E62AD1" w:rsidRPr="009239F8" w:rsidRDefault="00E670EE" w:rsidP="009A5B48">
      <w:pPr>
        <w:pStyle w:val="Caption"/>
        <w:spacing w:line="480" w:lineRule="auto"/>
        <w:jc w:val="both"/>
        <w:rPr>
          <w:rFonts w:cs="Times New Roman"/>
          <w:color w:val="auto"/>
          <w:lang w:val="en-US"/>
        </w:rPr>
      </w:pPr>
      <w:bookmarkStart w:id="14" w:name="_Ref232697180"/>
      <w:r w:rsidRPr="009239F8">
        <w:rPr>
          <w:rFonts w:cs="Times New Roman"/>
          <w:noProof/>
          <w:color w:val="auto"/>
          <w:lang w:val="en-US"/>
        </w:rPr>
        <w:drawing>
          <wp:anchor distT="0" distB="0" distL="114300" distR="114300" simplePos="0" relativeHeight="251658248" behindDoc="0" locked="0" layoutInCell="1" allowOverlap="1" wp14:anchorId="25CB3D56" wp14:editId="4E23DFAD">
            <wp:simplePos x="0" y="0"/>
            <wp:positionH relativeFrom="column">
              <wp:posOffset>166370</wp:posOffset>
            </wp:positionH>
            <wp:positionV relativeFrom="paragraph">
              <wp:posOffset>2492375</wp:posOffset>
            </wp:positionV>
            <wp:extent cx="5306695" cy="3839845"/>
            <wp:effectExtent l="0" t="0" r="8255" b="8255"/>
            <wp:wrapTopAndBottom/>
            <wp:docPr id="17099262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26245"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306695" cy="3839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0076" w:rsidRPr="009239F8">
        <w:rPr>
          <w:rFonts w:cs="Times New Roman"/>
          <w:noProof/>
          <w:color w:val="auto"/>
          <w:lang w:val="en-US"/>
        </w:rPr>
        <mc:AlternateContent>
          <mc:Choice Requires="wps">
            <w:drawing>
              <wp:anchor distT="0" distB="0" distL="114300" distR="114300" simplePos="0" relativeHeight="251658252" behindDoc="0" locked="0" layoutInCell="1" allowOverlap="1" wp14:anchorId="7C9C3581" wp14:editId="614993A3">
                <wp:simplePos x="0" y="0"/>
                <wp:positionH relativeFrom="margin">
                  <wp:align>right</wp:align>
                </wp:positionH>
                <wp:positionV relativeFrom="paragraph">
                  <wp:posOffset>6406294</wp:posOffset>
                </wp:positionV>
                <wp:extent cx="5734050" cy="1303655"/>
                <wp:effectExtent l="0" t="0" r="0" b="0"/>
                <wp:wrapTopAndBottom/>
                <wp:docPr id="1681125207" name="Text Box 1"/>
                <wp:cNvGraphicFramePr/>
                <a:graphic xmlns:a="http://schemas.openxmlformats.org/drawingml/2006/main">
                  <a:graphicData uri="http://schemas.microsoft.com/office/word/2010/wordprocessingShape">
                    <wps:wsp>
                      <wps:cNvSpPr txBox="1"/>
                      <wps:spPr>
                        <a:xfrm>
                          <a:off x="0" y="0"/>
                          <a:ext cx="5734050" cy="1303655"/>
                        </a:xfrm>
                        <a:prstGeom prst="rect">
                          <a:avLst/>
                        </a:prstGeom>
                        <a:solidFill>
                          <a:prstClr val="white"/>
                        </a:solidFill>
                        <a:ln>
                          <a:noFill/>
                        </a:ln>
                      </wps:spPr>
                      <wps:txbx>
                        <w:txbxContent>
                          <w:p w14:paraId="63873EBC" w14:textId="199A5CC3" w:rsidR="00312A45" w:rsidRPr="00B5401D" w:rsidRDefault="00312A45" w:rsidP="00312A45">
                            <w:pPr>
                              <w:pStyle w:val="Caption"/>
                              <w:jc w:val="both"/>
                              <w:rPr>
                                <w:rFonts w:cs="Times New Roman"/>
                                <w:lang w:val="en-US"/>
                              </w:rPr>
                            </w:pPr>
                            <w:bookmarkStart w:id="15" w:name="_Ref232768812"/>
                            <w:r w:rsidRPr="00B5401D">
                              <w:rPr>
                                <w:rFonts w:cs="Times New Roman"/>
                                <w:b/>
                                <w:lang w:val="en-US"/>
                              </w:rPr>
                              <w:t xml:space="preserve">Figure S </w:t>
                            </w:r>
                            <w:r w:rsidRPr="00B5401D">
                              <w:rPr>
                                <w:rFonts w:cs="Times New Roman"/>
                                <w:b/>
                                <w:lang w:val="en-US"/>
                              </w:rPr>
                              <w:fldChar w:fldCharType="begin"/>
                            </w:r>
                            <w:r w:rsidRPr="00B5401D">
                              <w:rPr>
                                <w:rFonts w:cs="Times New Roman"/>
                                <w:b/>
                                <w:bCs/>
                                <w:lang w:val="en-US"/>
                              </w:rPr>
                              <w:instrText xml:space="preserve"> SEQ Figure_S \* ARABIC </w:instrText>
                            </w:r>
                            <w:r w:rsidRPr="00B5401D">
                              <w:rPr>
                                <w:rFonts w:cs="Times New Roman"/>
                                <w:b/>
                                <w:lang w:val="en-US"/>
                              </w:rPr>
                              <w:fldChar w:fldCharType="separate"/>
                            </w:r>
                            <w:r w:rsidR="00BE10AD" w:rsidRPr="00B5401D">
                              <w:rPr>
                                <w:rFonts w:cs="Times New Roman"/>
                                <w:b/>
                                <w:bCs/>
                                <w:noProof/>
                                <w:lang w:val="en-US"/>
                              </w:rPr>
                              <w:t>8</w:t>
                            </w:r>
                            <w:r w:rsidRPr="00B5401D">
                              <w:rPr>
                                <w:rFonts w:cs="Times New Roman"/>
                                <w:b/>
                                <w:lang w:val="en-US"/>
                              </w:rPr>
                              <w:fldChar w:fldCharType="end"/>
                            </w:r>
                            <w:bookmarkEnd w:id="15"/>
                            <w:r w:rsidRPr="00B5401D">
                              <w:rPr>
                                <w:rFonts w:cs="Times New Roman"/>
                                <w:b/>
                                <w:lang w:val="en-US"/>
                              </w:rPr>
                              <w:t>.</w:t>
                            </w:r>
                            <w:r w:rsidRPr="00B5401D">
                              <w:rPr>
                                <w:rFonts w:cs="Times New Roman"/>
                                <w:lang w:val="en-US"/>
                              </w:rPr>
                              <w:t xml:space="preserve"> </w:t>
                            </w:r>
                            <w:r w:rsidRPr="00B5401D">
                              <w:rPr>
                                <w:rFonts w:cs="Times New Roman"/>
                                <w:b/>
                                <w:lang w:val="en-US"/>
                              </w:rPr>
                              <w:t xml:space="preserve">Segment-level differences in </w:t>
                            </w:r>
                            <w:r w:rsidR="009C4332" w:rsidRPr="00B5401D">
                              <w:rPr>
                                <w:rFonts w:cs="Times New Roman"/>
                                <w:b/>
                                <w:lang w:val="en-US"/>
                              </w:rPr>
                              <w:t xml:space="preserve">Purkinje-Myocardial junction (PMJ) </w:t>
                            </w:r>
                            <w:r w:rsidRPr="00B5401D">
                              <w:rPr>
                                <w:rFonts w:cs="Times New Roman"/>
                                <w:b/>
                                <w:lang w:val="en-US"/>
                              </w:rPr>
                              <w:t xml:space="preserve">activation-phase fractions between </w:t>
                            </w:r>
                            <w:r w:rsidR="009C4332" w:rsidRPr="00B5401D">
                              <w:rPr>
                                <w:rFonts w:cs="Times New Roman"/>
                                <w:b/>
                                <w:lang w:val="en-US"/>
                              </w:rPr>
                              <w:t xml:space="preserve">early-stage hypertensive (eHTN) </w:t>
                            </w:r>
                            <w:r w:rsidRPr="00B5401D">
                              <w:rPr>
                                <w:rFonts w:cs="Times New Roman"/>
                                <w:b/>
                                <w:lang w:val="en-US"/>
                              </w:rPr>
                              <w:t xml:space="preserve">and healthy MyoFit46 cohorts. </w:t>
                            </w:r>
                            <w:r w:rsidRPr="00B5401D">
                              <w:rPr>
                                <w:rFonts w:cs="Times New Roman"/>
                                <w:lang w:val="en-US"/>
                              </w:rPr>
                              <w:t>Each panel displays the per-segment difference (Δ, percentage points</w:t>
                            </w:r>
                            <w:r w:rsidR="009C4332" w:rsidRPr="00B5401D">
                              <w:rPr>
                                <w:rFonts w:cs="Times New Roman"/>
                                <w:lang w:val="en-US"/>
                              </w:rPr>
                              <w:t xml:space="preserve"> (pp)</w:t>
                            </w:r>
                            <w:r w:rsidRPr="00B5401D">
                              <w:rPr>
                                <w:rFonts w:cs="Times New Roman"/>
                                <w:lang w:val="en-US"/>
                              </w:rPr>
                              <w:t>) in the fraction of PMJs activated during a given phase — Early (&lt;25%), Mid-early (25–50%), Mid-late (50–75%), and Late (&gt;75%) — computed as eHTN minus healthy. Each circle represents the per-segment difference in one segment. Segments are grouped anatomically along the vertical axis by region (</w:t>
                            </w:r>
                            <w:r w:rsidR="009C4332" w:rsidRPr="00B5401D">
                              <w:rPr>
                                <w:rFonts w:cs="Times New Roman"/>
                                <w:lang w:val="en-US"/>
                              </w:rPr>
                              <w:t>L</w:t>
                            </w:r>
                            <w:r w:rsidR="007E4678" w:rsidRPr="00B5401D">
                              <w:rPr>
                                <w:rFonts w:cs="Times New Roman"/>
                                <w:lang w:val="en-US"/>
                              </w:rPr>
                              <w:t>eft ventricle (LV)</w:t>
                            </w:r>
                            <w:r w:rsidRPr="00B5401D">
                              <w:rPr>
                                <w:rFonts w:cs="Times New Roman"/>
                                <w:lang w:val="en-US"/>
                              </w:rPr>
                              <w:t xml:space="preserve"> Basal, LV Mid, LV Apical, </w:t>
                            </w:r>
                            <w:r w:rsidR="007E4678" w:rsidRPr="00B5401D">
                              <w:rPr>
                                <w:rFonts w:cs="Times New Roman"/>
                                <w:lang w:val="en-US"/>
                              </w:rPr>
                              <w:t>Right ventricle (RV)</w:t>
                            </w:r>
                            <w:r w:rsidRPr="00B5401D">
                              <w:rPr>
                                <w:rFonts w:cs="Times New Roman"/>
                                <w:lang w:val="en-US"/>
                              </w:rPr>
                              <w:t xml:space="preserve"> Basal, RV Mid, RV Apical). Positive values indicate a higher phase fraction in the eHTN cohort; negative values indicate a higher fraction in the healthy cohort. The dashed vertical line indicates the mean difference across all segments for each activation phase. Activation times were </w:t>
                            </w:r>
                            <w:r w:rsidR="00B5401D" w:rsidRPr="00B5401D">
                              <w:rPr>
                                <w:rFonts w:cs="Times New Roman"/>
                                <w:lang w:val="en-US"/>
                              </w:rPr>
                              <w:t>normalized</w:t>
                            </w:r>
                            <w:r w:rsidRPr="00B5401D">
                              <w:rPr>
                                <w:rFonts w:cs="Times New Roman"/>
                                <w:lang w:val="en-US"/>
                              </w:rPr>
                              <w:t xml:space="preserve"> per subject from 0% (first PMJ activated) to 100% (last PMJ activated) prior to phase classification.</w:t>
                            </w:r>
                          </w:p>
                          <w:p w14:paraId="302BB603" w14:textId="567E908E" w:rsidR="00312A45" w:rsidRPr="00E529D4" w:rsidRDefault="00312A45" w:rsidP="00312A45">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C3581" id="_x0000_s1030" type="#_x0000_t202" style="position:absolute;left:0;text-align:left;margin-left:400.3pt;margin-top:504.45pt;width:451.5pt;height:102.65pt;z-index:2516582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" stroked="f">
                <v:textbox inset="0,0,0,0">
                  <w:txbxContent>
                    <w:p w14:paraId="63873EBC" w14:textId="199A5CC3" w:rsidR="00312A45" w:rsidRPr="00B5401D" w:rsidRDefault="00312A45" w:rsidP="00312A45">
                      <w:pPr>
                        <w:pStyle w:val="Caption"/>
                        <w:jc w:val="both"/>
                        <w:rPr>
                          <w:rFonts w:cs="Times New Roman"/>
                          <w:lang w:val="en-US"/>
                        </w:rPr>
                      </w:pPr>
                      <w:bookmarkStart w:id="23" w:name="_Ref232768812"/>
                      <w:r w:rsidRPr="00B5401D">
                        <w:rPr>
                          <w:rFonts w:cs="Times New Roman"/>
                          <w:b/>
                          <w:lang w:val="en-US"/>
                        </w:rPr>
                        <w:t xml:space="preserve">Figure S </w:t>
                      </w:r>
                      <w:r w:rsidRPr="00B5401D">
                        <w:rPr>
                          <w:rFonts w:cs="Times New Roman"/>
                          <w:b/>
                          <w:lang w:val="en-US"/>
                        </w:rPr>
                        <w:fldChar w:fldCharType="begin"/>
                      </w:r>
                      <w:r w:rsidRPr="00B5401D">
                        <w:rPr>
                          <w:rFonts w:cs="Times New Roman"/>
                          <w:b/>
                          <w:bCs/>
                          <w:lang w:val="en-US"/>
                        </w:rPr>
                        <w:instrText xml:space="preserve"> SEQ Figure_S \* ARABIC </w:instrText>
                      </w:r>
                      <w:r w:rsidRPr="00B5401D">
                        <w:rPr>
                          <w:rFonts w:cs="Times New Roman"/>
                          <w:b/>
                          <w:lang w:val="en-US"/>
                        </w:rPr>
                        <w:fldChar w:fldCharType="separate"/>
                      </w:r>
                      <w:r w:rsidR="00BE10AD" w:rsidRPr="00B5401D">
                        <w:rPr>
                          <w:rFonts w:cs="Times New Roman"/>
                          <w:b/>
                          <w:bCs/>
                          <w:noProof/>
                          <w:lang w:val="en-US"/>
                        </w:rPr>
                        <w:t>8</w:t>
                      </w:r>
                      <w:r w:rsidRPr="00B5401D">
                        <w:rPr>
                          <w:rFonts w:cs="Times New Roman"/>
                          <w:b/>
                          <w:lang w:val="en-US"/>
                        </w:rPr>
                        <w:fldChar w:fldCharType="end"/>
                      </w:r>
                      <w:bookmarkEnd w:id="23"/>
                      <w:r w:rsidRPr="00B5401D">
                        <w:rPr>
                          <w:rFonts w:cs="Times New Roman"/>
                          <w:b/>
                          <w:lang w:val="en-US"/>
                        </w:rPr>
                        <w:t>.</w:t>
                      </w:r>
                      <w:r w:rsidRPr="00B5401D">
                        <w:rPr>
                          <w:rFonts w:cs="Times New Roman"/>
                          <w:lang w:val="en-US"/>
                        </w:rPr>
                        <w:t xml:space="preserve"> </w:t>
                      </w:r>
                      <w:r w:rsidRPr="00B5401D">
                        <w:rPr>
                          <w:rFonts w:cs="Times New Roman"/>
                          <w:b/>
                          <w:lang w:val="en-US"/>
                        </w:rPr>
                        <w:t xml:space="preserve">Segment-level differences in </w:t>
                      </w:r>
                      <w:r w:rsidR="009C4332" w:rsidRPr="00B5401D">
                        <w:rPr>
                          <w:rFonts w:cs="Times New Roman"/>
                          <w:b/>
                          <w:lang w:val="en-US"/>
                        </w:rPr>
                        <w:t xml:space="preserve">Purkinje-Myocardial junction (PMJ) </w:t>
                      </w:r>
                      <w:r w:rsidRPr="00B5401D">
                        <w:rPr>
                          <w:rFonts w:cs="Times New Roman"/>
                          <w:b/>
                          <w:lang w:val="en-US"/>
                        </w:rPr>
                        <w:t xml:space="preserve">activation-phase fractions between </w:t>
                      </w:r>
                      <w:r w:rsidR="009C4332" w:rsidRPr="00B5401D">
                        <w:rPr>
                          <w:rFonts w:cs="Times New Roman"/>
                          <w:b/>
                          <w:lang w:val="en-US"/>
                        </w:rPr>
                        <w:t xml:space="preserve">early-stage hypertensive (eHTN) </w:t>
                      </w:r>
                      <w:r w:rsidRPr="00B5401D">
                        <w:rPr>
                          <w:rFonts w:cs="Times New Roman"/>
                          <w:b/>
                          <w:lang w:val="en-US"/>
                        </w:rPr>
                        <w:t xml:space="preserve">and healthy MyoFit46 cohorts. </w:t>
                      </w:r>
                      <w:r w:rsidRPr="00B5401D">
                        <w:rPr>
                          <w:rFonts w:cs="Times New Roman"/>
                          <w:lang w:val="en-US"/>
                        </w:rPr>
                        <w:t>Each panel displays the per-segment difference (Δ, percentage points</w:t>
                      </w:r>
                      <w:r w:rsidR="009C4332" w:rsidRPr="00B5401D">
                        <w:rPr>
                          <w:rFonts w:cs="Times New Roman"/>
                          <w:lang w:val="en-US"/>
                        </w:rPr>
                        <w:t xml:space="preserve"> (pp)</w:t>
                      </w:r>
                      <w:r w:rsidRPr="00B5401D">
                        <w:rPr>
                          <w:rFonts w:cs="Times New Roman"/>
                          <w:lang w:val="en-US"/>
                        </w:rPr>
                        <w:t>) in the fraction of PMJs activated during a given phase — Early (&lt;25%), Mid-early (25–50%), Mid-late (50–75%), and Late (&gt;75%) — computed as eHTN minus healthy. Each circle represents the per-segment difference in one segment. Segments are grouped anatomically along the vertical axis by region (</w:t>
                      </w:r>
                      <w:r w:rsidR="009C4332" w:rsidRPr="00B5401D">
                        <w:rPr>
                          <w:rFonts w:cs="Times New Roman"/>
                          <w:lang w:val="en-US"/>
                        </w:rPr>
                        <w:t>L</w:t>
                      </w:r>
                      <w:r w:rsidR="007E4678" w:rsidRPr="00B5401D">
                        <w:rPr>
                          <w:rFonts w:cs="Times New Roman"/>
                          <w:lang w:val="en-US"/>
                        </w:rPr>
                        <w:t>eft ventricle (LV)</w:t>
                      </w:r>
                      <w:r w:rsidRPr="00B5401D">
                        <w:rPr>
                          <w:rFonts w:cs="Times New Roman"/>
                          <w:lang w:val="en-US"/>
                        </w:rPr>
                        <w:t xml:space="preserve"> Basal, LV Mid, LV Apical, </w:t>
                      </w:r>
                      <w:r w:rsidR="007E4678" w:rsidRPr="00B5401D">
                        <w:rPr>
                          <w:rFonts w:cs="Times New Roman"/>
                          <w:lang w:val="en-US"/>
                        </w:rPr>
                        <w:t>Right ventricle (RV)</w:t>
                      </w:r>
                      <w:r w:rsidRPr="00B5401D">
                        <w:rPr>
                          <w:rFonts w:cs="Times New Roman"/>
                          <w:lang w:val="en-US"/>
                        </w:rPr>
                        <w:t xml:space="preserve"> Basal, RV Mid, RV Apical). Positive values indicate a higher phase fraction in the eHTN cohort; negative values indicate a higher fraction in the healthy cohort. The dashed vertical line indicates the mean difference across all segments for each activation phase. Activation times were </w:t>
                      </w:r>
                      <w:r w:rsidR="00B5401D" w:rsidRPr="00B5401D">
                        <w:rPr>
                          <w:rFonts w:cs="Times New Roman"/>
                          <w:lang w:val="en-US"/>
                        </w:rPr>
                        <w:t>normalized</w:t>
                      </w:r>
                      <w:r w:rsidRPr="00B5401D">
                        <w:rPr>
                          <w:rFonts w:cs="Times New Roman"/>
                          <w:lang w:val="en-US"/>
                        </w:rPr>
                        <w:t xml:space="preserve"> per subject from 0% (first PMJ activated) to 100% (last PMJ activated) prior to phase classification.</w:t>
                      </w:r>
                    </w:p>
                    <w:p w14:paraId="302BB603" w14:textId="567E908E" w:rsidR="00312A45" w:rsidRPr="00E529D4" w:rsidRDefault="00312A45" w:rsidP="00312A45">
                      <w:pPr>
                        <w:pStyle w:val="Caption"/>
                        <w:rPr>
                          <w:rFonts w:ascii="Times New Roman" w:hAnsi="Times New Roman" w:cs="Times New Roman"/>
                          <w:noProof/>
                        </w:rPr>
                      </w:pPr>
                    </w:p>
                  </w:txbxContent>
                </v:textbox>
                <w10:wrap type="topAndBottom" anchorx="margin"/>
              </v:shape>
            </w:pict>
          </mc:Fallback>
        </mc:AlternateContent>
      </w:r>
      <w:r w:rsidR="00E62AD1" w:rsidRPr="009239F8">
        <w:rPr>
          <w:rFonts w:cs="Times New Roman"/>
          <w:b/>
          <w:color w:val="auto"/>
          <w:lang w:val="en-US"/>
        </w:rPr>
        <w:t xml:space="preserve">Table S </w:t>
      </w:r>
      <w:r w:rsidR="00E62AD1" w:rsidRPr="009239F8">
        <w:rPr>
          <w:rFonts w:cs="Times New Roman"/>
          <w:b/>
          <w:color w:val="auto"/>
          <w:lang w:val="en-US"/>
        </w:rPr>
        <w:fldChar w:fldCharType="begin"/>
      </w:r>
      <w:r w:rsidR="00E62AD1" w:rsidRPr="009239F8">
        <w:rPr>
          <w:rFonts w:cs="Times New Roman"/>
          <w:b/>
          <w:bCs/>
          <w:color w:val="auto"/>
          <w:lang w:val="en-US"/>
        </w:rPr>
        <w:instrText xml:space="preserve"> SEQ Table_S \* ARABIC </w:instrText>
      </w:r>
      <w:r w:rsidR="00E62AD1" w:rsidRPr="009239F8">
        <w:rPr>
          <w:rFonts w:cs="Times New Roman"/>
          <w:b/>
          <w:color w:val="auto"/>
          <w:lang w:val="en-US"/>
        </w:rPr>
        <w:fldChar w:fldCharType="separate"/>
      </w:r>
      <w:r w:rsidR="00890076" w:rsidRPr="009239F8">
        <w:rPr>
          <w:rFonts w:cs="Times New Roman"/>
          <w:b/>
          <w:bCs/>
          <w:noProof/>
          <w:color w:val="auto"/>
          <w:lang w:val="en-US"/>
        </w:rPr>
        <w:t>7</w:t>
      </w:r>
      <w:r w:rsidR="00E62AD1" w:rsidRPr="009239F8">
        <w:rPr>
          <w:rFonts w:cs="Times New Roman"/>
          <w:b/>
          <w:color w:val="auto"/>
          <w:lang w:val="en-US"/>
        </w:rPr>
        <w:fldChar w:fldCharType="end"/>
      </w:r>
      <w:bookmarkEnd w:id="14"/>
      <w:r w:rsidR="00E62AD1" w:rsidRPr="009239F8">
        <w:rPr>
          <w:rFonts w:cs="Times New Roman"/>
          <w:b/>
          <w:color w:val="auto"/>
          <w:lang w:val="en-US"/>
        </w:rPr>
        <w:t>.</w:t>
      </w:r>
      <w:r w:rsidR="00E62AD1" w:rsidRPr="009239F8">
        <w:rPr>
          <w:rFonts w:cs="Times New Roman"/>
          <w:color w:val="auto"/>
          <w:lang w:val="en-US"/>
        </w:rPr>
        <w:t xml:space="preserve"> </w:t>
      </w:r>
      <w:r w:rsidR="00E62AD1" w:rsidRPr="009239F8">
        <w:rPr>
          <w:rFonts w:cs="Times New Roman"/>
          <w:b/>
          <w:color w:val="auto"/>
          <w:lang w:val="en-US"/>
        </w:rPr>
        <w:t xml:space="preserve">Comparison of </w:t>
      </w:r>
      <w:r w:rsidR="002309A0" w:rsidRPr="009239F8">
        <w:rPr>
          <w:rFonts w:cs="Times New Roman"/>
          <w:b/>
          <w:color w:val="auto"/>
          <w:lang w:val="en-US"/>
        </w:rPr>
        <w:t>Purkinje-Myocardial junction (PMJ)</w:t>
      </w:r>
      <w:r w:rsidR="00E62AD1" w:rsidRPr="009239F8">
        <w:rPr>
          <w:rFonts w:cs="Times New Roman"/>
          <w:b/>
          <w:color w:val="auto"/>
          <w:lang w:val="en-US"/>
        </w:rPr>
        <w:t xml:space="preserve"> activation-phase distributions between healthy and </w:t>
      </w:r>
      <w:r w:rsidR="002309A0" w:rsidRPr="009239F8">
        <w:rPr>
          <w:rFonts w:cs="Times New Roman"/>
          <w:b/>
          <w:color w:val="auto"/>
          <w:lang w:val="en-US"/>
        </w:rPr>
        <w:t xml:space="preserve">early-stage hypertensive (eHTN) </w:t>
      </w:r>
      <w:r w:rsidR="00E62AD1" w:rsidRPr="009239F8">
        <w:rPr>
          <w:rFonts w:cs="Times New Roman"/>
          <w:b/>
          <w:color w:val="auto"/>
          <w:lang w:val="en-US"/>
        </w:rPr>
        <w:t>MyoFit46 cohorts.</w:t>
      </w:r>
      <w:r w:rsidR="00E62AD1" w:rsidRPr="009239F8">
        <w:rPr>
          <w:rFonts w:cs="Times New Roman"/>
          <w:color w:val="auto"/>
          <w:lang w:val="en-US"/>
        </w:rPr>
        <w:t xml:space="preserve"> Median difference in percentage</w:t>
      </w:r>
      <w:r w:rsidR="002309A0" w:rsidRPr="009239F8">
        <w:rPr>
          <w:rFonts w:cs="Times New Roman"/>
          <w:color w:val="auto"/>
          <w:lang w:val="en-US"/>
        </w:rPr>
        <w:t xml:space="preserve"> </w:t>
      </w:r>
      <w:r w:rsidR="00E62AD1" w:rsidRPr="009239F8">
        <w:rPr>
          <w:rFonts w:cs="Times New Roman"/>
          <w:color w:val="auto"/>
          <w:lang w:val="en-US"/>
        </w:rPr>
        <w:t xml:space="preserve">point (pp) contribution of each activation phase across segments, with interquartile range (IQR). Activation times were </w:t>
      </w:r>
      <w:r w:rsidR="006A668C" w:rsidRPr="009239F8">
        <w:rPr>
          <w:rFonts w:cs="Times New Roman"/>
          <w:color w:val="auto"/>
          <w:lang w:val="en-US"/>
        </w:rPr>
        <w:t>normalized</w:t>
      </w:r>
      <w:r w:rsidR="00E62AD1" w:rsidRPr="009239F8">
        <w:rPr>
          <w:rFonts w:cs="Times New Roman"/>
          <w:color w:val="auto"/>
          <w:lang w:val="en-US"/>
        </w:rPr>
        <w:t xml:space="preserve"> per subject from 0% (first PMJ activated) to 100% (last PMJ activated). Phases are defined as: Early (&lt;25%), Mid-early (25–50%), Mid-late (50–75%), and Late (&gt;75%). Statistical comparison was performed using the Wilcoxon signed-rank test across segments with Benjamini–Hochberg correction (p</w:t>
      </w:r>
      <w:r w:rsidR="00E62AD1" w:rsidRPr="009239F8">
        <w:rPr>
          <w:rFonts w:cs="Times New Roman"/>
          <w:color w:val="auto"/>
          <w:vertAlign w:val="subscript"/>
          <w:lang w:val="en-US"/>
        </w:rPr>
        <w:t>adj</w:t>
      </w:r>
      <w:r w:rsidR="00E62AD1" w:rsidRPr="009239F8">
        <w:rPr>
          <w:rFonts w:cs="Times New Roman"/>
          <w:color w:val="auto"/>
          <w:lang w:val="en-US"/>
        </w:rPr>
        <w:t xml:space="preserve">). A positive Δ indicates a higher phase fraction in the eHTN cohort relative to healthy. Max |Δ| indicates the segment with the largest absolute between-group difference. </w:t>
      </w:r>
    </w:p>
    <w:tbl>
      <w:tblPr>
        <w:tblStyle w:val="PlainTable2"/>
        <w:tblW w:w="0" w:type="auto"/>
        <w:tblLook w:val="04A0" w:firstRow="1" w:lastRow="0" w:firstColumn="1" w:lastColumn="0" w:noHBand="0" w:noVBand="1"/>
      </w:tblPr>
      <w:tblGrid>
        <w:gridCol w:w="1276"/>
        <w:gridCol w:w="210"/>
        <w:gridCol w:w="1384"/>
        <w:gridCol w:w="1877"/>
        <w:gridCol w:w="1025"/>
        <w:gridCol w:w="891"/>
        <w:gridCol w:w="2353"/>
      </w:tblGrid>
      <w:tr w:rsidR="0096673B" w:rsidRPr="009239F8" w14:paraId="17A512DE" w14:textId="77777777" w:rsidTr="00A72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0AC6E310"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Quantity</w:t>
            </w:r>
          </w:p>
        </w:tc>
        <w:tc>
          <w:tcPr>
            <w:tcW w:w="1594" w:type="dxa"/>
            <w:gridSpan w:val="2"/>
            <w:vAlign w:val="center"/>
          </w:tcPr>
          <w:p w14:paraId="0B019337" w14:textId="77777777" w:rsidR="0096673B" w:rsidRPr="009239F8" w:rsidRDefault="0096673B" w:rsidP="009A5B4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Median Δ</w:t>
            </w:r>
            <w:r w:rsidRPr="009239F8">
              <w:rPr>
                <w:rFonts w:ascii="Times New Roman" w:hAnsi="Times New Roman" w:cs="Times New Roman"/>
                <w:b w:val="0"/>
                <w:lang w:val="en-US"/>
              </w:rPr>
              <w:t xml:space="preserve"> (pp)</w:t>
            </w:r>
          </w:p>
        </w:tc>
        <w:tc>
          <w:tcPr>
            <w:tcW w:w="1877" w:type="dxa"/>
            <w:vAlign w:val="center"/>
          </w:tcPr>
          <w:p w14:paraId="56795383" w14:textId="01B8D628" w:rsidR="0096673B" w:rsidRPr="009239F8" w:rsidRDefault="0096673B" w:rsidP="009A5B4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IQR</w:t>
            </w:r>
          </w:p>
        </w:tc>
        <w:tc>
          <w:tcPr>
            <w:tcW w:w="1025" w:type="dxa"/>
            <w:vAlign w:val="center"/>
          </w:tcPr>
          <w:p w14:paraId="07859AB7" w14:textId="77777777" w:rsidR="0096673B" w:rsidRPr="009239F8" w:rsidRDefault="0096673B" w:rsidP="009A5B4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i/>
                <w:iCs/>
                <w:lang w:val="en-US"/>
              </w:rPr>
              <w:t>p</w:t>
            </w:r>
            <w:r w:rsidRPr="009239F8">
              <w:rPr>
                <w:rFonts w:ascii="Times New Roman" w:hAnsi="Times New Roman" w:cs="Times New Roman"/>
                <w:b w:val="0"/>
                <w:lang w:val="en-US"/>
              </w:rPr>
              <w:t>-value</w:t>
            </w:r>
          </w:p>
        </w:tc>
        <w:tc>
          <w:tcPr>
            <w:tcW w:w="891" w:type="dxa"/>
            <w:vAlign w:val="center"/>
          </w:tcPr>
          <w:p w14:paraId="2B8D14F4" w14:textId="77777777" w:rsidR="0096673B" w:rsidRPr="009239F8" w:rsidRDefault="0096673B" w:rsidP="009A5B4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i/>
                <w:iCs/>
                <w:lang w:val="en-US"/>
              </w:rPr>
              <w:t>p</w:t>
            </w:r>
            <w:r w:rsidRPr="009239F8">
              <w:rPr>
                <w:rFonts w:ascii="Times New Roman" w:hAnsi="Times New Roman" w:cs="Times New Roman"/>
                <w:b w:val="0"/>
                <w:vertAlign w:val="subscript"/>
                <w:lang w:val="en-US"/>
              </w:rPr>
              <w:t>adj</w:t>
            </w:r>
          </w:p>
        </w:tc>
        <w:tc>
          <w:tcPr>
            <w:tcW w:w="2353" w:type="dxa"/>
            <w:vAlign w:val="center"/>
          </w:tcPr>
          <w:p w14:paraId="5E69B080" w14:textId="77777777" w:rsidR="0096673B" w:rsidRPr="009239F8" w:rsidRDefault="0096673B" w:rsidP="009A5B4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Max |Δ|</w:t>
            </w:r>
            <w:r w:rsidRPr="009239F8">
              <w:rPr>
                <w:rFonts w:ascii="Times New Roman" w:hAnsi="Times New Roman" w:cs="Times New Roman"/>
                <w:b w:val="0"/>
                <w:lang w:val="en-US"/>
              </w:rPr>
              <w:t xml:space="preserve"> (pp)</w:t>
            </w:r>
            <w:r w:rsidRPr="009239F8">
              <w:rPr>
                <w:rFonts w:ascii="Times New Roman" w:hAnsi="Times New Roman" w:cs="Times New Roman"/>
                <w:lang w:val="en-US"/>
              </w:rPr>
              <w:t xml:space="preserve"> (segment)</w:t>
            </w:r>
          </w:p>
        </w:tc>
      </w:tr>
      <w:tr w:rsidR="0096673B" w:rsidRPr="009239F8" w14:paraId="1B005089"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gridSpan w:val="2"/>
            <w:tcBorders>
              <w:bottom w:val="nil"/>
            </w:tcBorders>
            <w:vAlign w:val="center"/>
          </w:tcPr>
          <w:p w14:paraId="32D1857F"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Early</w:t>
            </w:r>
          </w:p>
        </w:tc>
        <w:tc>
          <w:tcPr>
            <w:tcW w:w="1384" w:type="dxa"/>
            <w:tcBorders>
              <w:bottom w:val="nil"/>
            </w:tcBorders>
          </w:tcPr>
          <w:p w14:paraId="2AFB317B" w14:textId="77777777" w:rsidR="0096673B" w:rsidRPr="009239F8" w:rsidRDefault="0096673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+0.99 pp</w:t>
            </w:r>
          </w:p>
        </w:tc>
        <w:tc>
          <w:tcPr>
            <w:tcW w:w="1877" w:type="dxa"/>
            <w:tcBorders>
              <w:bottom w:val="nil"/>
            </w:tcBorders>
          </w:tcPr>
          <w:p w14:paraId="01A5F515" w14:textId="646985D7" w:rsidR="0096673B" w:rsidRPr="009239F8" w:rsidRDefault="0096673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[-1.76, +14.36]</w:t>
            </w:r>
          </w:p>
        </w:tc>
        <w:tc>
          <w:tcPr>
            <w:tcW w:w="1025" w:type="dxa"/>
            <w:tcBorders>
              <w:bottom w:val="nil"/>
            </w:tcBorders>
          </w:tcPr>
          <w:p w14:paraId="56B7DF59" w14:textId="77777777" w:rsidR="0096673B" w:rsidRPr="009239F8" w:rsidRDefault="0096673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0.073</w:t>
            </w:r>
          </w:p>
        </w:tc>
        <w:tc>
          <w:tcPr>
            <w:tcW w:w="891" w:type="dxa"/>
            <w:tcBorders>
              <w:bottom w:val="nil"/>
            </w:tcBorders>
          </w:tcPr>
          <w:p w14:paraId="6700466D" w14:textId="77777777" w:rsidR="0096673B" w:rsidRPr="009239F8" w:rsidRDefault="0096673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0.098</w:t>
            </w:r>
          </w:p>
        </w:tc>
        <w:tc>
          <w:tcPr>
            <w:tcW w:w="2353" w:type="dxa"/>
            <w:tcBorders>
              <w:bottom w:val="nil"/>
            </w:tcBorders>
          </w:tcPr>
          <w:p w14:paraId="109ABAE3" w14:textId="263441E3" w:rsidR="0096673B" w:rsidRPr="009239F8" w:rsidRDefault="0096673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+42.86 pp (29)</w:t>
            </w:r>
          </w:p>
        </w:tc>
      </w:tr>
      <w:tr w:rsidR="0096673B" w:rsidRPr="009239F8" w14:paraId="0D4BE5C8" w14:textId="77777777" w:rsidTr="00A72AA9">
        <w:tc>
          <w:tcPr>
            <w:cnfStyle w:val="001000000000" w:firstRow="0" w:lastRow="0" w:firstColumn="1" w:lastColumn="0" w:oddVBand="0" w:evenVBand="0" w:oddHBand="0" w:evenHBand="0" w:firstRowFirstColumn="0" w:firstRowLastColumn="0" w:lastRowFirstColumn="0" w:lastRowLastColumn="0"/>
            <w:tcW w:w="1486" w:type="dxa"/>
            <w:gridSpan w:val="2"/>
            <w:tcBorders>
              <w:top w:val="nil"/>
              <w:bottom w:val="nil"/>
            </w:tcBorders>
            <w:vAlign w:val="center"/>
          </w:tcPr>
          <w:p w14:paraId="761E68D7"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Mid-early</w:t>
            </w:r>
          </w:p>
        </w:tc>
        <w:tc>
          <w:tcPr>
            <w:tcW w:w="1384" w:type="dxa"/>
            <w:tcBorders>
              <w:top w:val="nil"/>
              <w:bottom w:val="nil"/>
            </w:tcBorders>
          </w:tcPr>
          <w:p w14:paraId="07A8EE7B" w14:textId="77777777" w:rsidR="0096673B" w:rsidRPr="009239F8" w:rsidRDefault="0096673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+5.10 pp</w:t>
            </w:r>
          </w:p>
        </w:tc>
        <w:tc>
          <w:tcPr>
            <w:tcW w:w="1877" w:type="dxa"/>
            <w:tcBorders>
              <w:top w:val="nil"/>
              <w:bottom w:val="nil"/>
            </w:tcBorders>
          </w:tcPr>
          <w:p w14:paraId="76D18739" w14:textId="5435C975" w:rsidR="0096673B" w:rsidRPr="009239F8" w:rsidRDefault="0096673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[-0.64, +12.53]</w:t>
            </w:r>
          </w:p>
        </w:tc>
        <w:tc>
          <w:tcPr>
            <w:tcW w:w="1025" w:type="dxa"/>
            <w:tcBorders>
              <w:top w:val="nil"/>
              <w:bottom w:val="nil"/>
            </w:tcBorders>
          </w:tcPr>
          <w:p w14:paraId="5F3D8BCB" w14:textId="77777777" w:rsidR="0096673B" w:rsidRPr="009239F8" w:rsidRDefault="0096673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0.050</w:t>
            </w:r>
          </w:p>
        </w:tc>
        <w:tc>
          <w:tcPr>
            <w:tcW w:w="891" w:type="dxa"/>
            <w:tcBorders>
              <w:top w:val="nil"/>
              <w:bottom w:val="nil"/>
            </w:tcBorders>
          </w:tcPr>
          <w:p w14:paraId="5728CEC6" w14:textId="77777777" w:rsidR="0096673B" w:rsidRPr="009239F8" w:rsidRDefault="0096673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0.098</w:t>
            </w:r>
          </w:p>
        </w:tc>
        <w:tc>
          <w:tcPr>
            <w:tcW w:w="2353" w:type="dxa"/>
            <w:tcBorders>
              <w:top w:val="nil"/>
              <w:bottom w:val="nil"/>
            </w:tcBorders>
          </w:tcPr>
          <w:p w14:paraId="53916E93" w14:textId="3DD06F9E" w:rsidR="0096673B" w:rsidRPr="009239F8" w:rsidRDefault="0096673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+30.00 pp (22)</w:t>
            </w:r>
          </w:p>
        </w:tc>
      </w:tr>
      <w:tr w:rsidR="0096673B" w:rsidRPr="009239F8" w14:paraId="47760293"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gridSpan w:val="2"/>
            <w:tcBorders>
              <w:top w:val="nil"/>
              <w:bottom w:val="nil"/>
            </w:tcBorders>
            <w:vAlign w:val="center"/>
          </w:tcPr>
          <w:p w14:paraId="33BADE1B"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Mid-late</w:t>
            </w:r>
          </w:p>
        </w:tc>
        <w:tc>
          <w:tcPr>
            <w:tcW w:w="1384" w:type="dxa"/>
            <w:tcBorders>
              <w:top w:val="nil"/>
              <w:bottom w:val="nil"/>
            </w:tcBorders>
          </w:tcPr>
          <w:p w14:paraId="22E79158" w14:textId="483B9B48" w:rsidR="0096673B" w:rsidRPr="009239F8" w:rsidRDefault="0096673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-0.72 pp</w:t>
            </w:r>
          </w:p>
        </w:tc>
        <w:tc>
          <w:tcPr>
            <w:tcW w:w="1877" w:type="dxa"/>
            <w:tcBorders>
              <w:top w:val="nil"/>
              <w:bottom w:val="nil"/>
            </w:tcBorders>
          </w:tcPr>
          <w:p w14:paraId="28BFA726" w14:textId="6EB34B71" w:rsidR="0096673B" w:rsidRPr="009239F8" w:rsidRDefault="0096673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[-9.63, +3.20]</w:t>
            </w:r>
          </w:p>
        </w:tc>
        <w:tc>
          <w:tcPr>
            <w:tcW w:w="1025" w:type="dxa"/>
            <w:tcBorders>
              <w:top w:val="nil"/>
              <w:bottom w:val="nil"/>
            </w:tcBorders>
          </w:tcPr>
          <w:p w14:paraId="5B7C2FE6" w14:textId="77777777" w:rsidR="0096673B" w:rsidRPr="009239F8" w:rsidRDefault="0096673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0.322</w:t>
            </w:r>
          </w:p>
        </w:tc>
        <w:tc>
          <w:tcPr>
            <w:tcW w:w="891" w:type="dxa"/>
            <w:tcBorders>
              <w:top w:val="nil"/>
              <w:bottom w:val="nil"/>
            </w:tcBorders>
          </w:tcPr>
          <w:p w14:paraId="46467541" w14:textId="77777777" w:rsidR="0096673B" w:rsidRPr="009239F8" w:rsidRDefault="0096673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0.322</w:t>
            </w:r>
          </w:p>
        </w:tc>
        <w:tc>
          <w:tcPr>
            <w:tcW w:w="2353" w:type="dxa"/>
            <w:tcBorders>
              <w:top w:val="nil"/>
              <w:bottom w:val="nil"/>
            </w:tcBorders>
          </w:tcPr>
          <w:p w14:paraId="180D0B45" w14:textId="0056C530" w:rsidR="0096673B" w:rsidRPr="009239F8" w:rsidRDefault="0096673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-32.03 pp (22)</w:t>
            </w:r>
          </w:p>
        </w:tc>
      </w:tr>
      <w:tr w:rsidR="0096673B" w:rsidRPr="009239F8" w14:paraId="675F08F5" w14:textId="77777777" w:rsidTr="00DC68E5">
        <w:tc>
          <w:tcPr>
            <w:cnfStyle w:val="001000000000" w:firstRow="0" w:lastRow="0" w:firstColumn="1" w:lastColumn="0" w:oddVBand="0" w:evenVBand="0" w:oddHBand="0" w:evenHBand="0" w:firstRowFirstColumn="0" w:firstRowLastColumn="0" w:lastRowFirstColumn="0" w:lastRowLastColumn="0"/>
            <w:tcW w:w="1486" w:type="dxa"/>
            <w:gridSpan w:val="2"/>
            <w:tcBorders>
              <w:top w:val="nil"/>
              <w:bottom w:val="single" w:sz="4" w:space="0" w:color="auto"/>
            </w:tcBorders>
            <w:vAlign w:val="center"/>
          </w:tcPr>
          <w:p w14:paraId="154D9733" w14:textId="77777777" w:rsidR="0096673B" w:rsidRPr="009239F8" w:rsidRDefault="0096673B"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Late</w:t>
            </w:r>
          </w:p>
        </w:tc>
        <w:tc>
          <w:tcPr>
            <w:tcW w:w="1384" w:type="dxa"/>
            <w:tcBorders>
              <w:top w:val="nil"/>
              <w:bottom w:val="single" w:sz="4" w:space="0" w:color="auto"/>
            </w:tcBorders>
          </w:tcPr>
          <w:p w14:paraId="5CAE322D" w14:textId="77777777" w:rsidR="0096673B" w:rsidRPr="009239F8" w:rsidRDefault="0096673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-7.89 pp</w:t>
            </w:r>
          </w:p>
        </w:tc>
        <w:tc>
          <w:tcPr>
            <w:tcW w:w="1877" w:type="dxa"/>
            <w:tcBorders>
              <w:top w:val="nil"/>
              <w:bottom w:val="single" w:sz="4" w:space="0" w:color="auto"/>
            </w:tcBorders>
          </w:tcPr>
          <w:p w14:paraId="21C7E076" w14:textId="77777777" w:rsidR="0096673B" w:rsidRPr="009239F8" w:rsidRDefault="0096673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[-14.98, -1.37]</w:t>
            </w:r>
          </w:p>
        </w:tc>
        <w:tc>
          <w:tcPr>
            <w:tcW w:w="1025" w:type="dxa"/>
            <w:tcBorders>
              <w:top w:val="nil"/>
              <w:bottom w:val="single" w:sz="4" w:space="0" w:color="auto"/>
            </w:tcBorders>
          </w:tcPr>
          <w:p w14:paraId="0BFAC8DD" w14:textId="77777777" w:rsidR="0096673B" w:rsidRPr="009239F8" w:rsidRDefault="0096673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0.005</w:t>
            </w:r>
          </w:p>
        </w:tc>
        <w:tc>
          <w:tcPr>
            <w:tcW w:w="891" w:type="dxa"/>
            <w:tcBorders>
              <w:top w:val="nil"/>
              <w:bottom w:val="single" w:sz="4" w:space="0" w:color="auto"/>
            </w:tcBorders>
          </w:tcPr>
          <w:p w14:paraId="2EF89064" w14:textId="77777777" w:rsidR="0096673B" w:rsidRPr="009239F8" w:rsidRDefault="0096673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0.021</w:t>
            </w:r>
          </w:p>
        </w:tc>
        <w:tc>
          <w:tcPr>
            <w:tcW w:w="2353" w:type="dxa"/>
            <w:tcBorders>
              <w:top w:val="nil"/>
              <w:bottom w:val="single" w:sz="4" w:space="0" w:color="auto"/>
            </w:tcBorders>
          </w:tcPr>
          <w:p w14:paraId="10C81875" w14:textId="1BD76C2D" w:rsidR="0096673B" w:rsidRPr="009239F8" w:rsidRDefault="0096673B" w:rsidP="009A5B48">
            <w:pPr>
              <w:keepNext/>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-35.86 pp (18)</w:t>
            </w:r>
          </w:p>
        </w:tc>
      </w:tr>
    </w:tbl>
    <w:p w14:paraId="6E998813" w14:textId="6B12FBF0" w:rsidR="00A37565" w:rsidRPr="009239F8" w:rsidRDefault="00A37565" w:rsidP="009A5B48">
      <w:pPr>
        <w:spacing w:line="480" w:lineRule="auto"/>
        <w:rPr>
          <w:lang w:val="en-US"/>
        </w:rPr>
      </w:pPr>
      <w:bookmarkStart w:id="16" w:name="_Ref233624519"/>
    </w:p>
    <w:p w14:paraId="686D8F6B" w14:textId="77777777" w:rsidR="00252B5C" w:rsidRPr="009239F8" w:rsidRDefault="00252B5C" w:rsidP="009A5B48">
      <w:pPr>
        <w:spacing w:line="480" w:lineRule="auto"/>
        <w:rPr>
          <w:lang w:val="en-US"/>
        </w:rPr>
      </w:pPr>
    </w:p>
    <w:p w14:paraId="26346759" w14:textId="33827EC4" w:rsidR="00CB64AD" w:rsidRPr="009239F8" w:rsidRDefault="00CB64AD" w:rsidP="009A5B48">
      <w:pPr>
        <w:pStyle w:val="Caption"/>
        <w:keepNext/>
        <w:spacing w:line="480" w:lineRule="auto"/>
        <w:jc w:val="both"/>
        <w:rPr>
          <w:color w:val="auto"/>
          <w:lang w:val="en-US"/>
        </w:rPr>
      </w:pPr>
      <w:r w:rsidRPr="009239F8">
        <w:rPr>
          <w:color w:val="auto"/>
          <w:lang w:val="en-US"/>
        </w:rPr>
        <w:t xml:space="preserve">Table S </w:t>
      </w:r>
      <w:r w:rsidRPr="009239F8">
        <w:rPr>
          <w:color w:val="auto"/>
          <w:lang w:val="en-US"/>
        </w:rPr>
        <w:fldChar w:fldCharType="begin"/>
      </w:r>
      <w:r w:rsidRPr="009239F8">
        <w:rPr>
          <w:color w:val="auto"/>
          <w:lang w:val="en-US"/>
        </w:rPr>
        <w:instrText xml:space="preserve"> SEQ Table_S \* ARABIC </w:instrText>
      </w:r>
      <w:r w:rsidRPr="009239F8">
        <w:rPr>
          <w:color w:val="auto"/>
          <w:lang w:val="en-US"/>
        </w:rPr>
        <w:fldChar w:fldCharType="separate"/>
      </w:r>
      <w:r w:rsidR="00890076" w:rsidRPr="009239F8">
        <w:rPr>
          <w:noProof/>
          <w:color w:val="auto"/>
          <w:lang w:val="en-US"/>
        </w:rPr>
        <w:t>8</w:t>
      </w:r>
      <w:r w:rsidRPr="009239F8">
        <w:rPr>
          <w:color w:val="auto"/>
          <w:lang w:val="en-US"/>
        </w:rPr>
        <w:fldChar w:fldCharType="end"/>
      </w:r>
      <w:bookmarkEnd w:id="16"/>
      <w:r w:rsidRPr="009239F8">
        <w:rPr>
          <w:rFonts w:cs="Times New Roman"/>
          <w:b/>
          <w:color w:val="auto"/>
          <w:lang w:val="en-US"/>
        </w:rPr>
        <w:t xml:space="preserve"> Comparison of Purkinje-Myocardial junction (PMJ) activation-phase distributions between healthy and early-stage hypertensive (eHTN) MyoFit46 cohorts.</w:t>
      </w:r>
      <w:r w:rsidRPr="009239F8">
        <w:rPr>
          <w:rFonts w:cs="Times New Roman"/>
          <w:color w:val="auto"/>
          <w:lang w:val="en-US"/>
        </w:rPr>
        <w:t xml:space="preserve"> </w:t>
      </w:r>
      <w:r w:rsidR="00F13857" w:rsidRPr="009239F8">
        <w:rPr>
          <w:rFonts w:cs="Times New Roman"/>
          <w:color w:val="auto"/>
          <w:lang w:val="en-US"/>
        </w:rPr>
        <w:t xml:space="preserve">Per-phase sign test of </w:t>
      </w:r>
      <w:r w:rsidR="00A37565" w:rsidRPr="009239F8">
        <w:rPr>
          <w:rFonts w:cs="Times New Roman"/>
          <w:color w:val="auto"/>
          <w:lang w:val="en-US"/>
        </w:rPr>
        <w:t>PMJ activation</w:t>
      </w:r>
      <w:r w:rsidR="00F13857" w:rsidRPr="009239F8">
        <w:rPr>
          <w:rFonts w:cs="Times New Roman"/>
          <w:color w:val="auto"/>
          <w:lang w:val="en-US"/>
        </w:rPr>
        <w:t>-phase distributions between healthy and eHTN MyoFit46 cohorts. For each activation phase, segment-level differences (eHTN − healthy) were classified as positive (+), negative (−), or tied (0), and tested for directional consistency using a two-sided sign test (exact binomial) across the n = 22 segments. Benjamini–Hochberg correction (p</w:t>
      </w:r>
      <w:r w:rsidR="00F13857" w:rsidRPr="009239F8">
        <w:rPr>
          <w:rFonts w:cs="Times New Roman"/>
          <w:color w:val="auto"/>
          <w:vertAlign w:val="subscript"/>
          <w:lang w:val="en-US"/>
        </w:rPr>
        <w:t>adj</w:t>
      </w:r>
      <w:r w:rsidR="00F13857" w:rsidRPr="009239F8">
        <w:rPr>
          <w:rFonts w:cs="Times New Roman"/>
          <w:color w:val="auto"/>
          <w:lang w:val="en-US"/>
        </w:rPr>
        <w:t>) was applied across the four phase-level tests. Phases are defined as: Early (&lt;25%), Mid-early (25–50%), Mid-late (50–75%), and Late (&gt;75%).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780"/>
        <w:gridCol w:w="1794"/>
        <w:gridCol w:w="1108"/>
        <w:gridCol w:w="1430"/>
        <w:gridCol w:w="1364"/>
      </w:tblGrid>
      <w:tr w:rsidR="00776079" w:rsidRPr="009239F8" w14:paraId="306ECAC3" w14:textId="77777777" w:rsidTr="007377AD">
        <w:trPr>
          <w:trHeight w:val="355"/>
        </w:trPr>
        <w:tc>
          <w:tcPr>
            <w:tcW w:w="1540" w:type="dxa"/>
            <w:tcBorders>
              <w:top w:val="single" w:sz="4" w:space="0" w:color="auto"/>
              <w:bottom w:val="single" w:sz="4" w:space="0" w:color="auto"/>
            </w:tcBorders>
            <w:vAlign w:val="center"/>
          </w:tcPr>
          <w:p w14:paraId="275DD97D" w14:textId="3C2492EE" w:rsidR="00776079" w:rsidRPr="009239F8" w:rsidRDefault="00776079" w:rsidP="009A5B48">
            <w:pPr>
              <w:spacing w:line="480" w:lineRule="auto"/>
              <w:jc w:val="center"/>
              <w:rPr>
                <w:lang w:val="en-US"/>
              </w:rPr>
            </w:pPr>
            <w:r w:rsidRPr="009239F8">
              <w:rPr>
                <w:rFonts w:ascii="Times New Roman" w:hAnsi="Times New Roman" w:cs="Times New Roman"/>
                <w:lang w:val="en-US"/>
              </w:rPr>
              <w:t>Quantity</w:t>
            </w:r>
          </w:p>
        </w:tc>
        <w:tc>
          <w:tcPr>
            <w:tcW w:w="1780" w:type="dxa"/>
            <w:tcBorders>
              <w:top w:val="single" w:sz="4" w:space="0" w:color="auto"/>
              <w:bottom w:val="single" w:sz="4" w:space="0" w:color="auto"/>
            </w:tcBorders>
            <w:vAlign w:val="center"/>
          </w:tcPr>
          <w:p w14:paraId="566D4768" w14:textId="77777777" w:rsidR="00776079" w:rsidRPr="009239F8" w:rsidRDefault="00776079" w:rsidP="009A5B48">
            <w:pPr>
              <w:spacing w:line="480" w:lineRule="auto"/>
              <w:jc w:val="center"/>
              <w:rPr>
                <w:lang w:val="en-US"/>
              </w:rPr>
            </w:pPr>
            <w:r w:rsidRPr="009239F8">
              <w:rPr>
                <w:rFonts w:ascii="Times New Roman" w:hAnsi="Times New Roman" w:cs="Times New Roman"/>
                <w:lang w:val="en-US"/>
              </w:rPr>
              <w:t>eHTN &gt; Healthy</w:t>
            </w:r>
          </w:p>
        </w:tc>
        <w:tc>
          <w:tcPr>
            <w:tcW w:w="1794" w:type="dxa"/>
            <w:tcBorders>
              <w:top w:val="single" w:sz="4" w:space="0" w:color="auto"/>
              <w:bottom w:val="single" w:sz="4" w:space="0" w:color="auto"/>
            </w:tcBorders>
            <w:vAlign w:val="center"/>
          </w:tcPr>
          <w:p w14:paraId="3959470F" w14:textId="77777777" w:rsidR="00776079" w:rsidRPr="009239F8" w:rsidRDefault="00776079" w:rsidP="009A5B48">
            <w:pPr>
              <w:spacing w:line="480" w:lineRule="auto"/>
              <w:jc w:val="center"/>
              <w:rPr>
                <w:lang w:val="en-US"/>
              </w:rPr>
            </w:pPr>
            <w:r w:rsidRPr="009239F8">
              <w:rPr>
                <w:rFonts w:ascii="Times New Roman" w:hAnsi="Times New Roman" w:cs="Times New Roman"/>
                <w:lang w:val="en-US"/>
              </w:rPr>
              <w:t>eHTN &lt; Healthy</w:t>
            </w:r>
          </w:p>
        </w:tc>
        <w:tc>
          <w:tcPr>
            <w:tcW w:w="1108" w:type="dxa"/>
            <w:tcBorders>
              <w:top w:val="single" w:sz="4" w:space="0" w:color="auto"/>
              <w:bottom w:val="single" w:sz="4" w:space="0" w:color="auto"/>
            </w:tcBorders>
            <w:vAlign w:val="center"/>
          </w:tcPr>
          <w:p w14:paraId="3107E1F7" w14:textId="3CE7E4EE" w:rsidR="00776079" w:rsidRPr="009239F8" w:rsidRDefault="00F13857" w:rsidP="009A5B48">
            <w:pPr>
              <w:tabs>
                <w:tab w:val="center" w:pos="678"/>
              </w:tabs>
              <w:spacing w:line="480" w:lineRule="auto"/>
              <w:jc w:val="center"/>
              <w:rPr>
                <w:rFonts w:ascii="Times New Roman" w:hAnsi="Times New Roman" w:cs="Times New Roman"/>
                <w:lang w:val="en-US"/>
              </w:rPr>
            </w:pPr>
            <w:r w:rsidRPr="009239F8">
              <w:rPr>
                <w:rFonts w:ascii="Times New Roman" w:hAnsi="Times New Roman" w:cs="Times New Roman"/>
                <w:lang w:val="en-US"/>
              </w:rPr>
              <w:t>Tied</w:t>
            </w:r>
          </w:p>
        </w:tc>
        <w:tc>
          <w:tcPr>
            <w:tcW w:w="1430" w:type="dxa"/>
            <w:tcBorders>
              <w:top w:val="single" w:sz="4" w:space="0" w:color="auto"/>
              <w:bottom w:val="single" w:sz="4" w:space="0" w:color="auto"/>
            </w:tcBorders>
            <w:vAlign w:val="center"/>
          </w:tcPr>
          <w:p w14:paraId="1674A091" w14:textId="77777777" w:rsidR="00776079" w:rsidRPr="009239F8" w:rsidRDefault="00776079" w:rsidP="009A5B48">
            <w:pPr>
              <w:spacing w:line="480" w:lineRule="auto"/>
              <w:jc w:val="center"/>
              <w:rPr>
                <w:lang w:val="en-US"/>
              </w:rPr>
            </w:pPr>
            <w:r w:rsidRPr="009239F8">
              <w:rPr>
                <w:rFonts w:ascii="Times New Roman" w:hAnsi="Times New Roman" w:cs="Times New Roman"/>
                <w:i/>
                <w:iCs/>
                <w:lang w:val="en-US"/>
              </w:rPr>
              <w:t>p</w:t>
            </w:r>
            <w:r w:rsidRPr="009239F8">
              <w:rPr>
                <w:rFonts w:ascii="Times New Roman" w:hAnsi="Times New Roman" w:cs="Times New Roman"/>
                <w:lang w:val="en-US"/>
              </w:rPr>
              <w:t>-value</w:t>
            </w:r>
          </w:p>
        </w:tc>
        <w:tc>
          <w:tcPr>
            <w:tcW w:w="1364" w:type="dxa"/>
            <w:tcBorders>
              <w:top w:val="single" w:sz="4" w:space="0" w:color="auto"/>
              <w:bottom w:val="single" w:sz="4" w:space="0" w:color="auto"/>
            </w:tcBorders>
            <w:vAlign w:val="center"/>
          </w:tcPr>
          <w:p w14:paraId="13409A5E" w14:textId="77777777" w:rsidR="00776079" w:rsidRPr="009239F8" w:rsidRDefault="00776079" w:rsidP="009A5B48">
            <w:pPr>
              <w:spacing w:line="480" w:lineRule="auto"/>
              <w:jc w:val="center"/>
              <w:rPr>
                <w:lang w:val="en-US"/>
              </w:rPr>
            </w:pPr>
            <w:r w:rsidRPr="009239F8">
              <w:rPr>
                <w:rFonts w:ascii="Times New Roman" w:hAnsi="Times New Roman" w:cs="Times New Roman"/>
                <w:i/>
                <w:iCs/>
                <w:lang w:val="en-US"/>
              </w:rPr>
              <w:t>p</w:t>
            </w:r>
            <w:r w:rsidRPr="009239F8">
              <w:rPr>
                <w:rFonts w:ascii="Times New Roman" w:hAnsi="Times New Roman" w:cs="Times New Roman"/>
                <w:vertAlign w:val="subscript"/>
                <w:lang w:val="en-US"/>
              </w:rPr>
              <w:t>adj</w:t>
            </w:r>
          </w:p>
        </w:tc>
      </w:tr>
      <w:tr w:rsidR="00776079" w:rsidRPr="009239F8" w14:paraId="294A6400" w14:textId="77777777" w:rsidTr="007377AD">
        <w:trPr>
          <w:trHeight w:val="413"/>
        </w:trPr>
        <w:tc>
          <w:tcPr>
            <w:tcW w:w="1540" w:type="dxa"/>
            <w:tcBorders>
              <w:top w:val="single" w:sz="4" w:space="0" w:color="auto"/>
            </w:tcBorders>
            <w:vAlign w:val="center"/>
          </w:tcPr>
          <w:p w14:paraId="256560AD" w14:textId="77777777" w:rsidR="00776079" w:rsidRPr="009239F8" w:rsidRDefault="00776079" w:rsidP="009A5B48">
            <w:pPr>
              <w:spacing w:line="480" w:lineRule="auto"/>
              <w:jc w:val="center"/>
              <w:rPr>
                <w:lang w:val="en-US"/>
              </w:rPr>
            </w:pPr>
            <w:r w:rsidRPr="009239F8">
              <w:rPr>
                <w:rFonts w:ascii="Times New Roman" w:hAnsi="Times New Roman" w:cs="Times New Roman"/>
                <w:lang w:val="en-US"/>
              </w:rPr>
              <w:t>Early</w:t>
            </w:r>
          </w:p>
        </w:tc>
        <w:tc>
          <w:tcPr>
            <w:tcW w:w="1780" w:type="dxa"/>
            <w:tcBorders>
              <w:top w:val="single" w:sz="4" w:space="0" w:color="auto"/>
            </w:tcBorders>
            <w:vAlign w:val="center"/>
          </w:tcPr>
          <w:p w14:paraId="3D3A8B6A"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13</w:t>
            </w:r>
          </w:p>
        </w:tc>
        <w:tc>
          <w:tcPr>
            <w:tcW w:w="1794" w:type="dxa"/>
            <w:tcBorders>
              <w:top w:val="single" w:sz="4" w:space="0" w:color="auto"/>
            </w:tcBorders>
            <w:vAlign w:val="center"/>
          </w:tcPr>
          <w:p w14:paraId="0A032EB0"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w:t>
            </w:r>
          </w:p>
        </w:tc>
        <w:tc>
          <w:tcPr>
            <w:tcW w:w="1108" w:type="dxa"/>
            <w:tcBorders>
              <w:top w:val="single" w:sz="4" w:space="0" w:color="auto"/>
            </w:tcBorders>
            <w:vAlign w:val="center"/>
          </w:tcPr>
          <w:p w14:paraId="3722CCDC"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w:t>
            </w:r>
          </w:p>
        </w:tc>
        <w:tc>
          <w:tcPr>
            <w:tcW w:w="1430" w:type="dxa"/>
            <w:tcBorders>
              <w:top w:val="single" w:sz="4" w:space="0" w:color="auto"/>
            </w:tcBorders>
            <w:vAlign w:val="center"/>
          </w:tcPr>
          <w:p w14:paraId="4D19F33B"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0.263</w:t>
            </w:r>
          </w:p>
        </w:tc>
        <w:tc>
          <w:tcPr>
            <w:tcW w:w="1364" w:type="dxa"/>
            <w:tcBorders>
              <w:top w:val="single" w:sz="4" w:space="0" w:color="auto"/>
            </w:tcBorders>
            <w:vAlign w:val="center"/>
          </w:tcPr>
          <w:p w14:paraId="7794FA11"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0.351</w:t>
            </w:r>
          </w:p>
        </w:tc>
      </w:tr>
      <w:tr w:rsidR="00776079" w:rsidRPr="009239F8" w14:paraId="5D6B03E7" w14:textId="77777777" w:rsidTr="007377AD">
        <w:trPr>
          <w:trHeight w:val="413"/>
        </w:trPr>
        <w:tc>
          <w:tcPr>
            <w:tcW w:w="1540" w:type="dxa"/>
            <w:vAlign w:val="center"/>
          </w:tcPr>
          <w:p w14:paraId="25EB175D" w14:textId="77777777" w:rsidR="00776079" w:rsidRPr="009239F8" w:rsidRDefault="00776079" w:rsidP="009A5B48">
            <w:pPr>
              <w:spacing w:line="480" w:lineRule="auto"/>
              <w:jc w:val="center"/>
              <w:rPr>
                <w:lang w:val="en-US"/>
              </w:rPr>
            </w:pPr>
            <w:r w:rsidRPr="009239F8">
              <w:rPr>
                <w:rFonts w:ascii="Times New Roman" w:hAnsi="Times New Roman" w:cs="Times New Roman"/>
                <w:lang w:val="en-US"/>
              </w:rPr>
              <w:t>Mid-early</w:t>
            </w:r>
          </w:p>
        </w:tc>
        <w:tc>
          <w:tcPr>
            <w:tcW w:w="1780" w:type="dxa"/>
            <w:vAlign w:val="center"/>
          </w:tcPr>
          <w:p w14:paraId="46EC0993"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16</w:t>
            </w:r>
          </w:p>
        </w:tc>
        <w:tc>
          <w:tcPr>
            <w:tcW w:w="1794" w:type="dxa"/>
            <w:vAlign w:val="center"/>
          </w:tcPr>
          <w:p w14:paraId="68382E7B"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6</w:t>
            </w:r>
          </w:p>
        </w:tc>
        <w:tc>
          <w:tcPr>
            <w:tcW w:w="1108" w:type="dxa"/>
            <w:vAlign w:val="center"/>
          </w:tcPr>
          <w:p w14:paraId="4E5C1BF8"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w:t>
            </w:r>
          </w:p>
        </w:tc>
        <w:tc>
          <w:tcPr>
            <w:tcW w:w="1430" w:type="dxa"/>
            <w:vAlign w:val="center"/>
          </w:tcPr>
          <w:p w14:paraId="3EA9D987"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0.052</w:t>
            </w:r>
          </w:p>
        </w:tc>
        <w:tc>
          <w:tcPr>
            <w:tcW w:w="1364" w:type="dxa"/>
            <w:vAlign w:val="center"/>
          </w:tcPr>
          <w:p w14:paraId="150AE11E"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0.105</w:t>
            </w:r>
          </w:p>
        </w:tc>
      </w:tr>
      <w:tr w:rsidR="00776079" w:rsidRPr="009239F8" w14:paraId="70FC5C94" w14:textId="77777777" w:rsidTr="007377AD">
        <w:trPr>
          <w:trHeight w:val="413"/>
        </w:trPr>
        <w:tc>
          <w:tcPr>
            <w:tcW w:w="1540" w:type="dxa"/>
            <w:vAlign w:val="center"/>
          </w:tcPr>
          <w:p w14:paraId="6D81A41C" w14:textId="77777777" w:rsidR="00776079" w:rsidRPr="009239F8" w:rsidRDefault="00776079" w:rsidP="009A5B48">
            <w:pPr>
              <w:spacing w:line="480" w:lineRule="auto"/>
              <w:jc w:val="center"/>
              <w:rPr>
                <w:lang w:val="en-US"/>
              </w:rPr>
            </w:pPr>
            <w:r w:rsidRPr="009239F8">
              <w:rPr>
                <w:rFonts w:ascii="Times New Roman" w:hAnsi="Times New Roman" w:cs="Times New Roman"/>
                <w:lang w:val="en-US"/>
              </w:rPr>
              <w:t>Mid-late</w:t>
            </w:r>
          </w:p>
        </w:tc>
        <w:tc>
          <w:tcPr>
            <w:tcW w:w="1780" w:type="dxa"/>
            <w:vAlign w:val="center"/>
          </w:tcPr>
          <w:p w14:paraId="2181B54B"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9</w:t>
            </w:r>
          </w:p>
        </w:tc>
        <w:tc>
          <w:tcPr>
            <w:tcW w:w="1794" w:type="dxa"/>
            <w:vAlign w:val="center"/>
          </w:tcPr>
          <w:p w14:paraId="0814C01D"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12</w:t>
            </w:r>
          </w:p>
        </w:tc>
        <w:tc>
          <w:tcPr>
            <w:tcW w:w="1108" w:type="dxa"/>
            <w:vAlign w:val="center"/>
          </w:tcPr>
          <w:p w14:paraId="1F1ABF0D"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w:t>
            </w:r>
          </w:p>
        </w:tc>
        <w:tc>
          <w:tcPr>
            <w:tcW w:w="1430" w:type="dxa"/>
            <w:vAlign w:val="center"/>
          </w:tcPr>
          <w:p w14:paraId="60201722"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0.664</w:t>
            </w:r>
          </w:p>
        </w:tc>
        <w:tc>
          <w:tcPr>
            <w:tcW w:w="1364" w:type="dxa"/>
            <w:vAlign w:val="center"/>
          </w:tcPr>
          <w:p w14:paraId="4A246325"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0.664</w:t>
            </w:r>
          </w:p>
        </w:tc>
      </w:tr>
      <w:tr w:rsidR="00776079" w:rsidRPr="009239F8" w14:paraId="682930E4" w14:textId="77777777" w:rsidTr="007377AD">
        <w:trPr>
          <w:trHeight w:val="413"/>
        </w:trPr>
        <w:tc>
          <w:tcPr>
            <w:tcW w:w="1540" w:type="dxa"/>
            <w:tcBorders>
              <w:bottom w:val="single" w:sz="4" w:space="0" w:color="auto"/>
            </w:tcBorders>
            <w:vAlign w:val="center"/>
          </w:tcPr>
          <w:p w14:paraId="1C788750" w14:textId="0E5DB6EE" w:rsidR="00776079" w:rsidRPr="009239F8" w:rsidRDefault="00776079" w:rsidP="009A5B48">
            <w:pPr>
              <w:spacing w:line="480" w:lineRule="auto"/>
              <w:jc w:val="center"/>
              <w:rPr>
                <w:lang w:val="en-US"/>
              </w:rPr>
            </w:pPr>
            <w:r w:rsidRPr="009239F8">
              <w:rPr>
                <w:rFonts w:ascii="Times New Roman" w:hAnsi="Times New Roman" w:cs="Times New Roman"/>
                <w:lang w:val="en-US"/>
              </w:rPr>
              <w:t>Late</w:t>
            </w:r>
          </w:p>
        </w:tc>
        <w:tc>
          <w:tcPr>
            <w:tcW w:w="1780" w:type="dxa"/>
            <w:tcBorders>
              <w:bottom w:val="single" w:sz="4" w:space="0" w:color="auto"/>
            </w:tcBorders>
            <w:vAlign w:val="center"/>
          </w:tcPr>
          <w:p w14:paraId="56EBD11E"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5</w:t>
            </w:r>
          </w:p>
        </w:tc>
        <w:tc>
          <w:tcPr>
            <w:tcW w:w="1794" w:type="dxa"/>
            <w:tcBorders>
              <w:bottom w:val="single" w:sz="4" w:space="0" w:color="auto"/>
            </w:tcBorders>
            <w:vAlign w:val="center"/>
          </w:tcPr>
          <w:p w14:paraId="2FC2498F"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17</w:t>
            </w:r>
          </w:p>
        </w:tc>
        <w:tc>
          <w:tcPr>
            <w:tcW w:w="1108" w:type="dxa"/>
            <w:tcBorders>
              <w:bottom w:val="single" w:sz="4" w:space="0" w:color="auto"/>
            </w:tcBorders>
            <w:vAlign w:val="center"/>
          </w:tcPr>
          <w:p w14:paraId="4B8CCEBC"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w:t>
            </w:r>
          </w:p>
        </w:tc>
        <w:tc>
          <w:tcPr>
            <w:tcW w:w="1430" w:type="dxa"/>
            <w:tcBorders>
              <w:bottom w:val="single" w:sz="4" w:space="0" w:color="auto"/>
            </w:tcBorders>
            <w:vAlign w:val="center"/>
          </w:tcPr>
          <w:p w14:paraId="73E3EFB0"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0.017</w:t>
            </w:r>
          </w:p>
        </w:tc>
        <w:tc>
          <w:tcPr>
            <w:tcW w:w="1364" w:type="dxa"/>
            <w:tcBorders>
              <w:bottom w:val="single" w:sz="4" w:space="0" w:color="auto"/>
            </w:tcBorders>
            <w:vAlign w:val="center"/>
          </w:tcPr>
          <w:p w14:paraId="0A6F3AA3" w14:textId="77777777" w:rsidR="00776079" w:rsidRPr="009239F8" w:rsidRDefault="0077607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0.068</w:t>
            </w:r>
          </w:p>
        </w:tc>
      </w:tr>
    </w:tbl>
    <w:p w14:paraId="52C9EB89" w14:textId="392602F3" w:rsidR="00776079" w:rsidRPr="009239F8" w:rsidRDefault="00776079" w:rsidP="009A5B48">
      <w:pPr>
        <w:spacing w:line="480" w:lineRule="auto"/>
        <w:rPr>
          <w:lang w:val="en-US"/>
        </w:rPr>
      </w:pPr>
    </w:p>
    <w:p w14:paraId="7CE0EAA3" w14:textId="4E4869E5" w:rsidR="00B13229" w:rsidRPr="009239F8" w:rsidRDefault="00B13229" w:rsidP="009A5B48">
      <w:pPr>
        <w:pStyle w:val="Heading3"/>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 xml:space="preserve">S8.3: </w:t>
      </w:r>
      <w:r w:rsidR="005D2CF3" w:rsidRPr="009239F8">
        <w:rPr>
          <w:rFonts w:ascii="Times New Roman" w:hAnsi="Times New Roman" w:cs="Times New Roman"/>
          <w:color w:val="auto"/>
          <w:lang w:val="en-US"/>
        </w:rPr>
        <w:t>Baseline repolarization comparison</w:t>
      </w:r>
    </w:p>
    <w:p w14:paraId="3CA70089" w14:textId="6830EF45" w:rsidR="00352292" w:rsidRPr="009239F8" w:rsidRDefault="0030663C"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Regional g</w:t>
      </w:r>
      <w:r w:rsidRPr="009239F8">
        <w:rPr>
          <w:rFonts w:ascii="Times New Roman" w:hAnsi="Times New Roman" w:cs="Times New Roman"/>
          <w:vertAlign w:val="subscript"/>
          <w:lang w:val="en-US"/>
        </w:rPr>
        <w:t xml:space="preserve">Ks </w:t>
      </w:r>
      <w:r w:rsidRPr="009239F8">
        <w:rPr>
          <w:rFonts w:ascii="Times New Roman" w:hAnsi="Times New Roman" w:cs="Times New Roman"/>
          <w:lang w:val="en-US"/>
        </w:rPr>
        <w:t xml:space="preserve">comparisons between the healthy and eHTN cohorts are detailed in </w:t>
      </w:r>
      <w:r w:rsidR="00626469" w:rsidRPr="009239F8">
        <w:rPr>
          <w:rFonts w:ascii="Times New Roman" w:hAnsi="Times New Roman" w:cs="Times New Roman"/>
          <w:b/>
          <w:bCs/>
          <w:lang w:val="en-US"/>
        </w:rPr>
        <w:fldChar w:fldCharType="begin"/>
      </w:r>
      <w:r w:rsidR="00626469" w:rsidRPr="009239F8">
        <w:rPr>
          <w:rFonts w:ascii="Times New Roman" w:hAnsi="Times New Roman" w:cs="Times New Roman"/>
          <w:b/>
          <w:bCs/>
          <w:lang w:val="en-US"/>
        </w:rPr>
        <w:instrText xml:space="preserve"> REF _Ref232697309 \h </w:instrText>
      </w:r>
      <w:r w:rsidR="00886597" w:rsidRPr="009239F8">
        <w:rPr>
          <w:rFonts w:ascii="Times New Roman" w:hAnsi="Times New Roman" w:cs="Times New Roman"/>
          <w:b/>
          <w:bCs/>
          <w:lang w:val="en-US"/>
        </w:rPr>
        <w:instrText xml:space="preserve"> \* MERGEFORMAT </w:instrText>
      </w:r>
      <w:r w:rsidR="00626469" w:rsidRPr="009239F8">
        <w:rPr>
          <w:rFonts w:ascii="Times New Roman" w:hAnsi="Times New Roman" w:cs="Times New Roman"/>
          <w:b/>
          <w:bCs/>
          <w:lang w:val="en-US"/>
        </w:rPr>
      </w:r>
      <w:r w:rsidR="00626469" w:rsidRPr="009239F8">
        <w:rPr>
          <w:rFonts w:ascii="Times New Roman" w:hAnsi="Times New Roman" w:cs="Times New Roman"/>
          <w:b/>
          <w:bCs/>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bCs/>
          <w:noProof/>
          <w:lang w:val="en-US"/>
        </w:rPr>
        <w:t>9</w:t>
      </w:r>
      <w:r w:rsidR="00626469" w:rsidRPr="009239F8">
        <w:rPr>
          <w:rFonts w:ascii="Times New Roman" w:hAnsi="Times New Roman" w:cs="Times New Roman"/>
          <w:b/>
          <w:bCs/>
          <w:lang w:val="en-US"/>
        </w:rPr>
        <w:fldChar w:fldCharType="end"/>
      </w:r>
      <w:r w:rsidRPr="009239F8">
        <w:rPr>
          <w:rFonts w:ascii="Times New Roman" w:hAnsi="Times New Roman" w:cs="Times New Roman"/>
          <w:lang w:val="en-US"/>
        </w:rPr>
        <w:t xml:space="preserve">. </w:t>
      </w:r>
      <w:r w:rsidR="009A5B18" w:rsidRPr="009239F8">
        <w:rPr>
          <w:rFonts w:ascii="Times New Roman" w:hAnsi="Times New Roman" w:cs="Times New Roman"/>
          <w:lang w:val="en-US"/>
        </w:rPr>
        <w:t xml:space="preserve">No statistically significant differences were observed after Benjamini–Hochberg correction across all anatomical regions. </w:t>
      </w:r>
      <w:r w:rsidRPr="009239F8">
        <w:rPr>
          <w:rFonts w:ascii="Times New Roman" w:hAnsi="Times New Roman" w:cs="Times New Roman"/>
          <w:lang w:val="en-US"/>
        </w:rPr>
        <w:t>The most notable absolute differences were found at the RV basal level (−0.797) and LV anterior circumferential region (−0.621), both trending toward lower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values in the eHTN cohort, though neither reached significance. </w:t>
      </w:r>
      <w:r w:rsidR="009D4E87" w:rsidRPr="009239F8">
        <w:rPr>
          <w:rFonts w:ascii="Times New Roman" w:hAnsi="Times New Roman" w:cs="Times New Roman"/>
          <w:lang w:val="en-US"/>
        </w:rPr>
        <w:t xml:space="preserve">Sign test </w:t>
      </w:r>
      <w:r w:rsidR="00355EC2" w:rsidRPr="009239F8">
        <w:rPr>
          <w:rFonts w:ascii="Times New Roman" w:hAnsi="Times New Roman" w:cs="Times New Roman"/>
          <w:lang w:val="en-US"/>
        </w:rPr>
        <w:t>identified</w:t>
      </w:r>
      <w:r w:rsidR="009D4E87" w:rsidRPr="009239F8">
        <w:rPr>
          <w:rFonts w:ascii="Times New Roman" w:hAnsi="Times New Roman" w:cs="Times New Roman"/>
          <w:lang w:val="en-US"/>
        </w:rPr>
        <w:t xml:space="preserve"> that </w:t>
      </w:r>
      <w:r w:rsidR="00034F3A" w:rsidRPr="009239F8">
        <w:rPr>
          <w:rFonts w:ascii="Times New Roman" w:hAnsi="Times New Roman" w:cs="Times New Roman"/>
          <w:lang w:val="en-US"/>
        </w:rPr>
        <w:t>11</w:t>
      </w:r>
      <w:r w:rsidR="009D4E87" w:rsidRPr="009239F8">
        <w:rPr>
          <w:rFonts w:ascii="Times New Roman" w:hAnsi="Times New Roman" w:cs="Times New Roman"/>
          <w:lang w:val="en-US"/>
        </w:rPr>
        <w:t xml:space="preserve"> out of 1</w:t>
      </w:r>
      <w:r w:rsidR="00034F3A" w:rsidRPr="009239F8">
        <w:rPr>
          <w:rFonts w:ascii="Times New Roman" w:hAnsi="Times New Roman" w:cs="Times New Roman"/>
          <w:lang w:val="en-US"/>
        </w:rPr>
        <w:t>5</w:t>
      </w:r>
      <w:r w:rsidR="009D4E87" w:rsidRPr="009239F8">
        <w:rPr>
          <w:rFonts w:ascii="Times New Roman" w:hAnsi="Times New Roman" w:cs="Times New Roman"/>
          <w:lang w:val="en-US"/>
        </w:rPr>
        <w:t xml:space="preserve"> </w:t>
      </w:r>
      <w:r w:rsidR="00985F76" w:rsidRPr="009239F8">
        <w:rPr>
          <w:rFonts w:ascii="Times New Roman" w:hAnsi="Times New Roman" w:cs="Times New Roman"/>
          <w:lang w:val="en-US"/>
        </w:rPr>
        <w:t xml:space="preserve">regions showed </w:t>
      </w:r>
      <w:r w:rsidR="00B33600" w:rsidRPr="009239F8">
        <w:rPr>
          <w:rFonts w:ascii="Times New Roman" w:hAnsi="Times New Roman" w:cs="Times New Roman"/>
          <w:lang w:val="en-US"/>
        </w:rPr>
        <w:t>decreased</w:t>
      </w:r>
      <w:r w:rsidR="00985F76" w:rsidRPr="009239F8">
        <w:rPr>
          <w:rFonts w:ascii="Times New Roman" w:hAnsi="Times New Roman" w:cs="Times New Roman"/>
          <w:lang w:val="en-US"/>
        </w:rPr>
        <w:t xml:space="preserve"> </w:t>
      </w:r>
      <w:r w:rsidR="00B33600" w:rsidRPr="009239F8">
        <w:rPr>
          <w:rFonts w:ascii="Times New Roman" w:hAnsi="Times New Roman" w:cs="Times New Roman"/>
          <w:lang w:val="en-US"/>
        </w:rPr>
        <w:t>g</w:t>
      </w:r>
      <w:r w:rsidR="00B33600" w:rsidRPr="009239F8">
        <w:rPr>
          <w:rFonts w:ascii="Times New Roman" w:hAnsi="Times New Roman" w:cs="Times New Roman"/>
          <w:vertAlign w:val="subscript"/>
          <w:lang w:val="en-US"/>
        </w:rPr>
        <w:t>Ks</w:t>
      </w:r>
      <w:r w:rsidR="00B33600" w:rsidRPr="009239F8">
        <w:rPr>
          <w:rFonts w:ascii="Times New Roman" w:hAnsi="Times New Roman" w:cs="Times New Roman"/>
          <w:lang w:val="en-US"/>
        </w:rPr>
        <w:t xml:space="preserve"> but </w:t>
      </w:r>
      <w:r w:rsidR="00355EC2" w:rsidRPr="009239F8">
        <w:rPr>
          <w:rFonts w:ascii="Times New Roman" w:hAnsi="Times New Roman" w:cs="Times New Roman"/>
          <w:lang w:val="en-US"/>
        </w:rPr>
        <w:t>did not reach</w:t>
      </w:r>
      <w:r w:rsidR="00B33600" w:rsidRPr="009239F8">
        <w:rPr>
          <w:rFonts w:ascii="Times New Roman" w:hAnsi="Times New Roman" w:cs="Times New Roman"/>
          <w:lang w:val="en-US"/>
        </w:rPr>
        <w:t xml:space="preserve"> statistical significance (</w:t>
      </w:r>
      <w:r w:rsidR="00BE10AD" w:rsidRPr="009239F8">
        <w:rPr>
          <w:rFonts w:ascii="Times New Roman" w:hAnsi="Times New Roman" w:cs="Times New Roman"/>
          <w:i/>
          <w:iCs/>
          <w:lang w:val="en-US"/>
        </w:rPr>
        <w:t>p</w:t>
      </w:r>
      <w:r w:rsidR="00BE10AD" w:rsidRPr="009239F8">
        <w:rPr>
          <w:rFonts w:ascii="Times New Roman" w:hAnsi="Times New Roman" w:cs="Times New Roman"/>
          <w:lang w:val="en-US"/>
        </w:rPr>
        <w:t>-value= 0.1</w:t>
      </w:r>
      <w:r w:rsidR="00A95143" w:rsidRPr="009239F8">
        <w:rPr>
          <w:rFonts w:ascii="Times New Roman" w:hAnsi="Times New Roman" w:cs="Times New Roman"/>
          <w:lang w:val="en-US"/>
        </w:rPr>
        <w:t>19</w:t>
      </w:r>
      <w:r w:rsidR="00BE10AD" w:rsidRPr="009239F8">
        <w:rPr>
          <w:rFonts w:ascii="Times New Roman" w:hAnsi="Times New Roman" w:cs="Times New Roman"/>
          <w:lang w:val="en-US"/>
        </w:rPr>
        <w:t xml:space="preserve">). </w:t>
      </w:r>
      <w:r w:rsidRPr="009239F8">
        <w:rPr>
          <w:rFonts w:ascii="Times New Roman" w:hAnsi="Times New Roman" w:cs="Times New Roman"/>
          <w:lang w:val="en-US"/>
        </w:rPr>
        <w:t>These results indicate that, at the regional level of analysis defined here, the apico-basal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structure is preserved in the eHTN cohort and does not deviate significantly from </w:t>
      </w:r>
      <w:r w:rsidR="00355EC2" w:rsidRPr="009239F8">
        <w:rPr>
          <w:rFonts w:ascii="Times New Roman" w:hAnsi="Times New Roman" w:cs="Times New Roman"/>
          <w:lang w:val="en-US"/>
        </w:rPr>
        <w:t>healthy</w:t>
      </w:r>
      <w:r w:rsidRPr="009239F8">
        <w:rPr>
          <w:rFonts w:ascii="Times New Roman" w:hAnsi="Times New Roman" w:cs="Times New Roman"/>
          <w:lang w:val="en-US"/>
        </w:rPr>
        <w:t xml:space="preserve"> normative reference.</w:t>
      </w:r>
    </w:p>
    <w:p w14:paraId="5170EA1F" w14:textId="3D3FDFBE" w:rsidR="00E62AD1" w:rsidRPr="009239F8" w:rsidRDefault="00E62AD1" w:rsidP="009A5B48">
      <w:pPr>
        <w:pStyle w:val="Caption"/>
        <w:spacing w:line="480" w:lineRule="auto"/>
        <w:jc w:val="both"/>
        <w:rPr>
          <w:rFonts w:cs="Times New Roman"/>
          <w:color w:val="auto"/>
          <w:lang w:val="en-US"/>
        </w:rPr>
      </w:pPr>
      <w:bookmarkStart w:id="17" w:name="_Ref232697309"/>
      <w:bookmarkStart w:id="18" w:name="_Ref232697301"/>
      <w:r w:rsidRPr="009239F8">
        <w:rPr>
          <w:rFonts w:cs="Times New Roman"/>
          <w:b/>
          <w:color w:val="auto"/>
          <w:lang w:val="en-US"/>
        </w:rPr>
        <w:t xml:space="preserve">Table S </w:t>
      </w:r>
      <w:r w:rsidRPr="009239F8">
        <w:rPr>
          <w:rFonts w:cs="Times New Roman"/>
          <w:b/>
          <w:color w:val="auto"/>
          <w:lang w:val="en-US"/>
        </w:rPr>
        <w:fldChar w:fldCharType="begin"/>
      </w:r>
      <w:r w:rsidRPr="009239F8">
        <w:rPr>
          <w:rFonts w:cs="Times New Roman"/>
          <w:b/>
          <w:bCs/>
          <w:color w:val="auto"/>
          <w:lang w:val="en-US"/>
        </w:rPr>
        <w:instrText xml:space="preserve"> SEQ Table_S \* ARABIC </w:instrText>
      </w:r>
      <w:r w:rsidRPr="009239F8">
        <w:rPr>
          <w:rFonts w:cs="Times New Roman"/>
          <w:b/>
          <w:color w:val="auto"/>
          <w:lang w:val="en-US"/>
        </w:rPr>
        <w:fldChar w:fldCharType="separate"/>
      </w:r>
      <w:r w:rsidR="00890076" w:rsidRPr="009239F8">
        <w:rPr>
          <w:rFonts w:cs="Times New Roman"/>
          <w:b/>
          <w:bCs/>
          <w:noProof/>
          <w:color w:val="auto"/>
          <w:lang w:val="en-US"/>
        </w:rPr>
        <w:t>9</w:t>
      </w:r>
      <w:r w:rsidRPr="009239F8">
        <w:rPr>
          <w:rFonts w:cs="Times New Roman"/>
          <w:b/>
          <w:color w:val="auto"/>
          <w:lang w:val="en-US"/>
        </w:rPr>
        <w:fldChar w:fldCharType="end"/>
      </w:r>
      <w:bookmarkEnd w:id="17"/>
      <w:r w:rsidRPr="009239F8">
        <w:rPr>
          <w:rFonts w:cs="Times New Roman"/>
          <w:b/>
          <w:color w:val="auto"/>
          <w:lang w:val="en-US"/>
        </w:rPr>
        <w:t>.</w:t>
      </w:r>
      <w:r w:rsidRPr="009239F8">
        <w:rPr>
          <w:rFonts w:cs="Times New Roman"/>
          <w:color w:val="auto"/>
          <w:lang w:val="en-US"/>
        </w:rPr>
        <w:t xml:space="preserve"> </w:t>
      </w:r>
      <w:r w:rsidRPr="009239F8">
        <w:rPr>
          <w:rFonts w:cs="Times New Roman"/>
          <w:b/>
          <w:color w:val="auto"/>
          <w:lang w:val="en-US"/>
        </w:rPr>
        <w:t>Regional comparison of g</w:t>
      </w:r>
      <w:r w:rsidRPr="009239F8">
        <w:rPr>
          <w:rFonts w:cs="Times New Roman"/>
          <w:b/>
          <w:color w:val="auto"/>
          <w:vertAlign w:val="subscript"/>
          <w:lang w:val="en-US"/>
        </w:rPr>
        <w:t>Ks</w:t>
      </w:r>
      <w:r w:rsidRPr="009239F8">
        <w:rPr>
          <w:rFonts w:cs="Times New Roman"/>
          <w:b/>
          <w:color w:val="auto"/>
          <w:lang w:val="en-US"/>
        </w:rPr>
        <w:t xml:space="preserve"> scaling factors between healthy and </w:t>
      </w:r>
      <w:r w:rsidR="007E4678" w:rsidRPr="009239F8">
        <w:rPr>
          <w:rFonts w:cs="Times New Roman"/>
          <w:b/>
          <w:color w:val="auto"/>
          <w:lang w:val="en-US"/>
        </w:rPr>
        <w:t xml:space="preserve">early-stage hypertensive (eHTN) </w:t>
      </w:r>
      <w:r w:rsidRPr="009239F8">
        <w:rPr>
          <w:rFonts w:cs="Times New Roman"/>
          <w:b/>
          <w:color w:val="auto"/>
          <w:lang w:val="en-US"/>
        </w:rPr>
        <w:t>MyoFit46 cohorts.</w:t>
      </w:r>
      <w:r w:rsidRPr="009239F8">
        <w:rPr>
          <w:rFonts w:cs="Times New Roman"/>
          <w:color w:val="auto"/>
          <w:lang w:val="en-US"/>
        </w:rPr>
        <w:t xml:space="preserve"> Median g</w:t>
      </w:r>
      <w:r w:rsidRPr="009239F8">
        <w:rPr>
          <w:rFonts w:cs="Times New Roman"/>
          <w:color w:val="auto"/>
          <w:vertAlign w:val="subscript"/>
          <w:lang w:val="en-US"/>
        </w:rPr>
        <w:t>Ks</w:t>
      </w:r>
      <w:r w:rsidRPr="009239F8">
        <w:rPr>
          <w:rFonts w:cs="Times New Roman"/>
          <w:color w:val="auto"/>
          <w:lang w:val="en-US"/>
        </w:rPr>
        <w:t xml:space="preserve"> values per anatomical region for healthy (H, n=30) and </w:t>
      </w:r>
      <w:r w:rsidR="007E4678" w:rsidRPr="009239F8">
        <w:rPr>
          <w:rFonts w:cs="Times New Roman"/>
          <w:color w:val="auto"/>
          <w:lang w:val="en-US"/>
        </w:rPr>
        <w:t>eHTN (</w:t>
      </w:r>
      <w:r w:rsidRPr="009239F8">
        <w:rPr>
          <w:rFonts w:cs="Times New Roman"/>
          <w:color w:val="auto"/>
          <w:lang w:val="en-US"/>
        </w:rPr>
        <w:t>n=47) cohorts, absolute difference (Δ), and p-values from the Mann-Whitney U test with Benjamini–Hochberg correction (p</w:t>
      </w:r>
      <w:r w:rsidRPr="009239F8">
        <w:rPr>
          <w:rFonts w:cs="Times New Roman"/>
          <w:color w:val="auto"/>
          <w:vertAlign w:val="subscript"/>
          <w:lang w:val="en-US"/>
        </w:rPr>
        <w:t>adj</w:t>
      </w:r>
      <w:r w:rsidRPr="009239F8">
        <w:rPr>
          <w:rFonts w:cs="Times New Roman"/>
          <w:color w:val="auto"/>
          <w:lang w:val="en-US"/>
        </w:rPr>
        <w:t>). Regions are stratified by chamber (</w:t>
      </w:r>
      <w:r w:rsidR="007E4678" w:rsidRPr="009239F8">
        <w:rPr>
          <w:rFonts w:cs="Times New Roman"/>
          <w:color w:val="auto"/>
          <w:lang w:val="en-US"/>
        </w:rPr>
        <w:t>left ventricle (</w:t>
      </w:r>
      <w:r w:rsidRPr="009239F8">
        <w:rPr>
          <w:rFonts w:cs="Times New Roman"/>
          <w:color w:val="auto"/>
          <w:lang w:val="en-US"/>
        </w:rPr>
        <w:t>LV</w:t>
      </w:r>
      <w:r w:rsidR="007E4678" w:rsidRPr="009239F8">
        <w:rPr>
          <w:rFonts w:cs="Times New Roman"/>
          <w:color w:val="auto"/>
          <w:lang w:val="en-US"/>
        </w:rPr>
        <w:t>)</w:t>
      </w:r>
      <w:r w:rsidRPr="009239F8">
        <w:rPr>
          <w:rFonts w:cs="Times New Roman"/>
          <w:color w:val="auto"/>
          <w:lang w:val="en-US"/>
        </w:rPr>
        <w:t xml:space="preserve"> vs.</w:t>
      </w:r>
      <w:r w:rsidR="007E4678" w:rsidRPr="009239F8">
        <w:rPr>
          <w:rFonts w:cs="Times New Roman"/>
          <w:color w:val="auto"/>
          <w:lang w:val="en-US"/>
        </w:rPr>
        <w:t xml:space="preserve"> right ventricle</w:t>
      </w:r>
      <w:r w:rsidRPr="009239F8">
        <w:rPr>
          <w:rFonts w:cs="Times New Roman"/>
          <w:color w:val="auto"/>
          <w:lang w:val="en-US"/>
        </w:rPr>
        <w:t xml:space="preserve"> </w:t>
      </w:r>
      <w:r w:rsidR="007E4678" w:rsidRPr="009239F8">
        <w:rPr>
          <w:rFonts w:cs="Times New Roman"/>
          <w:color w:val="auto"/>
          <w:lang w:val="en-US"/>
        </w:rPr>
        <w:t>(</w:t>
      </w:r>
      <w:r w:rsidRPr="009239F8">
        <w:rPr>
          <w:rFonts w:cs="Times New Roman"/>
          <w:color w:val="auto"/>
          <w:lang w:val="en-US"/>
        </w:rPr>
        <w:t>RV)</w:t>
      </w:r>
      <w:r w:rsidR="007E4678" w:rsidRPr="009239F8">
        <w:rPr>
          <w:rFonts w:cs="Times New Roman"/>
          <w:color w:val="auto"/>
          <w:lang w:val="en-US"/>
        </w:rPr>
        <w:t>)</w:t>
      </w:r>
      <w:r w:rsidRPr="009239F8">
        <w:rPr>
          <w:rFonts w:cs="Times New Roman"/>
          <w:color w:val="auto"/>
          <w:lang w:val="en-US"/>
        </w:rPr>
        <w:t>, longitudinal level (Basal, Mid, Apical), and circumferential wall (Lateral, Inferior, Anterior). No statistically significant differences were observed after correction. g</w:t>
      </w:r>
      <w:r w:rsidRPr="009239F8">
        <w:rPr>
          <w:rFonts w:cs="Times New Roman"/>
          <w:color w:val="auto"/>
          <w:vertAlign w:val="subscript"/>
          <w:lang w:val="en-US"/>
        </w:rPr>
        <w:t>Ks</w:t>
      </w:r>
      <w:r w:rsidRPr="009239F8">
        <w:rPr>
          <w:rFonts w:cs="Times New Roman"/>
          <w:color w:val="auto"/>
          <w:lang w:val="en-US"/>
        </w:rPr>
        <w:t>: slow delayed rectifier potassium current conductance scaling factor</w:t>
      </w:r>
      <w:bookmarkEnd w:id="18"/>
      <w:r w:rsidR="007E4678" w:rsidRPr="009239F8">
        <w:rPr>
          <w:rFonts w:cs="Times New Roman"/>
          <w:color w:val="auto"/>
          <w:lang w:val="en-U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1"/>
        <w:gridCol w:w="1179"/>
        <w:gridCol w:w="1179"/>
        <w:gridCol w:w="1179"/>
        <w:gridCol w:w="1179"/>
        <w:gridCol w:w="1179"/>
      </w:tblGrid>
      <w:tr w:rsidR="00B13229" w:rsidRPr="009239F8" w14:paraId="1FE525DF" w14:textId="77777777" w:rsidTr="00A72AA9">
        <w:trPr>
          <w:jc w:val="center"/>
        </w:trPr>
        <w:tc>
          <w:tcPr>
            <w:tcW w:w="2841" w:type="dxa"/>
            <w:tcBorders>
              <w:top w:val="single" w:sz="4" w:space="0" w:color="auto"/>
              <w:bottom w:val="single" w:sz="4" w:space="0" w:color="auto"/>
            </w:tcBorders>
          </w:tcPr>
          <w:p w14:paraId="5B9673E9" w14:textId="77777777" w:rsidR="00B13229" w:rsidRPr="009239F8" w:rsidRDefault="00B13229"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Region</w:t>
            </w:r>
          </w:p>
        </w:tc>
        <w:tc>
          <w:tcPr>
            <w:tcW w:w="1179" w:type="dxa"/>
            <w:tcBorders>
              <w:top w:val="single" w:sz="4" w:space="0" w:color="auto"/>
              <w:bottom w:val="single" w:sz="4" w:space="0" w:color="auto"/>
            </w:tcBorders>
          </w:tcPr>
          <w:p w14:paraId="35E9A5DC" w14:textId="27571749" w:rsidR="00B13229" w:rsidRPr="009239F8" w:rsidRDefault="00B13229"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Median g</w:t>
            </w:r>
            <w:r w:rsidRPr="009239F8">
              <w:rPr>
                <w:rFonts w:ascii="Times New Roman" w:hAnsi="Times New Roman" w:cs="Times New Roman"/>
                <w:b/>
                <w:vertAlign w:val="subscript"/>
                <w:lang w:val="en-US"/>
              </w:rPr>
              <w:t>Ks</w:t>
            </w:r>
            <w:r w:rsidRPr="009239F8">
              <w:rPr>
                <w:rFonts w:ascii="Times New Roman" w:hAnsi="Times New Roman" w:cs="Times New Roman"/>
                <w:b/>
                <w:lang w:val="en-US"/>
              </w:rPr>
              <w:t xml:space="preserve"> (H</w:t>
            </w:r>
            <w:r w:rsidR="00E33088" w:rsidRPr="009239F8">
              <w:rPr>
                <w:rFonts w:ascii="Times New Roman" w:hAnsi="Times New Roman" w:cs="Times New Roman"/>
                <w:b/>
                <w:lang w:val="en-US"/>
              </w:rPr>
              <w:t>ealthy</w:t>
            </w:r>
            <w:r w:rsidRPr="009239F8">
              <w:rPr>
                <w:rFonts w:ascii="Times New Roman" w:hAnsi="Times New Roman" w:cs="Times New Roman"/>
                <w:b/>
                <w:lang w:val="en-US"/>
              </w:rPr>
              <w:t>)</w:t>
            </w:r>
          </w:p>
        </w:tc>
        <w:tc>
          <w:tcPr>
            <w:tcW w:w="1179" w:type="dxa"/>
            <w:tcBorders>
              <w:top w:val="single" w:sz="4" w:space="0" w:color="auto"/>
              <w:bottom w:val="single" w:sz="4" w:space="0" w:color="auto"/>
            </w:tcBorders>
          </w:tcPr>
          <w:p w14:paraId="5F8CB832" w14:textId="031BD94C" w:rsidR="00B13229" w:rsidRPr="009239F8" w:rsidRDefault="00B13229"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Median g</w:t>
            </w:r>
            <w:r w:rsidRPr="009239F8">
              <w:rPr>
                <w:rFonts w:ascii="Times New Roman" w:hAnsi="Times New Roman" w:cs="Times New Roman"/>
                <w:b/>
                <w:vertAlign w:val="subscript"/>
                <w:lang w:val="en-US"/>
              </w:rPr>
              <w:t>Ks</w:t>
            </w:r>
            <w:r w:rsidRPr="009239F8">
              <w:rPr>
                <w:rFonts w:ascii="Times New Roman" w:hAnsi="Times New Roman" w:cs="Times New Roman"/>
                <w:b/>
                <w:lang w:val="en-US"/>
              </w:rPr>
              <w:t xml:space="preserve"> (</w:t>
            </w:r>
            <w:r w:rsidR="002F711D" w:rsidRPr="009239F8">
              <w:rPr>
                <w:rFonts w:ascii="Times New Roman" w:hAnsi="Times New Roman" w:cs="Times New Roman"/>
                <w:b/>
                <w:lang w:val="en-US"/>
              </w:rPr>
              <w:t>eHTN</w:t>
            </w:r>
            <w:r w:rsidRPr="009239F8">
              <w:rPr>
                <w:rFonts w:ascii="Times New Roman" w:hAnsi="Times New Roman" w:cs="Times New Roman"/>
                <w:b/>
                <w:lang w:val="en-US"/>
              </w:rPr>
              <w:t>)</w:t>
            </w:r>
          </w:p>
        </w:tc>
        <w:tc>
          <w:tcPr>
            <w:tcW w:w="1179" w:type="dxa"/>
            <w:tcBorders>
              <w:top w:val="single" w:sz="4" w:space="0" w:color="auto"/>
              <w:bottom w:val="single" w:sz="4" w:space="0" w:color="auto"/>
            </w:tcBorders>
          </w:tcPr>
          <w:p w14:paraId="348336BF" w14:textId="77777777" w:rsidR="00B13229" w:rsidRPr="009239F8" w:rsidRDefault="00B13229" w:rsidP="009A5B48">
            <w:pPr>
              <w:spacing w:line="480" w:lineRule="auto"/>
              <w:jc w:val="center"/>
              <w:rPr>
                <w:rFonts w:ascii="Times New Roman" w:hAnsi="Times New Roman" w:cs="Times New Roman"/>
                <w:lang w:val="en-US"/>
              </w:rPr>
            </w:pPr>
            <w:r w:rsidRPr="009239F8">
              <w:rPr>
                <w:rFonts w:ascii="Times New Roman" w:hAnsi="Times New Roman" w:cs="Times New Roman"/>
                <w:b/>
                <w:lang w:val="en-US"/>
              </w:rPr>
              <w:t>Δ</w:t>
            </w:r>
          </w:p>
        </w:tc>
        <w:tc>
          <w:tcPr>
            <w:tcW w:w="1179" w:type="dxa"/>
            <w:tcBorders>
              <w:top w:val="single" w:sz="4" w:space="0" w:color="auto"/>
              <w:bottom w:val="single" w:sz="4" w:space="0" w:color="auto"/>
            </w:tcBorders>
          </w:tcPr>
          <w:p w14:paraId="28D81C66" w14:textId="77777777" w:rsidR="00B13229" w:rsidRPr="009239F8" w:rsidRDefault="00B13229" w:rsidP="009A5B48">
            <w:pPr>
              <w:spacing w:line="480" w:lineRule="auto"/>
              <w:jc w:val="center"/>
              <w:rPr>
                <w:rFonts w:ascii="Times New Roman" w:hAnsi="Times New Roman" w:cs="Times New Roman"/>
                <w:lang w:val="en-US"/>
              </w:rPr>
            </w:pPr>
            <w:r w:rsidRPr="009239F8">
              <w:rPr>
                <w:rFonts w:ascii="Times New Roman" w:hAnsi="Times New Roman" w:cs="Times New Roman"/>
                <w:b/>
                <w:i/>
                <w:iCs/>
                <w:lang w:val="en-US"/>
              </w:rPr>
              <w:t>p</w:t>
            </w:r>
          </w:p>
        </w:tc>
        <w:tc>
          <w:tcPr>
            <w:tcW w:w="1179" w:type="dxa"/>
            <w:tcBorders>
              <w:top w:val="single" w:sz="4" w:space="0" w:color="auto"/>
              <w:bottom w:val="single" w:sz="4" w:space="0" w:color="auto"/>
            </w:tcBorders>
          </w:tcPr>
          <w:p w14:paraId="05C634D3" w14:textId="77777777" w:rsidR="00B13229" w:rsidRPr="009239F8" w:rsidRDefault="00B13229" w:rsidP="009A5B48">
            <w:pPr>
              <w:spacing w:line="480" w:lineRule="auto"/>
              <w:jc w:val="center"/>
              <w:rPr>
                <w:rFonts w:ascii="Times New Roman" w:hAnsi="Times New Roman" w:cs="Times New Roman"/>
                <w:lang w:val="en-US"/>
              </w:rPr>
            </w:pPr>
            <w:r w:rsidRPr="009239F8">
              <w:rPr>
                <w:rFonts w:ascii="Times New Roman" w:hAnsi="Times New Roman" w:cs="Times New Roman"/>
                <w:b/>
                <w:i/>
                <w:iCs/>
                <w:lang w:val="en-US"/>
              </w:rPr>
              <w:t>p</w:t>
            </w:r>
            <w:r w:rsidRPr="009239F8">
              <w:rPr>
                <w:rFonts w:ascii="Times New Roman" w:hAnsi="Times New Roman" w:cs="Times New Roman"/>
                <w:b/>
                <w:vertAlign w:val="subscript"/>
                <w:lang w:val="en-US"/>
              </w:rPr>
              <w:t>adj</w:t>
            </w:r>
          </w:p>
        </w:tc>
      </w:tr>
      <w:tr w:rsidR="007665D6" w:rsidRPr="009239F8" w14:paraId="1016F87C" w14:textId="77777777" w:rsidTr="00A72AA9">
        <w:trPr>
          <w:jc w:val="center"/>
        </w:trPr>
        <w:tc>
          <w:tcPr>
            <w:tcW w:w="2841" w:type="dxa"/>
            <w:tcBorders>
              <w:top w:val="single" w:sz="4" w:space="0" w:color="auto"/>
              <w:bottom w:val="single" w:sz="4" w:space="0" w:color="auto"/>
            </w:tcBorders>
          </w:tcPr>
          <w:p w14:paraId="011105F3" w14:textId="4D728D83" w:rsidR="007665D6" w:rsidRPr="009239F8" w:rsidRDefault="007665D6" w:rsidP="009A5B48">
            <w:pPr>
              <w:spacing w:line="480" w:lineRule="auto"/>
              <w:rPr>
                <w:rFonts w:ascii="Times New Roman" w:hAnsi="Times New Roman" w:cs="Times New Roman"/>
                <w:bCs/>
                <w:lang w:val="en-US"/>
              </w:rPr>
            </w:pPr>
            <w:r w:rsidRPr="009239F8">
              <w:rPr>
                <w:rFonts w:ascii="Times New Roman" w:hAnsi="Times New Roman" w:cs="Times New Roman"/>
                <w:bCs/>
                <w:lang w:val="en-US"/>
              </w:rPr>
              <w:t>Global</w:t>
            </w:r>
          </w:p>
        </w:tc>
        <w:tc>
          <w:tcPr>
            <w:tcW w:w="1179" w:type="dxa"/>
            <w:tcBorders>
              <w:top w:val="single" w:sz="4" w:space="0" w:color="auto"/>
              <w:bottom w:val="single" w:sz="4" w:space="0" w:color="auto"/>
            </w:tcBorders>
          </w:tcPr>
          <w:p w14:paraId="051DEFE2" w14:textId="21061654" w:rsidR="007665D6" w:rsidRPr="009239F8" w:rsidRDefault="00FF710E" w:rsidP="009A5B48">
            <w:pPr>
              <w:spacing w:line="480" w:lineRule="auto"/>
              <w:jc w:val="center"/>
              <w:rPr>
                <w:rFonts w:ascii="Times New Roman" w:hAnsi="Times New Roman" w:cs="Times New Roman"/>
                <w:bCs/>
                <w:lang w:val="en-US"/>
              </w:rPr>
            </w:pPr>
            <w:r w:rsidRPr="009239F8">
              <w:rPr>
                <w:rFonts w:ascii="Times New Roman" w:hAnsi="Times New Roman" w:cs="Times New Roman"/>
                <w:bCs/>
                <w:lang w:val="en-US"/>
              </w:rPr>
              <w:t xml:space="preserve">2.486 </w:t>
            </w:r>
          </w:p>
        </w:tc>
        <w:tc>
          <w:tcPr>
            <w:tcW w:w="1179" w:type="dxa"/>
            <w:tcBorders>
              <w:top w:val="single" w:sz="4" w:space="0" w:color="auto"/>
              <w:bottom w:val="single" w:sz="4" w:space="0" w:color="auto"/>
            </w:tcBorders>
          </w:tcPr>
          <w:p w14:paraId="688851D8" w14:textId="249D1ED5" w:rsidR="007665D6" w:rsidRPr="009239F8" w:rsidRDefault="00FF710E" w:rsidP="009A5B48">
            <w:pPr>
              <w:spacing w:line="480" w:lineRule="auto"/>
              <w:jc w:val="center"/>
              <w:rPr>
                <w:rFonts w:ascii="Times New Roman" w:hAnsi="Times New Roman" w:cs="Times New Roman"/>
                <w:bCs/>
                <w:lang w:val="en-US"/>
              </w:rPr>
            </w:pPr>
            <w:r w:rsidRPr="009239F8">
              <w:rPr>
                <w:rFonts w:ascii="Times New Roman" w:hAnsi="Times New Roman" w:cs="Times New Roman"/>
                <w:bCs/>
                <w:lang w:val="en-US"/>
              </w:rPr>
              <w:t xml:space="preserve">2.278      </w:t>
            </w:r>
          </w:p>
        </w:tc>
        <w:tc>
          <w:tcPr>
            <w:tcW w:w="1179" w:type="dxa"/>
            <w:tcBorders>
              <w:top w:val="single" w:sz="4" w:space="0" w:color="auto"/>
              <w:bottom w:val="single" w:sz="4" w:space="0" w:color="auto"/>
            </w:tcBorders>
          </w:tcPr>
          <w:p w14:paraId="50B8BF44" w14:textId="60D5E530" w:rsidR="007665D6" w:rsidRPr="009239F8" w:rsidRDefault="00C727D6" w:rsidP="009A5B48">
            <w:pPr>
              <w:spacing w:line="480" w:lineRule="auto"/>
              <w:jc w:val="center"/>
              <w:rPr>
                <w:rFonts w:ascii="Times New Roman" w:hAnsi="Times New Roman" w:cs="Times New Roman"/>
                <w:bCs/>
                <w:lang w:val="en-US"/>
              </w:rPr>
            </w:pPr>
            <w:r w:rsidRPr="009239F8">
              <w:rPr>
                <w:rFonts w:ascii="Times New Roman" w:hAnsi="Times New Roman" w:cs="Times New Roman"/>
                <w:bCs/>
                <w:lang w:val="en-US"/>
              </w:rPr>
              <w:t>-0.209</w:t>
            </w:r>
          </w:p>
        </w:tc>
        <w:tc>
          <w:tcPr>
            <w:tcW w:w="1179" w:type="dxa"/>
            <w:tcBorders>
              <w:top w:val="single" w:sz="4" w:space="0" w:color="auto"/>
              <w:bottom w:val="single" w:sz="4" w:space="0" w:color="auto"/>
            </w:tcBorders>
          </w:tcPr>
          <w:p w14:paraId="5A8E6E97" w14:textId="36474196" w:rsidR="007665D6" w:rsidRPr="009239F8" w:rsidRDefault="00C727D6" w:rsidP="009A5B48">
            <w:pPr>
              <w:spacing w:line="480" w:lineRule="auto"/>
              <w:jc w:val="center"/>
              <w:rPr>
                <w:rFonts w:ascii="Times New Roman" w:hAnsi="Times New Roman" w:cs="Times New Roman"/>
                <w:bCs/>
                <w:i/>
                <w:iCs/>
                <w:lang w:val="en-US"/>
              </w:rPr>
            </w:pPr>
            <w:r w:rsidRPr="009239F8">
              <w:rPr>
                <w:rFonts w:ascii="Times New Roman" w:hAnsi="Times New Roman" w:cs="Times New Roman"/>
                <w:bCs/>
                <w:lang w:val="en-US"/>
              </w:rPr>
              <w:t>0.248</w:t>
            </w:r>
          </w:p>
        </w:tc>
        <w:tc>
          <w:tcPr>
            <w:tcW w:w="1179" w:type="dxa"/>
            <w:tcBorders>
              <w:top w:val="single" w:sz="4" w:space="0" w:color="auto"/>
              <w:bottom w:val="single" w:sz="4" w:space="0" w:color="auto"/>
            </w:tcBorders>
          </w:tcPr>
          <w:p w14:paraId="25357D5C" w14:textId="5189768B" w:rsidR="007665D6" w:rsidRPr="009239F8" w:rsidRDefault="00FF710E" w:rsidP="009A5B48">
            <w:pPr>
              <w:spacing w:line="480" w:lineRule="auto"/>
              <w:jc w:val="center"/>
              <w:rPr>
                <w:rFonts w:ascii="Times New Roman" w:hAnsi="Times New Roman" w:cs="Times New Roman"/>
                <w:bCs/>
                <w:i/>
                <w:iCs/>
                <w:lang w:val="en-US"/>
              </w:rPr>
            </w:pPr>
            <w:r w:rsidRPr="009239F8">
              <w:rPr>
                <w:rFonts w:ascii="Times New Roman" w:hAnsi="Times New Roman" w:cs="Times New Roman"/>
                <w:bCs/>
                <w:lang w:val="en-US"/>
              </w:rPr>
              <w:t>0.490</w:t>
            </w:r>
          </w:p>
        </w:tc>
      </w:tr>
      <w:tr w:rsidR="00B13229" w:rsidRPr="009239F8" w14:paraId="27B1A783" w14:textId="77777777" w:rsidTr="00A72AA9">
        <w:trPr>
          <w:jc w:val="center"/>
        </w:trPr>
        <w:tc>
          <w:tcPr>
            <w:tcW w:w="8736" w:type="dxa"/>
            <w:gridSpan w:val="6"/>
            <w:tcBorders>
              <w:top w:val="single" w:sz="4" w:space="0" w:color="auto"/>
              <w:bottom w:val="single" w:sz="4" w:space="0" w:color="auto"/>
            </w:tcBorders>
            <w:vAlign w:val="center"/>
          </w:tcPr>
          <w:p w14:paraId="34EA9DBA" w14:textId="77777777" w:rsidR="00B13229" w:rsidRPr="009239F8" w:rsidRDefault="00B13229" w:rsidP="009A5B48">
            <w:pPr>
              <w:spacing w:line="480" w:lineRule="auto"/>
              <w:rPr>
                <w:rFonts w:ascii="Times New Roman" w:hAnsi="Times New Roman" w:cs="Times New Roman"/>
                <w:lang w:val="en-US"/>
              </w:rPr>
            </w:pPr>
            <w:r w:rsidRPr="009239F8">
              <w:rPr>
                <w:rFonts w:ascii="Times New Roman" w:hAnsi="Times New Roman" w:cs="Times New Roman"/>
                <w:lang w:val="en-US"/>
              </w:rPr>
              <w:t>Chamber</w:t>
            </w:r>
          </w:p>
        </w:tc>
      </w:tr>
      <w:tr w:rsidR="004E2E98" w:rsidRPr="009239F8" w14:paraId="390807C7" w14:textId="77777777" w:rsidTr="00A72AA9">
        <w:trPr>
          <w:jc w:val="center"/>
        </w:trPr>
        <w:tc>
          <w:tcPr>
            <w:tcW w:w="2841" w:type="dxa"/>
            <w:tcBorders>
              <w:top w:val="single" w:sz="4" w:space="0" w:color="auto"/>
            </w:tcBorders>
          </w:tcPr>
          <w:p w14:paraId="6574163E" w14:textId="77777777"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LV</w:t>
            </w:r>
          </w:p>
        </w:tc>
        <w:tc>
          <w:tcPr>
            <w:tcW w:w="1179" w:type="dxa"/>
            <w:tcBorders>
              <w:top w:val="single" w:sz="4" w:space="0" w:color="auto"/>
            </w:tcBorders>
          </w:tcPr>
          <w:p w14:paraId="31863792" w14:textId="0DE4B600"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2.016</w:t>
            </w:r>
          </w:p>
        </w:tc>
        <w:tc>
          <w:tcPr>
            <w:tcW w:w="1179" w:type="dxa"/>
            <w:tcBorders>
              <w:top w:val="single" w:sz="4" w:space="0" w:color="auto"/>
            </w:tcBorders>
          </w:tcPr>
          <w:p w14:paraId="050E96DD" w14:textId="5D6490D2"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1.948</w:t>
            </w:r>
          </w:p>
        </w:tc>
        <w:tc>
          <w:tcPr>
            <w:tcW w:w="1179" w:type="dxa"/>
            <w:tcBorders>
              <w:top w:val="single" w:sz="4" w:space="0" w:color="auto"/>
            </w:tcBorders>
          </w:tcPr>
          <w:p w14:paraId="1BBE3FF4" w14:textId="117CD393"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-0.068</w:t>
            </w:r>
          </w:p>
        </w:tc>
        <w:tc>
          <w:tcPr>
            <w:tcW w:w="1179" w:type="dxa"/>
            <w:tcBorders>
              <w:top w:val="single" w:sz="4" w:space="0" w:color="auto"/>
            </w:tcBorders>
          </w:tcPr>
          <w:p w14:paraId="6CA838CC" w14:textId="680ED602"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0.270</w:t>
            </w:r>
          </w:p>
        </w:tc>
        <w:tc>
          <w:tcPr>
            <w:tcW w:w="1179" w:type="dxa"/>
            <w:tcBorders>
              <w:top w:val="single" w:sz="4" w:space="0" w:color="auto"/>
            </w:tcBorders>
          </w:tcPr>
          <w:p w14:paraId="0C97DD0E" w14:textId="39786391"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0.514</w:t>
            </w:r>
          </w:p>
        </w:tc>
      </w:tr>
      <w:tr w:rsidR="004E2E98" w:rsidRPr="009239F8" w14:paraId="59438242" w14:textId="77777777" w:rsidTr="00A72AA9">
        <w:trPr>
          <w:jc w:val="center"/>
        </w:trPr>
        <w:tc>
          <w:tcPr>
            <w:tcW w:w="2841" w:type="dxa"/>
            <w:tcBorders>
              <w:bottom w:val="single" w:sz="4" w:space="0" w:color="auto"/>
            </w:tcBorders>
          </w:tcPr>
          <w:p w14:paraId="041F1EC9" w14:textId="77777777"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RV</w:t>
            </w:r>
          </w:p>
        </w:tc>
        <w:tc>
          <w:tcPr>
            <w:tcW w:w="1179" w:type="dxa"/>
            <w:tcBorders>
              <w:bottom w:val="single" w:sz="4" w:space="0" w:color="auto"/>
            </w:tcBorders>
          </w:tcPr>
          <w:p w14:paraId="38ECAF0E" w14:textId="71B19E0F"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2.864</w:t>
            </w:r>
          </w:p>
        </w:tc>
        <w:tc>
          <w:tcPr>
            <w:tcW w:w="1179" w:type="dxa"/>
            <w:tcBorders>
              <w:bottom w:val="single" w:sz="4" w:space="0" w:color="auto"/>
            </w:tcBorders>
          </w:tcPr>
          <w:p w14:paraId="6B04821A" w14:textId="78226C12"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2.608</w:t>
            </w:r>
          </w:p>
        </w:tc>
        <w:tc>
          <w:tcPr>
            <w:tcW w:w="1179" w:type="dxa"/>
            <w:tcBorders>
              <w:bottom w:val="single" w:sz="4" w:space="0" w:color="auto"/>
            </w:tcBorders>
          </w:tcPr>
          <w:p w14:paraId="27000D5E" w14:textId="14CF6390"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-0.256</w:t>
            </w:r>
          </w:p>
        </w:tc>
        <w:tc>
          <w:tcPr>
            <w:tcW w:w="1179" w:type="dxa"/>
            <w:tcBorders>
              <w:bottom w:val="single" w:sz="4" w:space="0" w:color="auto"/>
            </w:tcBorders>
          </w:tcPr>
          <w:p w14:paraId="480D949B" w14:textId="736539BB"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0.257</w:t>
            </w:r>
          </w:p>
        </w:tc>
        <w:tc>
          <w:tcPr>
            <w:tcW w:w="1179" w:type="dxa"/>
            <w:tcBorders>
              <w:bottom w:val="single" w:sz="4" w:space="0" w:color="auto"/>
            </w:tcBorders>
          </w:tcPr>
          <w:p w14:paraId="4C0AE6C2" w14:textId="697AE158" w:rsidR="004E2E98" w:rsidRPr="009239F8" w:rsidRDefault="004E2E9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0.514</w:t>
            </w:r>
          </w:p>
        </w:tc>
      </w:tr>
      <w:tr w:rsidR="00151A49" w:rsidRPr="009239F8" w14:paraId="3DB43BE2" w14:textId="77777777" w:rsidTr="00A72AA9">
        <w:trPr>
          <w:jc w:val="center"/>
        </w:trPr>
        <w:tc>
          <w:tcPr>
            <w:tcW w:w="8736" w:type="dxa"/>
            <w:gridSpan w:val="6"/>
            <w:tcBorders>
              <w:top w:val="single" w:sz="4" w:space="0" w:color="auto"/>
              <w:bottom w:val="single" w:sz="4" w:space="0" w:color="auto"/>
            </w:tcBorders>
            <w:vAlign w:val="center"/>
          </w:tcPr>
          <w:p w14:paraId="0DE8F964" w14:textId="77777777" w:rsidR="00151A49" w:rsidRPr="009239F8" w:rsidRDefault="00151A49" w:rsidP="009A5B48">
            <w:pPr>
              <w:spacing w:line="480" w:lineRule="auto"/>
              <w:rPr>
                <w:rFonts w:ascii="Times New Roman" w:hAnsi="Times New Roman" w:cs="Times New Roman"/>
                <w:lang w:val="en-US"/>
              </w:rPr>
            </w:pPr>
            <w:r w:rsidRPr="009239F8">
              <w:rPr>
                <w:rFonts w:ascii="Times New Roman" w:hAnsi="Times New Roman" w:cs="Times New Roman"/>
                <w:lang w:val="en-US"/>
              </w:rPr>
              <w:t>LV longitudinal</w:t>
            </w:r>
          </w:p>
        </w:tc>
      </w:tr>
      <w:tr w:rsidR="00162571" w:rsidRPr="009239F8" w14:paraId="34EED09F" w14:textId="77777777" w:rsidTr="00A72AA9">
        <w:trPr>
          <w:jc w:val="center"/>
        </w:trPr>
        <w:tc>
          <w:tcPr>
            <w:tcW w:w="2841" w:type="dxa"/>
            <w:tcBorders>
              <w:top w:val="single" w:sz="4" w:space="0" w:color="auto"/>
            </w:tcBorders>
          </w:tcPr>
          <w:p w14:paraId="466A1CAD" w14:textId="77777777"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Basal</w:t>
            </w:r>
          </w:p>
        </w:tc>
        <w:tc>
          <w:tcPr>
            <w:tcW w:w="1179" w:type="dxa"/>
            <w:tcBorders>
              <w:top w:val="single" w:sz="4" w:space="0" w:color="auto"/>
            </w:tcBorders>
          </w:tcPr>
          <w:p w14:paraId="6FDAEEF0" w14:textId="2C03041C"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1.479</w:t>
            </w:r>
          </w:p>
        </w:tc>
        <w:tc>
          <w:tcPr>
            <w:tcW w:w="1179" w:type="dxa"/>
            <w:tcBorders>
              <w:top w:val="single" w:sz="4" w:space="0" w:color="auto"/>
            </w:tcBorders>
          </w:tcPr>
          <w:p w14:paraId="3D0D6213" w14:textId="3B72CF1C"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1.187</w:t>
            </w:r>
          </w:p>
        </w:tc>
        <w:tc>
          <w:tcPr>
            <w:tcW w:w="1179" w:type="dxa"/>
            <w:tcBorders>
              <w:top w:val="single" w:sz="4" w:space="0" w:color="auto"/>
            </w:tcBorders>
          </w:tcPr>
          <w:p w14:paraId="45785A87" w14:textId="56970370"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-0.293</w:t>
            </w:r>
          </w:p>
        </w:tc>
        <w:tc>
          <w:tcPr>
            <w:tcW w:w="1179" w:type="dxa"/>
            <w:tcBorders>
              <w:top w:val="single" w:sz="4" w:space="0" w:color="auto"/>
            </w:tcBorders>
          </w:tcPr>
          <w:p w14:paraId="3535CEE6" w14:textId="1D08C0C0"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0.116</w:t>
            </w:r>
          </w:p>
        </w:tc>
        <w:tc>
          <w:tcPr>
            <w:tcW w:w="1179" w:type="dxa"/>
            <w:tcBorders>
              <w:top w:val="single" w:sz="4" w:space="0" w:color="auto"/>
            </w:tcBorders>
          </w:tcPr>
          <w:p w14:paraId="6C4F2FEF" w14:textId="249E2204"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0.469</w:t>
            </w:r>
          </w:p>
        </w:tc>
      </w:tr>
      <w:tr w:rsidR="00162571" w:rsidRPr="009239F8" w14:paraId="0D20B1DD" w14:textId="77777777" w:rsidTr="00A72AA9">
        <w:trPr>
          <w:jc w:val="center"/>
        </w:trPr>
        <w:tc>
          <w:tcPr>
            <w:tcW w:w="2841" w:type="dxa"/>
          </w:tcPr>
          <w:p w14:paraId="48C633B6" w14:textId="77777777"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Mid</w:t>
            </w:r>
          </w:p>
        </w:tc>
        <w:tc>
          <w:tcPr>
            <w:tcW w:w="1179" w:type="dxa"/>
          </w:tcPr>
          <w:p w14:paraId="76BA9FAF" w14:textId="1196C345"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2.132</w:t>
            </w:r>
          </w:p>
        </w:tc>
        <w:tc>
          <w:tcPr>
            <w:tcW w:w="1179" w:type="dxa"/>
          </w:tcPr>
          <w:p w14:paraId="708D0338" w14:textId="79F0508B"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2.137</w:t>
            </w:r>
          </w:p>
        </w:tc>
        <w:tc>
          <w:tcPr>
            <w:tcW w:w="1179" w:type="dxa"/>
          </w:tcPr>
          <w:p w14:paraId="6CC164EA" w14:textId="51E55896"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+0.005</w:t>
            </w:r>
          </w:p>
        </w:tc>
        <w:tc>
          <w:tcPr>
            <w:tcW w:w="1179" w:type="dxa"/>
          </w:tcPr>
          <w:p w14:paraId="524962A9" w14:textId="4AFF0B8A"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0.455</w:t>
            </w:r>
          </w:p>
        </w:tc>
        <w:tc>
          <w:tcPr>
            <w:tcW w:w="1179" w:type="dxa"/>
          </w:tcPr>
          <w:p w14:paraId="645ADEC2" w14:textId="52C31063"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0.592</w:t>
            </w:r>
          </w:p>
        </w:tc>
      </w:tr>
      <w:tr w:rsidR="00162571" w:rsidRPr="009239F8" w14:paraId="0D0A8DAE" w14:textId="77777777" w:rsidTr="00A72AA9">
        <w:trPr>
          <w:jc w:val="center"/>
        </w:trPr>
        <w:tc>
          <w:tcPr>
            <w:tcW w:w="2841" w:type="dxa"/>
            <w:tcBorders>
              <w:bottom w:val="single" w:sz="4" w:space="0" w:color="auto"/>
            </w:tcBorders>
          </w:tcPr>
          <w:p w14:paraId="3A5428A7" w14:textId="77777777"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Apical</w:t>
            </w:r>
          </w:p>
        </w:tc>
        <w:tc>
          <w:tcPr>
            <w:tcW w:w="1179" w:type="dxa"/>
            <w:tcBorders>
              <w:bottom w:val="single" w:sz="4" w:space="0" w:color="auto"/>
            </w:tcBorders>
          </w:tcPr>
          <w:p w14:paraId="49A85F71" w14:textId="7FDDE31A"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2.443</w:t>
            </w:r>
          </w:p>
        </w:tc>
        <w:tc>
          <w:tcPr>
            <w:tcW w:w="1179" w:type="dxa"/>
            <w:tcBorders>
              <w:bottom w:val="single" w:sz="4" w:space="0" w:color="auto"/>
            </w:tcBorders>
          </w:tcPr>
          <w:p w14:paraId="5B62448C" w14:textId="065FAF42"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2.465</w:t>
            </w:r>
          </w:p>
        </w:tc>
        <w:tc>
          <w:tcPr>
            <w:tcW w:w="1179" w:type="dxa"/>
            <w:tcBorders>
              <w:bottom w:val="single" w:sz="4" w:space="0" w:color="auto"/>
            </w:tcBorders>
          </w:tcPr>
          <w:p w14:paraId="63EC882C" w14:textId="031075D1"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+0.022</w:t>
            </w:r>
          </w:p>
        </w:tc>
        <w:tc>
          <w:tcPr>
            <w:tcW w:w="1179" w:type="dxa"/>
            <w:tcBorders>
              <w:bottom w:val="single" w:sz="4" w:space="0" w:color="auto"/>
            </w:tcBorders>
          </w:tcPr>
          <w:p w14:paraId="0430ED9C" w14:textId="7F56C60E"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0.481</w:t>
            </w:r>
          </w:p>
        </w:tc>
        <w:tc>
          <w:tcPr>
            <w:tcW w:w="1179" w:type="dxa"/>
            <w:tcBorders>
              <w:bottom w:val="single" w:sz="4" w:space="0" w:color="auto"/>
            </w:tcBorders>
          </w:tcPr>
          <w:p w14:paraId="6418232E" w14:textId="718B3FC9" w:rsidR="00162571" w:rsidRPr="009239F8" w:rsidRDefault="001625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0.592</w:t>
            </w:r>
          </w:p>
        </w:tc>
      </w:tr>
      <w:tr w:rsidR="00151A49" w:rsidRPr="009239F8" w14:paraId="7598225F" w14:textId="77777777" w:rsidTr="00A72AA9">
        <w:trPr>
          <w:jc w:val="center"/>
        </w:trPr>
        <w:tc>
          <w:tcPr>
            <w:tcW w:w="8736" w:type="dxa"/>
            <w:gridSpan w:val="6"/>
            <w:tcBorders>
              <w:top w:val="single" w:sz="4" w:space="0" w:color="auto"/>
              <w:bottom w:val="single" w:sz="4" w:space="0" w:color="auto"/>
            </w:tcBorders>
            <w:vAlign w:val="center"/>
          </w:tcPr>
          <w:p w14:paraId="68EA0A40" w14:textId="77777777" w:rsidR="00151A49" w:rsidRPr="009239F8" w:rsidRDefault="00151A49" w:rsidP="009A5B48">
            <w:pPr>
              <w:spacing w:line="480" w:lineRule="auto"/>
              <w:rPr>
                <w:rFonts w:ascii="Times New Roman" w:hAnsi="Times New Roman" w:cs="Times New Roman"/>
                <w:lang w:val="en-US"/>
              </w:rPr>
            </w:pPr>
            <w:r w:rsidRPr="009239F8">
              <w:rPr>
                <w:rFonts w:ascii="Times New Roman" w:hAnsi="Times New Roman" w:cs="Times New Roman"/>
                <w:lang w:val="en-US"/>
              </w:rPr>
              <w:t>RV longitudinal</w:t>
            </w:r>
          </w:p>
        </w:tc>
      </w:tr>
      <w:tr w:rsidR="00B72F71" w:rsidRPr="009239F8" w14:paraId="712D72B0" w14:textId="77777777" w:rsidTr="00A72AA9">
        <w:trPr>
          <w:jc w:val="center"/>
        </w:trPr>
        <w:tc>
          <w:tcPr>
            <w:tcW w:w="2841" w:type="dxa"/>
            <w:tcBorders>
              <w:top w:val="single" w:sz="4" w:space="0" w:color="auto"/>
            </w:tcBorders>
          </w:tcPr>
          <w:p w14:paraId="686B90A5" w14:textId="77777777"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Basal</w:t>
            </w:r>
          </w:p>
        </w:tc>
        <w:tc>
          <w:tcPr>
            <w:tcW w:w="1179" w:type="dxa"/>
            <w:tcBorders>
              <w:top w:val="single" w:sz="4" w:space="0" w:color="auto"/>
            </w:tcBorders>
          </w:tcPr>
          <w:p w14:paraId="0198E6C8" w14:textId="2DF97989"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2.136</w:t>
            </w:r>
          </w:p>
        </w:tc>
        <w:tc>
          <w:tcPr>
            <w:tcW w:w="1179" w:type="dxa"/>
            <w:tcBorders>
              <w:top w:val="single" w:sz="4" w:space="0" w:color="auto"/>
            </w:tcBorders>
          </w:tcPr>
          <w:p w14:paraId="61DA3C27" w14:textId="742826A8"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1.339</w:t>
            </w:r>
          </w:p>
        </w:tc>
        <w:tc>
          <w:tcPr>
            <w:tcW w:w="1179" w:type="dxa"/>
            <w:tcBorders>
              <w:top w:val="single" w:sz="4" w:space="0" w:color="auto"/>
            </w:tcBorders>
          </w:tcPr>
          <w:p w14:paraId="0C429889" w14:textId="54D1378F"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-0.797</w:t>
            </w:r>
          </w:p>
        </w:tc>
        <w:tc>
          <w:tcPr>
            <w:tcW w:w="1179" w:type="dxa"/>
            <w:tcBorders>
              <w:top w:val="single" w:sz="4" w:space="0" w:color="auto"/>
            </w:tcBorders>
          </w:tcPr>
          <w:p w14:paraId="71E28214" w14:textId="1CC2587B"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0.131</w:t>
            </w:r>
          </w:p>
        </w:tc>
        <w:tc>
          <w:tcPr>
            <w:tcW w:w="1179" w:type="dxa"/>
            <w:tcBorders>
              <w:top w:val="single" w:sz="4" w:space="0" w:color="auto"/>
            </w:tcBorders>
          </w:tcPr>
          <w:p w14:paraId="19A52FF4" w14:textId="4E3F2E92"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0.469</w:t>
            </w:r>
          </w:p>
        </w:tc>
      </w:tr>
      <w:tr w:rsidR="00B72F71" w:rsidRPr="009239F8" w14:paraId="58103967" w14:textId="77777777" w:rsidTr="00A72AA9">
        <w:trPr>
          <w:jc w:val="center"/>
        </w:trPr>
        <w:tc>
          <w:tcPr>
            <w:tcW w:w="2841" w:type="dxa"/>
          </w:tcPr>
          <w:p w14:paraId="7795BBFA" w14:textId="77777777"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Mid</w:t>
            </w:r>
          </w:p>
        </w:tc>
        <w:tc>
          <w:tcPr>
            <w:tcW w:w="1179" w:type="dxa"/>
          </w:tcPr>
          <w:p w14:paraId="46595158" w14:textId="2627589D"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2.881</w:t>
            </w:r>
          </w:p>
        </w:tc>
        <w:tc>
          <w:tcPr>
            <w:tcW w:w="1179" w:type="dxa"/>
          </w:tcPr>
          <w:p w14:paraId="6B92699E" w14:textId="04B56FBE"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2.891</w:t>
            </w:r>
          </w:p>
        </w:tc>
        <w:tc>
          <w:tcPr>
            <w:tcW w:w="1179" w:type="dxa"/>
          </w:tcPr>
          <w:p w14:paraId="6AEACBA1" w14:textId="0D06D789"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+0.009</w:t>
            </w:r>
          </w:p>
        </w:tc>
        <w:tc>
          <w:tcPr>
            <w:tcW w:w="1179" w:type="dxa"/>
          </w:tcPr>
          <w:p w14:paraId="4C92DBCB" w14:textId="0740BF29"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0.620</w:t>
            </w:r>
          </w:p>
        </w:tc>
        <w:tc>
          <w:tcPr>
            <w:tcW w:w="1179" w:type="dxa"/>
          </w:tcPr>
          <w:p w14:paraId="3906E1C6" w14:textId="3DE7D128"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0.620</w:t>
            </w:r>
          </w:p>
        </w:tc>
      </w:tr>
      <w:tr w:rsidR="00B72F71" w:rsidRPr="009239F8" w14:paraId="479B5C18" w14:textId="77777777" w:rsidTr="00A72AA9">
        <w:trPr>
          <w:jc w:val="center"/>
        </w:trPr>
        <w:tc>
          <w:tcPr>
            <w:tcW w:w="2841" w:type="dxa"/>
            <w:tcBorders>
              <w:bottom w:val="single" w:sz="4" w:space="0" w:color="auto"/>
            </w:tcBorders>
          </w:tcPr>
          <w:p w14:paraId="01770168" w14:textId="77777777"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Apical</w:t>
            </w:r>
          </w:p>
        </w:tc>
        <w:tc>
          <w:tcPr>
            <w:tcW w:w="1179" w:type="dxa"/>
            <w:tcBorders>
              <w:bottom w:val="single" w:sz="4" w:space="0" w:color="auto"/>
            </w:tcBorders>
          </w:tcPr>
          <w:p w14:paraId="4D7DB637" w14:textId="16DBEB5A"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3.280</w:t>
            </w:r>
          </w:p>
        </w:tc>
        <w:tc>
          <w:tcPr>
            <w:tcW w:w="1179" w:type="dxa"/>
            <w:tcBorders>
              <w:bottom w:val="single" w:sz="4" w:space="0" w:color="auto"/>
            </w:tcBorders>
          </w:tcPr>
          <w:p w14:paraId="6AC4481A" w14:textId="7D038415"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3.315</w:t>
            </w:r>
          </w:p>
        </w:tc>
        <w:tc>
          <w:tcPr>
            <w:tcW w:w="1179" w:type="dxa"/>
            <w:tcBorders>
              <w:bottom w:val="single" w:sz="4" w:space="0" w:color="auto"/>
            </w:tcBorders>
          </w:tcPr>
          <w:p w14:paraId="070EF6E0" w14:textId="0F51EE10"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+0.035</w:t>
            </w:r>
          </w:p>
        </w:tc>
        <w:tc>
          <w:tcPr>
            <w:tcW w:w="1179" w:type="dxa"/>
            <w:tcBorders>
              <w:bottom w:val="single" w:sz="4" w:space="0" w:color="auto"/>
            </w:tcBorders>
          </w:tcPr>
          <w:p w14:paraId="6421925D" w14:textId="6C50BF4F"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0.562</w:t>
            </w:r>
          </w:p>
        </w:tc>
        <w:tc>
          <w:tcPr>
            <w:tcW w:w="1179" w:type="dxa"/>
            <w:tcBorders>
              <w:bottom w:val="single" w:sz="4" w:space="0" w:color="auto"/>
            </w:tcBorders>
          </w:tcPr>
          <w:p w14:paraId="76F8F351" w14:textId="4CEF09CB" w:rsidR="00B72F71" w:rsidRPr="009239F8" w:rsidRDefault="00B72F7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0.605</w:t>
            </w:r>
          </w:p>
        </w:tc>
      </w:tr>
      <w:tr w:rsidR="00151A49" w:rsidRPr="009239F8" w14:paraId="6E59C35D" w14:textId="77777777" w:rsidTr="00A72AA9">
        <w:trPr>
          <w:jc w:val="center"/>
        </w:trPr>
        <w:tc>
          <w:tcPr>
            <w:tcW w:w="8736" w:type="dxa"/>
            <w:gridSpan w:val="6"/>
            <w:tcBorders>
              <w:top w:val="single" w:sz="4" w:space="0" w:color="auto"/>
              <w:bottom w:val="single" w:sz="4" w:space="0" w:color="auto"/>
            </w:tcBorders>
          </w:tcPr>
          <w:p w14:paraId="2E28CD53" w14:textId="77777777" w:rsidR="00151A49" w:rsidRPr="009239F8" w:rsidRDefault="00151A49" w:rsidP="009A5B48">
            <w:pPr>
              <w:spacing w:line="480" w:lineRule="auto"/>
              <w:rPr>
                <w:rFonts w:ascii="Times New Roman" w:hAnsi="Times New Roman" w:cs="Times New Roman"/>
                <w:lang w:val="en-US"/>
              </w:rPr>
            </w:pPr>
            <w:r w:rsidRPr="009239F8">
              <w:rPr>
                <w:rFonts w:ascii="Times New Roman" w:hAnsi="Times New Roman" w:cs="Times New Roman"/>
                <w:lang w:val="en-US"/>
              </w:rPr>
              <w:t>LV circumferential</w:t>
            </w:r>
          </w:p>
        </w:tc>
      </w:tr>
      <w:tr w:rsidR="00E56397" w:rsidRPr="009239F8" w14:paraId="072E31C4" w14:textId="77777777" w:rsidTr="00A72AA9">
        <w:trPr>
          <w:jc w:val="center"/>
        </w:trPr>
        <w:tc>
          <w:tcPr>
            <w:tcW w:w="2841" w:type="dxa"/>
            <w:tcBorders>
              <w:top w:val="single" w:sz="4" w:space="0" w:color="auto"/>
            </w:tcBorders>
          </w:tcPr>
          <w:p w14:paraId="04A8BB4D" w14:textId="77777777"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Lateral</w:t>
            </w:r>
          </w:p>
        </w:tc>
        <w:tc>
          <w:tcPr>
            <w:tcW w:w="1179" w:type="dxa"/>
            <w:tcBorders>
              <w:top w:val="single" w:sz="4" w:space="0" w:color="auto"/>
            </w:tcBorders>
          </w:tcPr>
          <w:p w14:paraId="58263DD5" w14:textId="48F6D3FB"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2.280</w:t>
            </w:r>
          </w:p>
        </w:tc>
        <w:tc>
          <w:tcPr>
            <w:tcW w:w="1179" w:type="dxa"/>
            <w:tcBorders>
              <w:top w:val="single" w:sz="4" w:space="0" w:color="auto"/>
            </w:tcBorders>
          </w:tcPr>
          <w:p w14:paraId="4E1EEB72" w14:textId="6AF2FA19"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2.030</w:t>
            </w:r>
          </w:p>
        </w:tc>
        <w:tc>
          <w:tcPr>
            <w:tcW w:w="1179" w:type="dxa"/>
            <w:tcBorders>
              <w:top w:val="single" w:sz="4" w:space="0" w:color="auto"/>
            </w:tcBorders>
          </w:tcPr>
          <w:p w14:paraId="133B50CE" w14:textId="4D2497BF"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-0.249</w:t>
            </w:r>
          </w:p>
        </w:tc>
        <w:tc>
          <w:tcPr>
            <w:tcW w:w="1179" w:type="dxa"/>
            <w:tcBorders>
              <w:top w:val="single" w:sz="4" w:space="0" w:color="auto"/>
            </w:tcBorders>
          </w:tcPr>
          <w:p w14:paraId="6597A0E3" w14:textId="74E4B0F0"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0.294</w:t>
            </w:r>
          </w:p>
        </w:tc>
        <w:tc>
          <w:tcPr>
            <w:tcW w:w="1179" w:type="dxa"/>
            <w:tcBorders>
              <w:top w:val="single" w:sz="4" w:space="0" w:color="auto"/>
            </w:tcBorders>
          </w:tcPr>
          <w:p w14:paraId="05040B32" w14:textId="2B253A7F"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0.514</w:t>
            </w:r>
          </w:p>
        </w:tc>
      </w:tr>
      <w:tr w:rsidR="00E56397" w:rsidRPr="009239F8" w14:paraId="2DA7E8B5" w14:textId="77777777" w:rsidTr="00A72AA9">
        <w:trPr>
          <w:jc w:val="center"/>
        </w:trPr>
        <w:tc>
          <w:tcPr>
            <w:tcW w:w="2841" w:type="dxa"/>
          </w:tcPr>
          <w:p w14:paraId="1237F350" w14:textId="77777777"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Inferior</w:t>
            </w:r>
          </w:p>
        </w:tc>
        <w:tc>
          <w:tcPr>
            <w:tcW w:w="1179" w:type="dxa"/>
          </w:tcPr>
          <w:p w14:paraId="077E0601" w14:textId="613D90A0"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2.227</w:t>
            </w:r>
          </w:p>
        </w:tc>
        <w:tc>
          <w:tcPr>
            <w:tcW w:w="1179" w:type="dxa"/>
          </w:tcPr>
          <w:p w14:paraId="08B901D9" w14:textId="2F19C368"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2.027</w:t>
            </w:r>
          </w:p>
        </w:tc>
        <w:tc>
          <w:tcPr>
            <w:tcW w:w="1179" w:type="dxa"/>
          </w:tcPr>
          <w:p w14:paraId="3C889F20" w14:textId="29C537B4"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-0.200</w:t>
            </w:r>
          </w:p>
        </w:tc>
        <w:tc>
          <w:tcPr>
            <w:tcW w:w="1179" w:type="dxa"/>
          </w:tcPr>
          <w:p w14:paraId="604D586D" w14:textId="5222BC09"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0.478</w:t>
            </w:r>
          </w:p>
        </w:tc>
        <w:tc>
          <w:tcPr>
            <w:tcW w:w="1179" w:type="dxa"/>
          </w:tcPr>
          <w:p w14:paraId="12464A95" w14:textId="7335EBD0"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0.592</w:t>
            </w:r>
          </w:p>
        </w:tc>
      </w:tr>
      <w:tr w:rsidR="00E56397" w:rsidRPr="009239F8" w14:paraId="0591110C" w14:textId="77777777" w:rsidTr="00A72AA9">
        <w:trPr>
          <w:jc w:val="center"/>
        </w:trPr>
        <w:tc>
          <w:tcPr>
            <w:tcW w:w="2841" w:type="dxa"/>
            <w:tcBorders>
              <w:bottom w:val="single" w:sz="4" w:space="0" w:color="auto"/>
            </w:tcBorders>
          </w:tcPr>
          <w:p w14:paraId="1D973289" w14:textId="77777777"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Anterior</w:t>
            </w:r>
          </w:p>
        </w:tc>
        <w:tc>
          <w:tcPr>
            <w:tcW w:w="1179" w:type="dxa"/>
            <w:tcBorders>
              <w:bottom w:val="single" w:sz="4" w:space="0" w:color="auto"/>
            </w:tcBorders>
          </w:tcPr>
          <w:p w14:paraId="4C7A6FE2" w14:textId="4DA37E04"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2.386</w:t>
            </w:r>
          </w:p>
        </w:tc>
        <w:tc>
          <w:tcPr>
            <w:tcW w:w="1179" w:type="dxa"/>
            <w:tcBorders>
              <w:bottom w:val="single" w:sz="4" w:space="0" w:color="auto"/>
            </w:tcBorders>
          </w:tcPr>
          <w:p w14:paraId="10232133" w14:textId="177F7A4B"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1.765</w:t>
            </w:r>
          </w:p>
        </w:tc>
        <w:tc>
          <w:tcPr>
            <w:tcW w:w="1179" w:type="dxa"/>
            <w:tcBorders>
              <w:bottom w:val="single" w:sz="4" w:space="0" w:color="auto"/>
            </w:tcBorders>
          </w:tcPr>
          <w:p w14:paraId="2EBD4AD0" w14:textId="19EDBEFD"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-0.621</w:t>
            </w:r>
          </w:p>
        </w:tc>
        <w:tc>
          <w:tcPr>
            <w:tcW w:w="1179" w:type="dxa"/>
            <w:tcBorders>
              <w:bottom w:val="single" w:sz="4" w:space="0" w:color="auto"/>
            </w:tcBorders>
          </w:tcPr>
          <w:p w14:paraId="2EEBEAA0" w14:textId="1EC311AD"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0.107</w:t>
            </w:r>
          </w:p>
        </w:tc>
        <w:tc>
          <w:tcPr>
            <w:tcW w:w="1179" w:type="dxa"/>
            <w:tcBorders>
              <w:bottom w:val="single" w:sz="4" w:space="0" w:color="auto"/>
            </w:tcBorders>
          </w:tcPr>
          <w:p w14:paraId="2B94C688" w14:textId="12428507" w:rsidR="00E56397" w:rsidRPr="009239F8" w:rsidRDefault="00E56397"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0.469</w:t>
            </w:r>
          </w:p>
        </w:tc>
      </w:tr>
      <w:tr w:rsidR="00151A49" w:rsidRPr="009239F8" w14:paraId="3E6AD7A8" w14:textId="77777777" w:rsidTr="00A72AA9">
        <w:trPr>
          <w:jc w:val="center"/>
        </w:trPr>
        <w:tc>
          <w:tcPr>
            <w:tcW w:w="8736" w:type="dxa"/>
            <w:gridSpan w:val="6"/>
            <w:tcBorders>
              <w:top w:val="single" w:sz="4" w:space="0" w:color="auto"/>
              <w:bottom w:val="single" w:sz="4" w:space="0" w:color="auto"/>
            </w:tcBorders>
            <w:vAlign w:val="center"/>
          </w:tcPr>
          <w:p w14:paraId="2947B155" w14:textId="77777777" w:rsidR="00151A49" w:rsidRPr="009239F8" w:rsidRDefault="00151A49" w:rsidP="009A5B48">
            <w:pPr>
              <w:spacing w:line="480" w:lineRule="auto"/>
              <w:rPr>
                <w:rFonts w:ascii="Times New Roman" w:hAnsi="Times New Roman" w:cs="Times New Roman"/>
                <w:lang w:val="en-US"/>
              </w:rPr>
            </w:pPr>
            <w:r w:rsidRPr="009239F8">
              <w:rPr>
                <w:rFonts w:ascii="Times New Roman" w:hAnsi="Times New Roman" w:cs="Times New Roman"/>
                <w:lang w:val="en-US"/>
              </w:rPr>
              <w:t>RV circumferential</w:t>
            </w:r>
          </w:p>
        </w:tc>
      </w:tr>
      <w:tr w:rsidR="00CB3006" w:rsidRPr="009239F8" w14:paraId="1421C2C1" w14:textId="77777777" w:rsidTr="00A72AA9">
        <w:trPr>
          <w:jc w:val="center"/>
        </w:trPr>
        <w:tc>
          <w:tcPr>
            <w:tcW w:w="2841" w:type="dxa"/>
            <w:tcBorders>
              <w:top w:val="single" w:sz="4" w:space="0" w:color="auto"/>
            </w:tcBorders>
          </w:tcPr>
          <w:p w14:paraId="23E01057" w14:textId="77777777"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Lateral</w:t>
            </w:r>
          </w:p>
        </w:tc>
        <w:tc>
          <w:tcPr>
            <w:tcW w:w="1179" w:type="dxa"/>
            <w:tcBorders>
              <w:top w:val="single" w:sz="4" w:space="0" w:color="auto"/>
            </w:tcBorders>
          </w:tcPr>
          <w:p w14:paraId="65DF97F2" w14:textId="2C279EFA"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2.896</w:t>
            </w:r>
          </w:p>
        </w:tc>
        <w:tc>
          <w:tcPr>
            <w:tcW w:w="1179" w:type="dxa"/>
            <w:tcBorders>
              <w:top w:val="single" w:sz="4" w:space="0" w:color="auto"/>
            </w:tcBorders>
          </w:tcPr>
          <w:p w14:paraId="4DD4FD8C" w14:textId="3FCC518D"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2.717</w:t>
            </w:r>
          </w:p>
        </w:tc>
        <w:tc>
          <w:tcPr>
            <w:tcW w:w="1179" w:type="dxa"/>
            <w:tcBorders>
              <w:top w:val="single" w:sz="4" w:space="0" w:color="auto"/>
            </w:tcBorders>
          </w:tcPr>
          <w:p w14:paraId="7F0FCD81" w14:textId="5FFEBE31"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-0.179</w:t>
            </w:r>
          </w:p>
        </w:tc>
        <w:tc>
          <w:tcPr>
            <w:tcW w:w="1179" w:type="dxa"/>
            <w:tcBorders>
              <w:top w:val="single" w:sz="4" w:space="0" w:color="auto"/>
            </w:tcBorders>
          </w:tcPr>
          <w:p w14:paraId="1C4BD26A" w14:textId="4A30D7CF"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0.270</w:t>
            </w:r>
          </w:p>
        </w:tc>
        <w:tc>
          <w:tcPr>
            <w:tcW w:w="1179" w:type="dxa"/>
            <w:tcBorders>
              <w:top w:val="single" w:sz="4" w:space="0" w:color="auto"/>
            </w:tcBorders>
          </w:tcPr>
          <w:p w14:paraId="23D3EC6C" w14:textId="37512A9B"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0.514</w:t>
            </w:r>
          </w:p>
        </w:tc>
      </w:tr>
      <w:tr w:rsidR="00CB3006" w:rsidRPr="009239F8" w14:paraId="7761F315" w14:textId="77777777" w:rsidTr="00A72AA9">
        <w:trPr>
          <w:jc w:val="center"/>
        </w:trPr>
        <w:tc>
          <w:tcPr>
            <w:tcW w:w="2841" w:type="dxa"/>
          </w:tcPr>
          <w:p w14:paraId="6E391F95" w14:textId="77777777"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Inferior</w:t>
            </w:r>
          </w:p>
        </w:tc>
        <w:tc>
          <w:tcPr>
            <w:tcW w:w="1179" w:type="dxa"/>
          </w:tcPr>
          <w:p w14:paraId="207D7D2F" w14:textId="238BE5F1"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2.556</w:t>
            </w:r>
          </w:p>
        </w:tc>
        <w:tc>
          <w:tcPr>
            <w:tcW w:w="1179" w:type="dxa"/>
          </w:tcPr>
          <w:p w14:paraId="093836D7" w14:textId="4AD3A8E2"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2.372</w:t>
            </w:r>
          </w:p>
        </w:tc>
        <w:tc>
          <w:tcPr>
            <w:tcW w:w="1179" w:type="dxa"/>
          </w:tcPr>
          <w:p w14:paraId="4C9C8383" w14:textId="43A767F3"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-0.184</w:t>
            </w:r>
          </w:p>
        </w:tc>
        <w:tc>
          <w:tcPr>
            <w:tcW w:w="1179" w:type="dxa"/>
          </w:tcPr>
          <w:p w14:paraId="2B6E1547" w14:textId="7FD6C485"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0.507</w:t>
            </w:r>
          </w:p>
        </w:tc>
        <w:tc>
          <w:tcPr>
            <w:tcW w:w="1179" w:type="dxa"/>
          </w:tcPr>
          <w:p w14:paraId="393312B8" w14:textId="0451B38C"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0.592</w:t>
            </w:r>
          </w:p>
        </w:tc>
      </w:tr>
      <w:tr w:rsidR="00CB3006" w:rsidRPr="009239F8" w14:paraId="3C758444" w14:textId="77777777" w:rsidTr="00A72AA9">
        <w:trPr>
          <w:jc w:val="center"/>
        </w:trPr>
        <w:tc>
          <w:tcPr>
            <w:tcW w:w="2841" w:type="dxa"/>
            <w:tcBorders>
              <w:bottom w:val="single" w:sz="4" w:space="0" w:color="auto"/>
            </w:tcBorders>
          </w:tcPr>
          <w:p w14:paraId="03B76F75" w14:textId="77777777"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Anterior</w:t>
            </w:r>
          </w:p>
        </w:tc>
        <w:tc>
          <w:tcPr>
            <w:tcW w:w="1179" w:type="dxa"/>
            <w:tcBorders>
              <w:bottom w:val="single" w:sz="4" w:space="0" w:color="auto"/>
            </w:tcBorders>
          </w:tcPr>
          <w:p w14:paraId="2F3B94AD" w14:textId="5ABDA13E"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3.358</w:t>
            </w:r>
          </w:p>
        </w:tc>
        <w:tc>
          <w:tcPr>
            <w:tcW w:w="1179" w:type="dxa"/>
            <w:tcBorders>
              <w:bottom w:val="single" w:sz="4" w:space="0" w:color="auto"/>
            </w:tcBorders>
          </w:tcPr>
          <w:p w14:paraId="1BC37B07" w14:textId="198EBAD7"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2.781</w:t>
            </w:r>
          </w:p>
        </w:tc>
        <w:tc>
          <w:tcPr>
            <w:tcW w:w="1179" w:type="dxa"/>
            <w:tcBorders>
              <w:bottom w:val="single" w:sz="4" w:space="0" w:color="auto"/>
            </w:tcBorders>
          </w:tcPr>
          <w:p w14:paraId="35538EA4" w14:textId="5B9BD018"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-0.577</w:t>
            </w:r>
          </w:p>
        </w:tc>
        <w:tc>
          <w:tcPr>
            <w:tcW w:w="1179" w:type="dxa"/>
            <w:tcBorders>
              <w:bottom w:val="single" w:sz="4" w:space="0" w:color="auto"/>
            </w:tcBorders>
          </w:tcPr>
          <w:p w14:paraId="6193EDE9" w14:textId="37BE7E31" w:rsidR="00CB3006" w:rsidRPr="009239F8" w:rsidRDefault="00CB3006"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0.134</w:t>
            </w:r>
          </w:p>
        </w:tc>
        <w:tc>
          <w:tcPr>
            <w:tcW w:w="1179" w:type="dxa"/>
            <w:tcBorders>
              <w:bottom w:val="single" w:sz="4" w:space="0" w:color="auto"/>
            </w:tcBorders>
          </w:tcPr>
          <w:p w14:paraId="031AF6AA" w14:textId="598EE94D" w:rsidR="00CB3006" w:rsidRPr="009239F8" w:rsidRDefault="00CB3006" w:rsidP="009A5B48">
            <w:pPr>
              <w:keepNext/>
              <w:spacing w:line="480" w:lineRule="auto"/>
              <w:jc w:val="center"/>
              <w:rPr>
                <w:rFonts w:ascii="Times New Roman" w:hAnsi="Times New Roman" w:cs="Times New Roman"/>
                <w:lang w:val="en-US"/>
              </w:rPr>
            </w:pPr>
            <w:r w:rsidRPr="009239F8">
              <w:rPr>
                <w:rFonts w:ascii="Times New Roman" w:hAnsi="Times New Roman" w:cs="Times New Roman"/>
                <w:lang w:val="en-US"/>
              </w:rPr>
              <w:t>0.469</w:t>
            </w:r>
          </w:p>
        </w:tc>
      </w:tr>
    </w:tbl>
    <w:p w14:paraId="067A923F" w14:textId="6E46AF2A" w:rsidR="005D2CF3" w:rsidRPr="009239F8" w:rsidRDefault="005D2CF3" w:rsidP="009A5B48">
      <w:pPr>
        <w:pStyle w:val="Heading3"/>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S8.4: Aging repolarization comparison</w:t>
      </w:r>
    </w:p>
    <w:p w14:paraId="364A9D0C" w14:textId="40469FE6" w:rsidR="00083027" w:rsidRPr="009239F8" w:rsidRDefault="00CF7E51" w:rsidP="009A5B48">
      <w:pPr>
        <w:spacing w:line="480" w:lineRule="auto"/>
        <w:jc w:val="both"/>
        <w:rPr>
          <w:rFonts w:ascii="Times New Roman" w:hAnsi="Times New Roman" w:cs="Times New Roman"/>
          <w:lang w:val="en-US"/>
        </w:rPr>
      </w:pPr>
      <w:r w:rsidRPr="009239F8">
        <w:rPr>
          <w:rFonts w:ascii="Times New Roman" w:hAnsi="Times New Roman" w:cs="Times New Roman"/>
          <w:b/>
          <w:bCs/>
          <w:lang w:val="en-US"/>
        </w:rPr>
        <w:fldChar w:fldCharType="begin"/>
      </w:r>
      <w:r w:rsidRPr="009239F8">
        <w:rPr>
          <w:rFonts w:ascii="Times New Roman" w:hAnsi="Times New Roman" w:cs="Times New Roman"/>
          <w:lang w:val="en-US"/>
        </w:rPr>
        <w:instrText xml:space="preserve"> REF _Ref232697432 \h </w:instrText>
      </w:r>
      <w:r w:rsidR="00886597" w:rsidRPr="009239F8">
        <w:rPr>
          <w:rFonts w:ascii="Times New Roman" w:hAnsi="Times New Roman" w:cs="Times New Roman"/>
          <w:b/>
          <w:bCs/>
          <w:lang w:val="en-US"/>
        </w:rPr>
        <w:instrText xml:space="preserve"> \* MERGEFORMAT </w:instrText>
      </w:r>
      <w:r w:rsidRPr="009239F8">
        <w:rPr>
          <w:rFonts w:ascii="Times New Roman" w:hAnsi="Times New Roman" w:cs="Times New Roman"/>
          <w:b/>
          <w:bCs/>
          <w:lang w:val="en-US"/>
        </w:rPr>
      </w:r>
      <w:r w:rsidRPr="009239F8">
        <w:rPr>
          <w:rFonts w:ascii="Times New Roman" w:hAnsi="Times New Roman" w:cs="Times New Roman"/>
          <w:b/>
          <w:bCs/>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bCs/>
          <w:noProof/>
          <w:lang w:val="en-US"/>
        </w:rPr>
        <w:t>10</w:t>
      </w:r>
      <w:r w:rsidRPr="009239F8">
        <w:rPr>
          <w:rFonts w:ascii="Times New Roman" w:hAnsi="Times New Roman" w:cs="Times New Roman"/>
          <w:b/>
          <w:bCs/>
          <w:lang w:val="en-US"/>
        </w:rPr>
        <w:fldChar w:fldCharType="end"/>
      </w:r>
      <w:r w:rsidRPr="009239F8">
        <w:rPr>
          <w:rFonts w:ascii="Times New Roman" w:hAnsi="Times New Roman" w:cs="Times New Roman"/>
          <w:b/>
          <w:bCs/>
          <w:lang w:val="en-US"/>
        </w:rPr>
        <w:t xml:space="preserve"> </w:t>
      </w:r>
      <w:r w:rsidRPr="009239F8">
        <w:rPr>
          <w:rFonts w:ascii="Times New Roman" w:hAnsi="Times New Roman" w:cs="Times New Roman"/>
          <w:lang w:val="en-US"/>
        </w:rPr>
        <w:t xml:space="preserve">reports the region-level differences in AgR compensation class prevalence between the healthy and eHTN cohorts. </w:t>
      </w:r>
      <w:r w:rsidR="00F376AD" w:rsidRPr="009239F8">
        <w:rPr>
          <w:rFonts w:ascii="Times New Roman" w:hAnsi="Times New Roman" w:cs="Times New Roman"/>
          <w:lang w:val="en-US"/>
        </w:rPr>
        <w:t>A global directional trend toward increased AgR</w:t>
      </w:r>
      <w:r w:rsidR="00F376AD" w:rsidRPr="009239F8">
        <w:rPr>
          <w:rFonts w:ascii="Times New Roman" w:hAnsi="Times New Roman" w:cs="Times New Roman"/>
          <w:vertAlign w:val="superscript"/>
          <w:lang w:val="en-US"/>
        </w:rPr>
        <w:t>↑</w:t>
      </w:r>
      <w:r w:rsidR="00F376AD" w:rsidRPr="009239F8">
        <w:rPr>
          <w:rFonts w:ascii="Times New Roman" w:hAnsi="Times New Roman" w:cs="Times New Roman"/>
          <w:lang w:val="en-US"/>
        </w:rPr>
        <w:t xml:space="preserve"> and reduced AgR</w:t>
      </w:r>
      <w:r w:rsidR="00F376AD" w:rsidRPr="009239F8">
        <w:rPr>
          <w:rFonts w:ascii="Times New Roman" w:hAnsi="Times New Roman" w:cs="Times New Roman"/>
          <w:vertAlign w:val="superscript"/>
          <w:lang w:val="en-US"/>
        </w:rPr>
        <w:t>↓</w:t>
      </w:r>
      <w:r w:rsidR="00F376AD" w:rsidRPr="009239F8">
        <w:rPr>
          <w:rFonts w:ascii="Times New Roman" w:hAnsi="Times New Roman" w:cs="Times New Roman"/>
          <w:lang w:val="en-US"/>
        </w:rPr>
        <w:t xml:space="preserve"> was observed in the eHTN group across most regions. The largest increase in AgR</w:t>
      </w:r>
      <w:r w:rsidR="00F376AD" w:rsidRPr="009239F8">
        <w:rPr>
          <w:rFonts w:ascii="Times New Roman" w:hAnsi="Times New Roman" w:cs="Times New Roman"/>
          <w:vertAlign w:val="superscript"/>
          <w:lang w:val="en-US"/>
        </w:rPr>
        <w:t>↑</w:t>
      </w:r>
      <w:r w:rsidR="00F376AD" w:rsidRPr="009239F8">
        <w:rPr>
          <w:rFonts w:ascii="Times New Roman" w:hAnsi="Times New Roman" w:cs="Times New Roman"/>
          <w:lang w:val="en-US"/>
        </w:rPr>
        <w:t xml:space="preserve"> was observed in the RV basal longitudinal region (+28.22 pp), followed by the LV basal longitudinal region (+24.73 pp). The most pronounced reductions in AgR</w:t>
      </w:r>
      <w:r w:rsidR="00F376AD" w:rsidRPr="009239F8">
        <w:rPr>
          <w:rFonts w:ascii="Times New Roman" w:hAnsi="Times New Roman" w:cs="Times New Roman"/>
          <w:vertAlign w:val="superscript"/>
          <w:lang w:val="en-US"/>
        </w:rPr>
        <w:t>↓</w:t>
      </w:r>
      <w:r w:rsidR="00F376AD" w:rsidRPr="009239F8">
        <w:rPr>
          <w:rFonts w:ascii="Times New Roman" w:hAnsi="Times New Roman" w:cs="Times New Roman"/>
          <w:lang w:val="en-US"/>
        </w:rPr>
        <w:t xml:space="preserve"> were found in the RV anterior circumferential region (−37.42 pp) and the RV inferior circumferential region (−31.18 pp). Despite the magnitude of some regional differences, none reached statistical significance after Benjamini–Hochberg correction. The overall predominance of positive AgR</w:t>
      </w:r>
      <w:r w:rsidR="00F376AD" w:rsidRPr="009239F8">
        <w:rPr>
          <w:rFonts w:ascii="Times New Roman" w:hAnsi="Times New Roman" w:cs="Times New Roman"/>
          <w:vertAlign w:val="superscript"/>
          <w:lang w:val="en-US"/>
        </w:rPr>
        <w:t>↑</w:t>
      </w:r>
      <w:r w:rsidR="00F376AD" w:rsidRPr="009239F8">
        <w:rPr>
          <w:rFonts w:ascii="Times New Roman" w:hAnsi="Times New Roman" w:cs="Times New Roman"/>
          <w:lang w:val="en-US"/>
        </w:rPr>
        <w:t xml:space="preserve"> differences and negative AgR</w:t>
      </w:r>
      <w:r w:rsidR="00F376AD" w:rsidRPr="009239F8">
        <w:rPr>
          <w:rFonts w:ascii="Times New Roman" w:hAnsi="Times New Roman" w:cs="Times New Roman"/>
          <w:vertAlign w:val="superscript"/>
          <w:lang w:val="en-US"/>
        </w:rPr>
        <w:t>↓</w:t>
      </w:r>
      <w:r w:rsidR="00F376AD" w:rsidRPr="009239F8">
        <w:rPr>
          <w:rFonts w:ascii="Times New Roman" w:hAnsi="Times New Roman" w:cs="Times New Roman"/>
          <w:lang w:val="en-US"/>
        </w:rPr>
        <w:t xml:space="preserve"> differences across regions constitutes the primary evidence for a cohort-level shift toward delayed repolarization in the eHTN group.</w:t>
      </w:r>
      <w:r w:rsidR="004C0BFF" w:rsidRPr="009239F8">
        <w:rPr>
          <w:rFonts w:ascii="Times New Roman" w:hAnsi="Times New Roman" w:cs="Times New Roman"/>
          <w:lang w:val="en-US"/>
        </w:rPr>
        <w:t xml:space="preserve"> In </w:t>
      </w:r>
      <w:r w:rsidR="004C0BFF" w:rsidRPr="009239F8">
        <w:rPr>
          <w:rFonts w:ascii="Times New Roman" w:hAnsi="Times New Roman" w:cs="Times New Roman"/>
          <w:b/>
          <w:bCs/>
          <w:lang w:val="en-US"/>
        </w:rPr>
        <w:fldChar w:fldCharType="begin"/>
      </w:r>
      <w:r w:rsidR="004C0BFF" w:rsidRPr="009239F8">
        <w:rPr>
          <w:rFonts w:ascii="Times New Roman" w:hAnsi="Times New Roman" w:cs="Times New Roman"/>
          <w:b/>
          <w:bCs/>
          <w:lang w:val="en-US"/>
        </w:rPr>
        <w:instrText xml:space="preserve"> REF _Ref233627784 \h  \* MERGEFORMAT </w:instrText>
      </w:r>
      <w:r w:rsidR="004C0BFF" w:rsidRPr="009239F8">
        <w:rPr>
          <w:rFonts w:ascii="Times New Roman" w:hAnsi="Times New Roman" w:cs="Times New Roman"/>
          <w:b/>
          <w:bCs/>
          <w:lang w:val="en-US"/>
        </w:rPr>
      </w:r>
      <w:r w:rsidR="004C0BFF" w:rsidRPr="009239F8">
        <w:rPr>
          <w:rFonts w:ascii="Times New Roman" w:hAnsi="Times New Roman" w:cs="Times New Roman"/>
          <w:b/>
          <w:bCs/>
          <w:lang w:val="en-US"/>
        </w:rPr>
        <w:fldChar w:fldCharType="separate"/>
      </w:r>
      <w:r w:rsidR="00890076" w:rsidRPr="009239F8">
        <w:rPr>
          <w:rFonts w:ascii="Times New Roman" w:hAnsi="Times New Roman" w:cs="Times New Roman"/>
          <w:b/>
          <w:bCs/>
          <w:lang w:val="en-US"/>
        </w:rPr>
        <w:t xml:space="preserve">Table S </w:t>
      </w:r>
      <w:r w:rsidR="00890076" w:rsidRPr="009239F8">
        <w:rPr>
          <w:rFonts w:ascii="Times New Roman" w:hAnsi="Times New Roman" w:cs="Times New Roman"/>
          <w:b/>
          <w:bCs/>
          <w:noProof/>
          <w:lang w:val="en-US"/>
        </w:rPr>
        <w:t>11</w:t>
      </w:r>
      <w:r w:rsidR="004C0BFF" w:rsidRPr="009239F8">
        <w:rPr>
          <w:rFonts w:ascii="Times New Roman" w:hAnsi="Times New Roman" w:cs="Times New Roman"/>
          <w:b/>
          <w:bCs/>
          <w:lang w:val="en-US"/>
        </w:rPr>
        <w:fldChar w:fldCharType="end"/>
      </w:r>
      <w:r w:rsidR="004C0BFF" w:rsidRPr="009239F8">
        <w:rPr>
          <w:rFonts w:ascii="Times New Roman" w:hAnsi="Times New Roman" w:cs="Times New Roman"/>
          <w:lang w:val="en-US"/>
        </w:rPr>
        <w:t xml:space="preserve"> are reported the sign test results by AgR class.</w:t>
      </w:r>
    </w:p>
    <w:p w14:paraId="2217F686" w14:textId="2E2931FA" w:rsidR="00E62AD1" w:rsidRPr="009239F8" w:rsidRDefault="005574FA" w:rsidP="009A5B48">
      <w:pPr>
        <w:pStyle w:val="Caption"/>
        <w:spacing w:line="480" w:lineRule="auto"/>
        <w:jc w:val="both"/>
        <w:rPr>
          <w:rFonts w:cs="Times New Roman"/>
          <w:color w:val="auto"/>
          <w:lang w:val="en-US"/>
        </w:rPr>
      </w:pPr>
      <w:bookmarkStart w:id="19" w:name="_Ref232697432"/>
      <w:r w:rsidRPr="009239F8">
        <w:rPr>
          <w:rFonts w:cs="Times New Roman"/>
          <w:b/>
          <w:color w:val="auto"/>
          <w:lang w:val="en-US"/>
        </w:rPr>
        <w:t xml:space="preserve">Table S </w:t>
      </w:r>
      <w:r w:rsidRPr="009239F8">
        <w:rPr>
          <w:rFonts w:cs="Times New Roman"/>
          <w:b/>
          <w:color w:val="auto"/>
          <w:lang w:val="en-US"/>
        </w:rPr>
        <w:fldChar w:fldCharType="begin"/>
      </w:r>
      <w:r w:rsidRPr="009239F8">
        <w:rPr>
          <w:rFonts w:cs="Times New Roman"/>
          <w:b/>
          <w:bCs/>
          <w:color w:val="auto"/>
          <w:lang w:val="en-US"/>
        </w:rPr>
        <w:instrText xml:space="preserve"> SEQ Table_S \* ARABIC </w:instrText>
      </w:r>
      <w:r w:rsidRPr="009239F8">
        <w:rPr>
          <w:rFonts w:cs="Times New Roman"/>
          <w:b/>
          <w:color w:val="auto"/>
          <w:lang w:val="en-US"/>
        </w:rPr>
        <w:fldChar w:fldCharType="separate"/>
      </w:r>
      <w:r w:rsidR="00890076" w:rsidRPr="009239F8">
        <w:rPr>
          <w:rFonts w:cs="Times New Roman"/>
          <w:b/>
          <w:bCs/>
          <w:noProof/>
          <w:color w:val="auto"/>
          <w:lang w:val="en-US"/>
        </w:rPr>
        <w:t>10</w:t>
      </w:r>
      <w:r w:rsidRPr="009239F8">
        <w:rPr>
          <w:rFonts w:cs="Times New Roman"/>
          <w:b/>
          <w:color w:val="auto"/>
          <w:lang w:val="en-US"/>
        </w:rPr>
        <w:fldChar w:fldCharType="end"/>
      </w:r>
      <w:bookmarkEnd w:id="19"/>
      <w:r w:rsidRPr="009239F8">
        <w:rPr>
          <w:rFonts w:cs="Times New Roman"/>
          <w:color w:val="auto"/>
          <w:lang w:val="en-US"/>
        </w:rPr>
        <w:t xml:space="preserve">. </w:t>
      </w:r>
      <w:r w:rsidRPr="009239F8">
        <w:rPr>
          <w:rFonts w:cs="Times New Roman"/>
          <w:b/>
          <w:color w:val="auto"/>
          <w:lang w:val="en-US"/>
        </w:rPr>
        <w:t xml:space="preserve">Regional comparison of </w:t>
      </w:r>
      <w:r w:rsidR="007E4678" w:rsidRPr="009239F8">
        <w:rPr>
          <w:rFonts w:cs="Times New Roman"/>
          <w:b/>
          <w:color w:val="auto"/>
          <w:lang w:val="en-US"/>
        </w:rPr>
        <w:t>aging repolarization (AgR)</w:t>
      </w:r>
      <w:r w:rsidRPr="009239F8">
        <w:rPr>
          <w:rFonts w:cs="Times New Roman"/>
          <w:b/>
          <w:color w:val="auto"/>
          <w:lang w:val="en-US"/>
        </w:rPr>
        <w:t xml:space="preserve"> compensation class distributions between healthy and </w:t>
      </w:r>
      <w:r w:rsidR="007E4678" w:rsidRPr="009239F8">
        <w:rPr>
          <w:rFonts w:cs="Times New Roman"/>
          <w:b/>
          <w:color w:val="auto"/>
          <w:lang w:val="en-US"/>
        </w:rPr>
        <w:t xml:space="preserve">early-stage hypertensive (eHTN) </w:t>
      </w:r>
      <w:r w:rsidRPr="009239F8">
        <w:rPr>
          <w:rFonts w:cs="Times New Roman"/>
          <w:b/>
          <w:color w:val="auto"/>
          <w:lang w:val="en-US"/>
        </w:rPr>
        <w:t>MyoFit46 cohorts.</w:t>
      </w:r>
      <w:r w:rsidRPr="009239F8">
        <w:rPr>
          <w:rFonts w:cs="Times New Roman"/>
          <w:color w:val="auto"/>
          <w:lang w:val="en-US"/>
        </w:rPr>
        <w:t xml:space="preserve"> Absolute difference (Δ, percentage points) in the epicardial surface fraction covered by each AgR compensation class — AgR↑ (prolongation, g</w:t>
      </w:r>
      <w:r w:rsidRPr="009239F8">
        <w:rPr>
          <w:rFonts w:cs="Times New Roman"/>
          <w:color w:val="auto"/>
          <w:vertAlign w:val="subscript"/>
          <w:lang w:val="en-US"/>
        </w:rPr>
        <w:t>Kr</w:t>
      </w:r>
      <w:r w:rsidRPr="009239F8">
        <w:rPr>
          <w:rFonts w:cs="Times New Roman"/>
          <w:color w:val="auto"/>
          <w:lang w:val="en-US"/>
        </w:rPr>
        <w:t>&lt;1), AgR↓ (shortening, g</w:t>
      </w:r>
      <w:r w:rsidRPr="009239F8">
        <w:rPr>
          <w:rFonts w:cs="Times New Roman"/>
          <w:color w:val="auto"/>
          <w:vertAlign w:val="subscript"/>
          <w:lang w:val="en-US"/>
        </w:rPr>
        <w:t>Kr</w:t>
      </w:r>
      <w:r w:rsidRPr="009239F8">
        <w:rPr>
          <w:rFonts w:cs="Times New Roman"/>
          <w:color w:val="auto"/>
          <w:lang w:val="en-US"/>
        </w:rPr>
        <w:t xml:space="preserve">&gt;1), and AgR= (neutral) — between </w:t>
      </w:r>
      <w:r w:rsidR="00BE10AD" w:rsidRPr="009239F8">
        <w:rPr>
          <w:rFonts w:cs="Times New Roman"/>
          <w:color w:val="auto"/>
          <w:lang w:val="en-US"/>
        </w:rPr>
        <w:t>eHTN (</w:t>
      </w:r>
      <w:r w:rsidRPr="009239F8">
        <w:rPr>
          <w:rFonts w:cs="Times New Roman"/>
          <w:color w:val="auto"/>
          <w:lang w:val="en-US"/>
        </w:rPr>
        <w:t>n=47) and healthy (n=30) cohorts, with Benjamini–Hochberg-corrected p-values (p</w:t>
      </w:r>
      <w:r w:rsidRPr="009239F8">
        <w:rPr>
          <w:rFonts w:cs="Times New Roman"/>
          <w:color w:val="auto"/>
          <w:vertAlign w:val="subscript"/>
          <w:lang w:val="en-US"/>
        </w:rPr>
        <w:t>adj</w:t>
      </w:r>
      <w:r w:rsidRPr="009239F8">
        <w:rPr>
          <w:rFonts w:cs="Times New Roman"/>
          <w:color w:val="auto"/>
          <w:lang w:val="en-US"/>
        </w:rPr>
        <w:t xml:space="preserve">). A positive Δ indicates a higher proportion in the eHTN cohort. Regions are stratified by chamber, longitudinal level, and circumferential wall. No statistically significant between-group differences were observed after correction. </w:t>
      </w:r>
    </w:p>
    <w:tbl>
      <w:tblPr>
        <w:tblStyle w:val="PlainTable2"/>
        <w:tblW w:w="0" w:type="auto"/>
        <w:tblLook w:val="04A0" w:firstRow="1" w:lastRow="0" w:firstColumn="1" w:lastColumn="0" w:noHBand="0" w:noVBand="1"/>
      </w:tblPr>
      <w:tblGrid>
        <w:gridCol w:w="2827"/>
        <w:gridCol w:w="1016"/>
        <w:gridCol w:w="1042"/>
        <w:gridCol w:w="997"/>
        <w:gridCol w:w="1042"/>
        <w:gridCol w:w="1016"/>
        <w:gridCol w:w="1042"/>
      </w:tblGrid>
      <w:tr w:rsidR="005D2CF3" w:rsidRPr="009239F8" w14:paraId="540CEDDA" w14:textId="77777777" w:rsidTr="00A72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vMerge w:val="restart"/>
            <w:vAlign w:val="center"/>
          </w:tcPr>
          <w:p w14:paraId="27493E40" w14:textId="77777777" w:rsidR="005D2CF3" w:rsidRPr="009239F8" w:rsidRDefault="005D2CF3"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Region</w:t>
            </w:r>
          </w:p>
        </w:tc>
        <w:tc>
          <w:tcPr>
            <w:tcW w:w="2058" w:type="dxa"/>
            <w:gridSpan w:val="2"/>
          </w:tcPr>
          <w:p w14:paraId="3FE5DC0A" w14:textId="77777777" w:rsidR="005D2CF3" w:rsidRPr="009239F8" w:rsidRDefault="005D2CF3" w:rsidP="009A5B4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AgR</w:t>
            </w:r>
            <w:r w:rsidRPr="009239F8">
              <w:rPr>
                <w:rFonts w:ascii="Times New Roman" w:hAnsi="Times New Roman" w:cs="Times New Roman"/>
                <w:vertAlign w:val="superscript"/>
                <w:lang w:val="en-US"/>
              </w:rPr>
              <w:t>↑</w:t>
            </w:r>
          </w:p>
        </w:tc>
        <w:tc>
          <w:tcPr>
            <w:tcW w:w="2039" w:type="dxa"/>
            <w:gridSpan w:val="2"/>
          </w:tcPr>
          <w:p w14:paraId="70374DB6" w14:textId="77777777" w:rsidR="005D2CF3" w:rsidRPr="009239F8" w:rsidRDefault="005D2CF3" w:rsidP="009A5B4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AgR</w:t>
            </w:r>
            <w:r w:rsidRPr="009239F8">
              <w:rPr>
                <w:rFonts w:ascii="Times New Roman" w:hAnsi="Times New Roman" w:cs="Times New Roman"/>
                <w:vertAlign w:val="superscript"/>
                <w:lang w:val="en-US"/>
              </w:rPr>
              <w:t>↓</w:t>
            </w:r>
          </w:p>
        </w:tc>
        <w:tc>
          <w:tcPr>
            <w:tcW w:w="2058" w:type="dxa"/>
            <w:gridSpan w:val="2"/>
          </w:tcPr>
          <w:p w14:paraId="14AD3668" w14:textId="77777777" w:rsidR="005D2CF3" w:rsidRPr="009239F8" w:rsidRDefault="005D2CF3" w:rsidP="009A5B4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AgR</w:t>
            </w:r>
            <w:r w:rsidRPr="009239F8">
              <w:rPr>
                <w:rFonts w:ascii="Times New Roman" w:hAnsi="Times New Roman" w:cs="Times New Roman"/>
                <w:b w:val="0"/>
                <w:lang w:val="en-US"/>
              </w:rPr>
              <w:t>=</w:t>
            </w:r>
          </w:p>
        </w:tc>
      </w:tr>
      <w:tr w:rsidR="005D2CF3" w:rsidRPr="009239F8" w14:paraId="4DB896CB"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vMerge/>
          </w:tcPr>
          <w:p w14:paraId="0F0D9545" w14:textId="77777777" w:rsidR="005D2CF3" w:rsidRPr="009239F8" w:rsidRDefault="005D2CF3" w:rsidP="009A5B48">
            <w:pPr>
              <w:spacing w:line="480" w:lineRule="auto"/>
              <w:jc w:val="center"/>
              <w:rPr>
                <w:rFonts w:ascii="Times New Roman" w:hAnsi="Times New Roman" w:cs="Times New Roman"/>
                <w:b w:val="0"/>
                <w:lang w:val="en-US"/>
              </w:rPr>
            </w:pPr>
          </w:p>
        </w:tc>
        <w:tc>
          <w:tcPr>
            <w:tcW w:w="1016" w:type="dxa"/>
          </w:tcPr>
          <w:p w14:paraId="17244013" w14:textId="77777777" w:rsidR="005D2CF3" w:rsidRPr="009239F8" w:rsidRDefault="005D2CF3"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9239F8">
              <w:rPr>
                <w:rFonts w:ascii="Times New Roman" w:hAnsi="Times New Roman" w:cs="Times New Roman"/>
                <w:b/>
                <w:lang w:val="en-US"/>
              </w:rPr>
              <w:t>Δ</w:t>
            </w:r>
          </w:p>
        </w:tc>
        <w:tc>
          <w:tcPr>
            <w:tcW w:w="1042" w:type="dxa"/>
          </w:tcPr>
          <w:p w14:paraId="64BAE1BB" w14:textId="77777777" w:rsidR="005D2CF3" w:rsidRPr="009239F8" w:rsidRDefault="005D2CF3"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9239F8">
              <w:rPr>
                <w:rFonts w:ascii="Times New Roman" w:hAnsi="Times New Roman" w:cs="Times New Roman"/>
                <w:b/>
                <w:i/>
                <w:iCs/>
                <w:lang w:val="en-US"/>
              </w:rPr>
              <w:t>p</w:t>
            </w:r>
            <w:r w:rsidRPr="009239F8">
              <w:rPr>
                <w:rFonts w:ascii="Times New Roman" w:hAnsi="Times New Roman" w:cs="Times New Roman"/>
                <w:b/>
                <w:vertAlign w:val="subscript"/>
                <w:lang w:val="en-US"/>
              </w:rPr>
              <w:t>adj</w:t>
            </w:r>
          </w:p>
        </w:tc>
        <w:tc>
          <w:tcPr>
            <w:tcW w:w="997" w:type="dxa"/>
          </w:tcPr>
          <w:p w14:paraId="7072B20D" w14:textId="77777777" w:rsidR="005D2CF3" w:rsidRPr="009239F8" w:rsidRDefault="005D2CF3"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9239F8">
              <w:rPr>
                <w:rFonts w:ascii="Times New Roman" w:hAnsi="Times New Roman" w:cs="Times New Roman"/>
                <w:b/>
                <w:lang w:val="en-US"/>
              </w:rPr>
              <w:t>Δ</w:t>
            </w:r>
          </w:p>
        </w:tc>
        <w:tc>
          <w:tcPr>
            <w:tcW w:w="1042" w:type="dxa"/>
          </w:tcPr>
          <w:p w14:paraId="7B2584DF" w14:textId="77777777" w:rsidR="005D2CF3" w:rsidRPr="009239F8" w:rsidRDefault="005D2CF3"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9239F8">
              <w:rPr>
                <w:rFonts w:ascii="Times New Roman" w:hAnsi="Times New Roman" w:cs="Times New Roman"/>
                <w:b/>
                <w:i/>
                <w:iCs/>
                <w:lang w:val="en-US"/>
              </w:rPr>
              <w:t>p</w:t>
            </w:r>
            <w:r w:rsidRPr="009239F8">
              <w:rPr>
                <w:rFonts w:ascii="Times New Roman" w:hAnsi="Times New Roman" w:cs="Times New Roman"/>
                <w:b/>
                <w:vertAlign w:val="subscript"/>
                <w:lang w:val="en-US"/>
              </w:rPr>
              <w:t>adj</w:t>
            </w:r>
          </w:p>
        </w:tc>
        <w:tc>
          <w:tcPr>
            <w:tcW w:w="1016" w:type="dxa"/>
          </w:tcPr>
          <w:p w14:paraId="69674B6E" w14:textId="77777777" w:rsidR="005D2CF3" w:rsidRPr="009239F8" w:rsidRDefault="005D2CF3"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9239F8">
              <w:rPr>
                <w:rFonts w:ascii="Times New Roman" w:hAnsi="Times New Roman" w:cs="Times New Roman"/>
                <w:b/>
                <w:lang w:val="en-US"/>
              </w:rPr>
              <w:t>Δ</w:t>
            </w:r>
          </w:p>
        </w:tc>
        <w:tc>
          <w:tcPr>
            <w:tcW w:w="1042" w:type="dxa"/>
          </w:tcPr>
          <w:p w14:paraId="3AC5B4DF" w14:textId="77777777" w:rsidR="005D2CF3" w:rsidRPr="009239F8" w:rsidRDefault="005D2CF3"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9239F8">
              <w:rPr>
                <w:rFonts w:ascii="Times New Roman" w:hAnsi="Times New Roman" w:cs="Times New Roman"/>
                <w:b/>
                <w:i/>
                <w:iCs/>
                <w:lang w:val="en-US"/>
              </w:rPr>
              <w:t>p</w:t>
            </w:r>
            <w:r w:rsidRPr="009239F8">
              <w:rPr>
                <w:rFonts w:ascii="Times New Roman" w:hAnsi="Times New Roman" w:cs="Times New Roman"/>
                <w:b/>
                <w:vertAlign w:val="subscript"/>
                <w:lang w:val="en-US"/>
              </w:rPr>
              <w:t>adj</w:t>
            </w:r>
          </w:p>
        </w:tc>
      </w:tr>
      <w:tr w:rsidR="005D2CF3" w:rsidRPr="009239F8" w14:paraId="47FA9040" w14:textId="77777777" w:rsidTr="00A72AA9">
        <w:tc>
          <w:tcPr>
            <w:cnfStyle w:val="001000000000" w:firstRow="0" w:lastRow="0" w:firstColumn="1" w:lastColumn="0" w:oddVBand="0" w:evenVBand="0" w:oddHBand="0" w:evenHBand="0" w:firstRowFirstColumn="0" w:firstRowLastColumn="0" w:lastRowFirstColumn="0" w:lastRowLastColumn="0"/>
            <w:tcW w:w="2827" w:type="dxa"/>
            <w:tcBorders>
              <w:bottom w:val="single" w:sz="4" w:space="0" w:color="auto"/>
            </w:tcBorders>
          </w:tcPr>
          <w:p w14:paraId="3D7DC409" w14:textId="77777777" w:rsidR="005D2CF3" w:rsidRPr="009239F8" w:rsidRDefault="005D2CF3" w:rsidP="009A5B48">
            <w:pPr>
              <w:spacing w:line="480" w:lineRule="auto"/>
              <w:rPr>
                <w:rFonts w:ascii="Times New Roman" w:hAnsi="Times New Roman" w:cs="Times New Roman"/>
                <w:lang w:val="en-US"/>
              </w:rPr>
            </w:pPr>
            <w:r w:rsidRPr="009239F8">
              <w:rPr>
                <w:rFonts w:ascii="Times New Roman" w:hAnsi="Times New Roman" w:cs="Times New Roman"/>
                <w:lang w:val="en-US"/>
              </w:rPr>
              <w:t>Global</w:t>
            </w:r>
          </w:p>
        </w:tc>
        <w:tc>
          <w:tcPr>
            <w:tcW w:w="1016" w:type="dxa"/>
            <w:tcBorders>
              <w:bottom w:val="single" w:sz="4" w:space="0" w:color="auto"/>
            </w:tcBorders>
          </w:tcPr>
          <w:p w14:paraId="1CD66264" w14:textId="77777777" w:rsidR="005D2CF3" w:rsidRPr="009239F8" w:rsidRDefault="005D2CF3"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+9.63</w:t>
            </w:r>
          </w:p>
        </w:tc>
        <w:tc>
          <w:tcPr>
            <w:tcW w:w="1042" w:type="dxa"/>
            <w:tcBorders>
              <w:bottom w:val="single" w:sz="4" w:space="0" w:color="auto"/>
            </w:tcBorders>
          </w:tcPr>
          <w:p w14:paraId="678956FD" w14:textId="77777777" w:rsidR="005D2CF3" w:rsidRPr="009239F8" w:rsidRDefault="005D2CF3"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0.433</w:t>
            </w:r>
          </w:p>
        </w:tc>
        <w:tc>
          <w:tcPr>
            <w:tcW w:w="997" w:type="dxa"/>
            <w:tcBorders>
              <w:bottom w:val="single" w:sz="4" w:space="0" w:color="auto"/>
            </w:tcBorders>
          </w:tcPr>
          <w:p w14:paraId="1ADB1EC0" w14:textId="77777777" w:rsidR="005D2CF3" w:rsidRPr="009239F8" w:rsidRDefault="005D2CF3"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-4.17</w:t>
            </w:r>
          </w:p>
        </w:tc>
        <w:tc>
          <w:tcPr>
            <w:tcW w:w="1042" w:type="dxa"/>
            <w:tcBorders>
              <w:bottom w:val="single" w:sz="4" w:space="0" w:color="auto"/>
            </w:tcBorders>
          </w:tcPr>
          <w:p w14:paraId="6337625F" w14:textId="77777777" w:rsidR="005D2CF3" w:rsidRPr="009239F8" w:rsidRDefault="005D2CF3"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c>
          <w:tcPr>
            <w:tcW w:w="1016" w:type="dxa"/>
            <w:tcBorders>
              <w:bottom w:val="single" w:sz="4" w:space="0" w:color="auto"/>
            </w:tcBorders>
          </w:tcPr>
          <w:p w14:paraId="5EC5C04F" w14:textId="77777777" w:rsidR="005D2CF3" w:rsidRPr="009239F8" w:rsidRDefault="005D2CF3"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+1.90</w:t>
            </w:r>
          </w:p>
        </w:tc>
        <w:tc>
          <w:tcPr>
            <w:tcW w:w="1042" w:type="dxa"/>
            <w:tcBorders>
              <w:bottom w:val="single" w:sz="4" w:space="0" w:color="auto"/>
            </w:tcBorders>
          </w:tcPr>
          <w:p w14:paraId="636F82D2" w14:textId="77777777" w:rsidR="005D2CF3" w:rsidRPr="009239F8" w:rsidRDefault="005D2CF3"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0.969</w:t>
            </w:r>
          </w:p>
        </w:tc>
      </w:tr>
      <w:tr w:rsidR="005D2CF3" w:rsidRPr="009239F8" w14:paraId="35C0AFC5"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82" w:type="dxa"/>
            <w:gridSpan w:val="7"/>
            <w:tcBorders>
              <w:top w:val="single" w:sz="4" w:space="0" w:color="auto"/>
              <w:bottom w:val="single" w:sz="4" w:space="0" w:color="auto"/>
            </w:tcBorders>
          </w:tcPr>
          <w:p w14:paraId="727CB88B" w14:textId="77777777" w:rsidR="005D2CF3" w:rsidRPr="009239F8" w:rsidRDefault="005D2CF3" w:rsidP="009A5B48">
            <w:pPr>
              <w:spacing w:line="480" w:lineRule="auto"/>
              <w:rPr>
                <w:rFonts w:ascii="Times New Roman" w:hAnsi="Times New Roman" w:cs="Times New Roman"/>
                <w:lang w:val="en-US"/>
              </w:rPr>
            </w:pPr>
            <w:r w:rsidRPr="009239F8">
              <w:rPr>
                <w:rFonts w:ascii="Times New Roman" w:hAnsi="Times New Roman" w:cs="Times New Roman"/>
                <w:b w:val="0"/>
                <w:lang w:val="en-US"/>
              </w:rPr>
              <w:t>Chamber</w:t>
            </w:r>
          </w:p>
        </w:tc>
      </w:tr>
      <w:tr w:rsidR="00F43A15" w:rsidRPr="009239F8" w14:paraId="6C0A36B5" w14:textId="77777777" w:rsidTr="00A72AA9">
        <w:tc>
          <w:tcPr>
            <w:cnfStyle w:val="001000000000" w:firstRow="0" w:lastRow="0" w:firstColumn="1" w:lastColumn="0" w:oddVBand="0" w:evenVBand="0" w:oddHBand="0" w:evenHBand="0" w:firstRowFirstColumn="0" w:firstRowLastColumn="0" w:lastRowFirstColumn="0" w:lastRowLastColumn="0"/>
            <w:tcW w:w="2827" w:type="dxa"/>
            <w:tcBorders>
              <w:top w:val="single" w:sz="4" w:space="0" w:color="auto"/>
              <w:bottom w:val="nil"/>
            </w:tcBorders>
          </w:tcPr>
          <w:p w14:paraId="3C23FB66" w14:textId="77777777" w:rsidR="00F43A15" w:rsidRPr="009239F8" w:rsidRDefault="00F43A15"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LV</w:t>
            </w:r>
          </w:p>
        </w:tc>
        <w:tc>
          <w:tcPr>
            <w:tcW w:w="1016" w:type="dxa"/>
            <w:tcBorders>
              <w:top w:val="single" w:sz="4" w:space="0" w:color="auto"/>
              <w:bottom w:val="nil"/>
            </w:tcBorders>
          </w:tcPr>
          <w:p w14:paraId="4B7041EF" w14:textId="5D21CDF6" w:rsidR="00F43A15" w:rsidRPr="009239F8" w:rsidRDefault="00F43A15"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+7.87</w:t>
            </w:r>
          </w:p>
        </w:tc>
        <w:tc>
          <w:tcPr>
            <w:tcW w:w="1042" w:type="dxa"/>
            <w:tcBorders>
              <w:top w:val="single" w:sz="4" w:space="0" w:color="auto"/>
              <w:bottom w:val="nil"/>
            </w:tcBorders>
          </w:tcPr>
          <w:p w14:paraId="2C9E4B69" w14:textId="680846B2" w:rsidR="00F43A15" w:rsidRPr="009239F8" w:rsidRDefault="00F43A15"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0.433</w:t>
            </w:r>
          </w:p>
        </w:tc>
        <w:tc>
          <w:tcPr>
            <w:tcW w:w="997" w:type="dxa"/>
            <w:tcBorders>
              <w:top w:val="single" w:sz="4" w:space="0" w:color="auto"/>
              <w:bottom w:val="nil"/>
            </w:tcBorders>
          </w:tcPr>
          <w:p w14:paraId="4FBFCFF6" w14:textId="5BFCB9FB" w:rsidR="00F43A15" w:rsidRPr="009239F8" w:rsidRDefault="00F43A15"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-1.69</w:t>
            </w:r>
          </w:p>
        </w:tc>
        <w:tc>
          <w:tcPr>
            <w:tcW w:w="1042" w:type="dxa"/>
            <w:tcBorders>
              <w:top w:val="single" w:sz="4" w:space="0" w:color="auto"/>
              <w:bottom w:val="nil"/>
            </w:tcBorders>
          </w:tcPr>
          <w:p w14:paraId="0C9A01E3" w14:textId="506DE413" w:rsidR="00F43A15" w:rsidRPr="009239F8" w:rsidRDefault="00F43A15"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c>
          <w:tcPr>
            <w:tcW w:w="1016" w:type="dxa"/>
            <w:tcBorders>
              <w:top w:val="single" w:sz="4" w:space="0" w:color="auto"/>
              <w:bottom w:val="nil"/>
            </w:tcBorders>
          </w:tcPr>
          <w:p w14:paraId="0B471C10" w14:textId="27388075" w:rsidR="00F43A15" w:rsidRPr="009239F8" w:rsidRDefault="00F43A15"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-6.04</w:t>
            </w:r>
          </w:p>
        </w:tc>
        <w:tc>
          <w:tcPr>
            <w:tcW w:w="1042" w:type="dxa"/>
            <w:tcBorders>
              <w:top w:val="single" w:sz="4" w:space="0" w:color="auto"/>
              <w:bottom w:val="nil"/>
            </w:tcBorders>
          </w:tcPr>
          <w:p w14:paraId="420C46F0" w14:textId="764A8124" w:rsidR="00F43A15" w:rsidRPr="009239F8" w:rsidRDefault="00F43A15"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r>
      <w:tr w:rsidR="00F43A15" w:rsidRPr="009239F8" w14:paraId="32E66C6C"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top w:val="nil"/>
            </w:tcBorders>
          </w:tcPr>
          <w:p w14:paraId="5EE1AF92" w14:textId="77777777" w:rsidR="00F43A15" w:rsidRPr="009239F8" w:rsidRDefault="00F43A15"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RV</w:t>
            </w:r>
          </w:p>
        </w:tc>
        <w:tc>
          <w:tcPr>
            <w:tcW w:w="1016" w:type="dxa"/>
            <w:tcBorders>
              <w:top w:val="nil"/>
            </w:tcBorders>
          </w:tcPr>
          <w:p w14:paraId="13194A96" w14:textId="4D4F8C97" w:rsidR="00F43A15" w:rsidRPr="009239F8" w:rsidRDefault="00F43A15"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+7.90</w:t>
            </w:r>
          </w:p>
        </w:tc>
        <w:tc>
          <w:tcPr>
            <w:tcW w:w="1042" w:type="dxa"/>
            <w:tcBorders>
              <w:top w:val="nil"/>
            </w:tcBorders>
          </w:tcPr>
          <w:p w14:paraId="4C4F081A" w14:textId="1F78BF80" w:rsidR="00F43A15" w:rsidRPr="009239F8" w:rsidRDefault="00F43A15"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0.433</w:t>
            </w:r>
          </w:p>
        </w:tc>
        <w:tc>
          <w:tcPr>
            <w:tcW w:w="997" w:type="dxa"/>
            <w:tcBorders>
              <w:top w:val="nil"/>
            </w:tcBorders>
          </w:tcPr>
          <w:p w14:paraId="0EF69C59" w14:textId="0D31BA2B" w:rsidR="00F43A15" w:rsidRPr="009239F8" w:rsidRDefault="00F43A15"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-7.44</w:t>
            </w:r>
          </w:p>
        </w:tc>
        <w:tc>
          <w:tcPr>
            <w:tcW w:w="1042" w:type="dxa"/>
            <w:tcBorders>
              <w:top w:val="nil"/>
            </w:tcBorders>
          </w:tcPr>
          <w:p w14:paraId="25D8C013" w14:textId="21308823" w:rsidR="00F43A15" w:rsidRPr="009239F8" w:rsidRDefault="00F43A15"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c>
          <w:tcPr>
            <w:tcW w:w="1016" w:type="dxa"/>
            <w:tcBorders>
              <w:top w:val="nil"/>
            </w:tcBorders>
          </w:tcPr>
          <w:p w14:paraId="074D6628" w14:textId="75EB1CC3" w:rsidR="00F43A15" w:rsidRPr="009239F8" w:rsidRDefault="00F43A15"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+0.41</w:t>
            </w:r>
          </w:p>
        </w:tc>
        <w:tc>
          <w:tcPr>
            <w:tcW w:w="1042" w:type="dxa"/>
            <w:tcBorders>
              <w:top w:val="nil"/>
            </w:tcBorders>
          </w:tcPr>
          <w:p w14:paraId="3F54CA6C" w14:textId="4B7C249B" w:rsidR="00F43A15" w:rsidRPr="009239F8" w:rsidRDefault="00F43A15"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0.969</w:t>
            </w:r>
          </w:p>
        </w:tc>
      </w:tr>
      <w:tr w:rsidR="00F43A15" w:rsidRPr="009239F8" w14:paraId="6CEC17D2" w14:textId="77777777" w:rsidTr="00A72AA9">
        <w:tc>
          <w:tcPr>
            <w:cnfStyle w:val="001000000000" w:firstRow="0" w:lastRow="0" w:firstColumn="1" w:lastColumn="0" w:oddVBand="0" w:evenVBand="0" w:oddHBand="0" w:evenHBand="0" w:firstRowFirstColumn="0" w:firstRowLastColumn="0" w:lastRowFirstColumn="0" w:lastRowLastColumn="0"/>
            <w:tcW w:w="8982" w:type="dxa"/>
            <w:gridSpan w:val="7"/>
          </w:tcPr>
          <w:p w14:paraId="4CDA473F" w14:textId="77777777" w:rsidR="00F43A15" w:rsidRPr="009239F8" w:rsidRDefault="00F43A15" w:rsidP="009A5B48">
            <w:pPr>
              <w:spacing w:line="480" w:lineRule="auto"/>
              <w:rPr>
                <w:rFonts w:ascii="Times New Roman" w:hAnsi="Times New Roman" w:cs="Times New Roman"/>
                <w:lang w:val="en-US"/>
              </w:rPr>
            </w:pPr>
            <w:r w:rsidRPr="009239F8">
              <w:rPr>
                <w:rFonts w:ascii="Times New Roman" w:hAnsi="Times New Roman" w:cs="Times New Roman"/>
                <w:b w:val="0"/>
                <w:lang w:val="en-US"/>
              </w:rPr>
              <w:t>LV longitudinal</w:t>
            </w:r>
          </w:p>
        </w:tc>
      </w:tr>
      <w:tr w:rsidR="00454D9B" w:rsidRPr="009239F8" w14:paraId="54D6010C"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bottom w:val="nil"/>
            </w:tcBorders>
          </w:tcPr>
          <w:p w14:paraId="385ACE9F" w14:textId="77777777" w:rsidR="00454D9B" w:rsidRPr="009239F8" w:rsidRDefault="00454D9B"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Basal</w:t>
            </w:r>
          </w:p>
        </w:tc>
        <w:tc>
          <w:tcPr>
            <w:tcW w:w="1016" w:type="dxa"/>
            <w:tcBorders>
              <w:bottom w:val="nil"/>
            </w:tcBorders>
          </w:tcPr>
          <w:p w14:paraId="0EB58301" w14:textId="71EAE3F0"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+24.73</w:t>
            </w:r>
          </w:p>
        </w:tc>
        <w:tc>
          <w:tcPr>
            <w:tcW w:w="1042" w:type="dxa"/>
            <w:tcBorders>
              <w:bottom w:val="nil"/>
            </w:tcBorders>
          </w:tcPr>
          <w:p w14:paraId="646F7DA6" w14:textId="78EEBFEF"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0.433</w:t>
            </w:r>
          </w:p>
        </w:tc>
        <w:tc>
          <w:tcPr>
            <w:tcW w:w="997" w:type="dxa"/>
            <w:tcBorders>
              <w:bottom w:val="nil"/>
            </w:tcBorders>
          </w:tcPr>
          <w:p w14:paraId="243443AA" w14:textId="70BCF414"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-0.41</w:t>
            </w:r>
          </w:p>
        </w:tc>
        <w:tc>
          <w:tcPr>
            <w:tcW w:w="1042" w:type="dxa"/>
            <w:tcBorders>
              <w:bottom w:val="nil"/>
            </w:tcBorders>
          </w:tcPr>
          <w:p w14:paraId="04149BFD" w14:textId="60AF7FAF"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0.820</w:t>
            </w:r>
          </w:p>
        </w:tc>
        <w:tc>
          <w:tcPr>
            <w:tcW w:w="1016" w:type="dxa"/>
            <w:tcBorders>
              <w:bottom w:val="nil"/>
            </w:tcBorders>
          </w:tcPr>
          <w:p w14:paraId="25B0FA79" w14:textId="026BDE23"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-9.57</w:t>
            </w:r>
          </w:p>
        </w:tc>
        <w:tc>
          <w:tcPr>
            <w:tcW w:w="1042" w:type="dxa"/>
            <w:tcBorders>
              <w:bottom w:val="nil"/>
            </w:tcBorders>
          </w:tcPr>
          <w:p w14:paraId="1185CB54" w14:textId="480DAB1A"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0.438</w:t>
            </w:r>
          </w:p>
        </w:tc>
      </w:tr>
      <w:tr w:rsidR="00454D9B" w:rsidRPr="009239F8" w14:paraId="39554456" w14:textId="77777777" w:rsidTr="00A72AA9">
        <w:tc>
          <w:tcPr>
            <w:cnfStyle w:val="001000000000" w:firstRow="0" w:lastRow="0" w:firstColumn="1" w:lastColumn="0" w:oddVBand="0" w:evenVBand="0" w:oddHBand="0" w:evenHBand="0" w:firstRowFirstColumn="0" w:firstRowLastColumn="0" w:lastRowFirstColumn="0" w:lastRowLastColumn="0"/>
            <w:tcW w:w="2827" w:type="dxa"/>
            <w:tcBorders>
              <w:top w:val="nil"/>
              <w:bottom w:val="nil"/>
            </w:tcBorders>
          </w:tcPr>
          <w:p w14:paraId="30F317A8" w14:textId="77777777" w:rsidR="00454D9B" w:rsidRPr="009239F8" w:rsidRDefault="00454D9B"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Mid</w:t>
            </w:r>
          </w:p>
        </w:tc>
        <w:tc>
          <w:tcPr>
            <w:tcW w:w="1016" w:type="dxa"/>
            <w:tcBorders>
              <w:top w:val="nil"/>
              <w:bottom w:val="nil"/>
            </w:tcBorders>
          </w:tcPr>
          <w:p w14:paraId="78DF49E4" w14:textId="2B8727EF" w:rsidR="00454D9B" w:rsidRPr="009239F8" w:rsidRDefault="00454D9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+0.94</w:t>
            </w:r>
          </w:p>
        </w:tc>
        <w:tc>
          <w:tcPr>
            <w:tcW w:w="1042" w:type="dxa"/>
            <w:tcBorders>
              <w:top w:val="nil"/>
              <w:bottom w:val="nil"/>
            </w:tcBorders>
          </w:tcPr>
          <w:p w14:paraId="2922A312" w14:textId="41AB3B6F" w:rsidR="00454D9B" w:rsidRPr="009239F8" w:rsidRDefault="00454D9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c>
          <w:tcPr>
            <w:tcW w:w="997" w:type="dxa"/>
            <w:tcBorders>
              <w:top w:val="nil"/>
              <w:bottom w:val="nil"/>
            </w:tcBorders>
          </w:tcPr>
          <w:p w14:paraId="30D6AB1A" w14:textId="510CA024" w:rsidR="00454D9B" w:rsidRPr="009239F8" w:rsidRDefault="00454D9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-2.19</w:t>
            </w:r>
          </w:p>
        </w:tc>
        <w:tc>
          <w:tcPr>
            <w:tcW w:w="1042" w:type="dxa"/>
            <w:tcBorders>
              <w:top w:val="nil"/>
              <w:bottom w:val="nil"/>
            </w:tcBorders>
          </w:tcPr>
          <w:p w14:paraId="366EDBD0" w14:textId="7B6FEAA4" w:rsidR="00454D9B" w:rsidRPr="009239F8" w:rsidRDefault="00454D9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0.971</w:t>
            </w:r>
          </w:p>
        </w:tc>
        <w:tc>
          <w:tcPr>
            <w:tcW w:w="1016" w:type="dxa"/>
            <w:tcBorders>
              <w:top w:val="nil"/>
              <w:bottom w:val="nil"/>
            </w:tcBorders>
          </w:tcPr>
          <w:p w14:paraId="55F38C75" w14:textId="2E325529" w:rsidR="00454D9B" w:rsidRPr="009239F8" w:rsidRDefault="00454D9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-4.97</w:t>
            </w:r>
          </w:p>
        </w:tc>
        <w:tc>
          <w:tcPr>
            <w:tcW w:w="1042" w:type="dxa"/>
            <w:tcBorders>
              <w:top w:val="nil"/>
              <w:bottom w:val="nil"/>
            </w:tcBorders>
          </w:tcPr>
          <w:p w14:paraId="7B6052CC" w14:textId="1A45B547" w:rsidR="00454D9B" w:rsidRPr="009239F8" w:rsidRDefault="00454D9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0.969</w:t>
            </w:r>
          </w:p>
        </w:tc>
      </w:tr>
      <w:tr w:rsidR="00454D9B" w:rsidRPr="009239F8" w14:paraId="27FE97BA"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top w:val="nil"/>
            </w:tcBorders>
          </w:tcPr>
          <w:p w14:paraId="172B6432" w14:textId="77777777" w:rsidR="00454D9B" w:rsidRPr="009239F8" w:rsidRDefault="00454D9B"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Apical</w:t>
            </w:r>
          </w:p>
        </w:tc>
        <w:tc>
          <w:tcPr>
            <w:tcW w:w="1016" w:type="dxa"/>
            <w:tcBorders>
              <w:top w:val="nil"/>
            </w:tcBorders>
          </w:tcPr>
          <w:p w14:paraId="76AF9A8B" w14:textId="0B004A71"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+0.00</w:t>
            </w:r>
          </w:p>
        </w:tc>
        <w:tc>
          <w:tcPr>
            <w:tcW w:w="1042" w:type="dxa"/>
            <w:tcBorders>
              <w:top w:val="nil"/>
            </w:tcBorders>
          </w:tcPr>
          <w:p w14:paraId="49C8B22B" w14:textId="6B11FD9C"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0.821</w:t>
            </w:r>
          </w:p>
        </w:tc>
        <w:tc>
          <w:tcPr>
            <w:tcW w:w="997" w:type="dxa"/>
            <w:tcBorders>
              <w:top w:val="nil"/>
            </w:tcBorders>
          </w:tcPr>
          <w:p w14:paraId="3367F636" w14:textId="7629CF2D"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-1.11</w:t>
            </w:r>
          </w:p>
        </w:tc>
        <w:tc>
          <w:tcPr>
            <w:tcW w:w="1042" w:type="dxa"/>
            <w:tcBorders>
              <w:top w:val="nil"/>
            </w:tcBorders>
          </w:tcPr>
          <w:p w14:paraId="365D403F" w14:textId="72EC79A1"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c>
          <w:tcPr>
            <w:tcW w:w="1016" w:type="dxa"/>
            <w:tcBorders>
              <w:top w:val="nil"/>
            </w:tcBorders>
          </w:tcPr>
          <w:p w14:paraId="3276876E" w14:textId="0EBDC328"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-1.13</w:t>
            </w:r>
          </w:p>
        </w:tc>
        <w:tc>
          <w:tcPr>
            <w:tcW w:w="1042" w:type="dxa"/>
            <w:tcBorders>
              <w:top w:val="nil"/>
            </w:tcBorders>
          </w:tcPr>
          <w:p w14:paraId="083658F0" w14:textId="61BFD1CF" w:rsidR="00454D9B" w:rsidRPr="009239F8" w:rsidRDefault="00454D9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0.980</w:t>
            </w:r>
          </w:p>
        </w:tc>
      </w:tr>
      <w:tr w:rsidR="00F43A15" w:rsidRPr="009239F8" w14:paraId="05876251" w14:textId="77777777" w:rsidTr="00A72AA9">
        <w:tc>
          <w:tcPr>
            <w:cnfStyle w:val="001000000000" w:firstRow="0" w:lastRow="0" w:firstColumn="1" w:lastColumn="0" w:oddVBand="0" w:evenVBand="0" w:oddHBand="0" w:evenHBand="0" w:firstRowFirstColumn="0" w:firstRowLastColumn="0" w:lastRowFirstColumn="0" w:lastRowLastColumn="0"/>
            <w:tcW w:w="8982" w:type="dxa"/>
            <w:gridSpan w:val="7"/>
          </w:tcPr>
          <w:p w14:paraId="6D0F784F" w14:textId="77777777" w:rsidR="00F43A15" w:rsidRPr="009239F8" w:rsidRDefault="00F43A15" w:rsidP="009A5B48">
            <w:pPr>
              <w:spacing w:line="480" w:lineRule="auto"/>
              <w:rPr>
                <w:rFonts w:ascii="Times New Roman" w:hAnsi="Times New Roman" w:cs="Times New Roman"/>
                <w:lang w:val="en-US"/>
              </w:rPr>
            </w:pPr>
            <w:r w:rsidRPr="009239F8">
              <w:rPr>
                <w:rFonts w:ascii="Times New Roman" w:hAnsi="Times New Roman" w:cs="Times New Roman"/>
                <w:b w:val="0"/>
                <w:lang w:val="en-US"/>
              </w:rPr>
              <w:t>RV longitudinal</w:t>
            </w:r>
          </w:p>
        </w:tc>
      </w:tr>
      <w:tr w:rsidR="002E6E6A" w:rsidRPr="009239F8" w14:paraId="03380A69"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bottom w:val="nil"/>
            </w:tcBorders>
          </w:tcPr>
          <w:p w14:paraId="35D37B64" w14:textId="77777777" w:rsidR="002E6E6A" w:rsidRPr="009239F8" w:rsidRDefault="002E6E6A"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Basal</w:t>
            </w:r>
          </w:p>
        </w:tc>
        <w:tc>
          <w:tcPr>
            <w:tcW w:w="1016" w:type="dxa"/>
            <w:tcBorders>
              <w:bottom w:val="nil"/>
            </w:tcBorders>
          </w:tcPr>
          <w:p w14:paraId="0D318D7D" w14:textId="2AF612CF"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+28.22</w:t>
            </w:r>
          </w:p>
        </w:tc>
        <w:tc>
          <w:tcPr>
            <w:tcW w:w="1042" w:type="dxa"/>
            <w:tcBorders>
              <w:bottom w:val="nil"/>
            </w:tcBorders>
          </w:tcPr>
          <w:p w14:paraId="410DA5F0" w14:textId="510F5C62"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0.433</w:t>
            </w:r>
          </w:p>
        </w:tc>
        <w:tc>
          <w:tcPr>
            <w:tcW w:w="997" w:type="dxa"/>
            <w:tcBorders>
              <w:bottom w:val="nil"/>
            </w:tcBorders>
          </w:tcPr>
          <w:p w14:paraId="43A3C480" w14:textId="2AA65F44"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-7.67</w:t>
            </w:r>
          </w:p>
        </w:tc>
        <w:tc>
          <w:tcPr>
            <w:tcW w:w="1042" w:type="dxa"/>
            <w:tcBorders>
              <w:bottom w:val="nil"/>
            </w:tcBorders>
          </w:tcPr>
          <w:p w14:paraId="7CB633F2" w14:textId="0F7242AA"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0.707</w:t>
            </w:r>
          </w:p>
        </w:tc>
        <w:tc>
          <w:tcPr>
            <w:tcW w:w="1016" w:type="dxa"/>
            <w:tcBorders>
              <w:bottom w:val="nil"/>
            </w:tcBorders>
          </w:tcPr>
          <w:p w14:paraId="74F3B5C2" w14:textId="5B6E21D7"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-11.57</w:t>
            </w:r>
          </w:p>
        </w:tc>
        <w:tc>
          <w:tcPr>
            <w:tcW w:w="1042" w:type="dxa"/>
            <w:tcBorders>
              <w:bottom w:val="nil"/>
            </w:tcBorders>
          </w:tcPr>
          <w:p w14:paraId="4490D494" w14:textId="628F0436"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0.707</w:t>
            </w:r>
          </w:p>
        </w:tc>
      </w:tr>
      <w:tr w:rsidR="002E6E6A" w:rsidRPr="009239F8" w14:paraId="58CBB86A" w14:textId="77777777" w:rsidTr="00A72AA9">
        <w:tc>
          <w:tcPr>
            <w:cnfStyle w:val="001000000000" w:firstRow="0" w:lastRow="0" w:firstColumn="1" w:lastColumn="0" w:oddVBand="0" w:evenVBand="0" w:oddHBand="0" w:evenHBand="0" w:firstRowFirstColumn="0" w:firstRowLastColumn="0" w:lastRowFirstColumn="0" w:lastRowLastColumn="0"/>
            <w:tcW w:w="2827" w:type="dxa"/>
            <w:tcBorders>
              <w:top w:val="nil"/>
              <w:bottom w:val="nil"/>
            </w:tcBorders>
          </w:tcPr>
          <w:p w14:paraId="17F40D0D" w14:textId="398139C7" w:rsidR="002E6E6A" w:rsidRPr="009239F8" w:rsidRDefault="002E6E6A"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Mid</w:t>
            </w:r>
          </w:p>
        </w:tc>
        <w:tc>
          <w:tcPr>
            <w:tcW w:w="1016" w:type="dxa"/>
            <w:tcBorders>
              <w:top w:val="nil"/>
              <w:bottom w:val="nil"/>
            </w:tcBorders>
          </w:tcPr>
          <w:p w14:paraId="08A57A54" w14:textId="06B771E3" w:rsidR="002E6E6A" w:rsidRPr="009239F8" w:rsidRDefault="002E6E6A"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+0.66</w:t>
            </w:r>
          </w:p>
        </w:tc>
        <w:tc>
          <w:tcPr>
            <w:tcW w:w="1042" w:type="dxa"/>
            <w:tcBorders>
              <w:top w:val="nil"/>
              <w:bottom w:val="nil"/>
            </w:tcBorders>
          </w:tcPr>
          <w:p w14:paraId="4F52A163" w14:textId="701568B5" w:rsidR="002E6E6A" w:rsidRPr="009239F8" w:rsidRDefault="002E6E6A"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0.707</w:t>
            </w:r>
          </w:p>
        </w:tc>
        <w:tc>
          <w:tcPr>
            <w:tcW w:w="997" w:type="dxa"/>
            <w:tcBorders>
              <w:top w:val="nil"/>
              <w:bottom w:val="nil"/>
            </w:tcBorders>
          </w:tcPr>
          <w:p w14:paraId="300627A3" w14:textId="53C49606" w:rsidR="002E6E6A" w:rsidRPr="009239F8" w:rsidRDefault="002E6E6A"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-8.43</w:t>
            </w:r>
          </w:p>
        </w:tc>
        <w:tc>
          <w:tcPr>
            <w:tcW w:w="1042" w:type="dxa"/>
            <w:tcBorders>
              <w:top w:val="nil"/>
              <w:bottom w:val="nil"/>
            </w:tcBorders>
          </w:tcPr>
          <w:p w14:paraId="772B556E" w14:textId="4CA9BA1B" w:rsidR="002E6E6A" w:rsidRPr="009239F8" w:rsidRDefault="002E6E6A"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0.820</w:t>
            </w:r>
          </w:p>
        </w:tc>
        <w:tc>
          <w:tcPr>
            <w:tcW w:w="1016" w:type="dxa"/>
            <w:tcBorders>
              <w:top w:val="nil"/>
              <w:bottom w:val="nil"/>
            </w:tcBorders>
          </w:tcPr>
          <w:p w14:paraId="54794629" w14:textId="385D4728" w:rsidR="002E6E6A" w:rsidRPr="009239F8" w:rsidRDefault="002E6E6A"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+3.29</w:t>
            </w:r>
          </w:p>
        </w:tc>
        <w:tc>
          <w:tcPr>
            <w:tcW w:w="1042" w:type="dxa"/>
            <w:tcBorders>
              <w:top w:val="nil"/>
              <w:bottom w:val="nil"/>
            </w:tcBorders>
          </w:tcPr>
          <w:p w14:paraId="4B856DA2" w14:textId="558E5AF7" w:rsidR="002E6E6A" w:rsidRPr="009239F8" w:rsidRDefault="002E6E6A"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0.992</w:t>
            </w:r>
          </w:p>
        </w:tc>
      </w:tr>
      <w:tr w:rsidR="002E6E6A" w:rsidRPr="009239F8" w14:paraId="0A35A22E"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top w:val="nil"/>
            </w:tcBorders>
          </w:tcPr>
          <w:p w14:paraId="1A6EAF2C" w14:textId="77777777" w:rsidR="002E6E6A" w:rsidRPr="009239F8" w:rsidRDefault="002E6E6A"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Apical</w:t>
            </w:r>
          </w:p>
        </w:tc>
        <w:tc>
          <w:tcPr>
            <w:tcW w:w="1016" w:type="dxa"/>
            <w:tcBorders>
              <w:top w:val="nil"/>
            </w:tcBorders>
          </w:tcPr>
          <w:p w14:paraId="2342FDB5" w14:textId="512A4458"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+0.00</w:t>
            </w:r>
          </w:p>
        </w:tc>
        <w:tc>
          <w:tcPr>
            <w:tcW w:w="1042" w:type="dxa"/>
            <w:tcBorders>
              <w:top w:val="nil"/>
            </w:tcBorders>
          </w:tcPr>
          <w:p w14:paraId="5C0BD09C" w14:textId="7CECEDC3"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0.707</w:t>
            </w:r>
          </w:p>
        </w:tc>
        <w:tc>
          <w:tcPr>
            <w:tcW w:w="997" w:type="dxa"/>
            <w:tcBorders>
              <w:top w:val="nil"/>
            </w:tcBorders>
          </w:tcPr>
          <w:p w14:paraId="4C4ED1EE" w14:textId="118F851C"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-8.00</w:t>
            </w:r>
          </w:p>
        </w:tc>
        <w:tc>
          <w:tcPr>
            <w:tcW w:w="1042" w:type="dxa"/>
            <w:tcBorders>
              <w:top w:val="nil"/>
            </w:tcBorders>
          </w:tcPr>
          <w:p w14:paraId="06D86876" w14:textId="6BF0B26E"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0.707</w:t>
            </w:r>
          </w:p>
        </w:tc>
        <w:tc>
          <w:tcPr>
            <w:tcW w:w="1016" w:type="dxa"/>
            <w:tcBorders>
              <w:top w:val="nil"/>
            </w:tcBorders>
          </w:tcPr>
          <w:p w14:paraId="372C37E8" w14:textId="16C20924"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+10.71</w:t>
            </w:r>
          </w:p>
        </w:tc>
        <w:tc>
          <w:tcPr>
            <w:tcW w:w="1042" w:type="dxa"/>
            <w:tcBorders>
              <w:top w:val="nil"/>
            </w:tcBorders>
          </w:tcPr>
          <w:p w14:paraId="36698C3C" w14:textId="7A84513D" w:rsidR="002E6E6A" w:rsidRPr="009239F8" w:rsidRDefault="002E6E6A"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9239F8">
              <w:rPr>
                <w:rFonts w:ascii="Times New Roman" w:hAnsi="Times New Roman" w:cs="Times New Roman"/>
                <w:lang w:val="en-US"/>
              </w:rPr>
              <w:t>0.868</w:t>
            </w:r>
          </w:p>
        </w:tc>
      </w:tr>
      <w:tr w:rsidR="00F43A15" w:rsidRPr="009239F8" w14:paraId="57248E54" w14:textId="77777777" w:rsidTr="00A72AA9">
        <w:tc>
          <w:tcPr>
            <w:cnfStyle w:val="001000000000" w:firstRow="0" w:lastRow="0" w:firstColumn="1" w:lastColumn="0" w:oddVBand="0" w:evenVBand="0" w:oddHBand="0" w:evenHBand="0" w:firstRowFirstColumn="0" w:firstRowLastColumn="0" w:lastRowFirstColumn="0" w:lastRowLastColumn="0"/>
            <w:tcW w:w="8982" w:type="dxa"/>
            <w:gridSpan w:val="7"/>
          </w:tcPr>
          <w:p w14:paraId="469B8405" w14:textId="77777777" w:rsidR="00F43A15" w:rsidRPr="009239F8" w:rsidRDefault="00F43A15" w:rsidP="009A5B48">
            <w:pPr>
              <w:spacing w:line="480" w:lineRule="auto"/>
              <w:rPr>
                <w:rFonts w:ascii="Times New Roman" w:hAnsi="Times New Roman" w:cs="Times New Roman"/>
                <w:lang w:val="en-US"/>
              </w:rPr>
            </w:pPr>
            <w:r w:rsidRPr="009239F8">
              <w:rPr>
                <w:rFonts w:ascii="Times New Roman" w:hAnsi="Times New Roman" w:cs="Times New Roman"/>
                <w:b w:val="0"/>
                <w:lang w:val="en-US"/>
              </w:rPr>
              <w:t>LV circumferential</w:t>
            </w:r>
          </w:p>
        </w:tc>
      </w:tr>
      <w:tr w:rsidR="002B2B8F" w:rsidRPr="009239F8" w14:paraId="74801926"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bottom w:val="nil"/>
            </w:tcBorders>
          </w:tcPr>
          <w:p w14:paraId="3075168A" w14:textId="77777777" w:rsidR="002B2B8F" w:rsidRPr="009239F8" w:rsidRDefault="002B2B8F"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Lateral</w:t>
            </w:r>
          </w:p>
        </w:tc>
        <w:tc>
          <w:tcPr>
            <w:tcW w:w="1016" w:type="dxa"/>
            <w:tcBorders>
              <w:bottom w:val="nil"/>
            </w:tcBorders>
          </w:tcPr>
          <w:p w14:paraId="16EE86CD" w14:textId="3EE9DFA3"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+3.29</w:t>
            </w:r>
          </w:p>
        </w:tc>
        <w:tc>
          <w:tcPr>
            <w:tcW w:w="1042" w:type="dxa"/>
            <w:tcBorders>
              <w:bottom w:val="nil"/>
            </w:tcBorders>
          </w:tcPr>
          <w:p w14:paraId="57B611B5" w14:textId="6EF6DD4F"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c>
          <w:tcPr>
            <w:tcW w:w="997" w:type="dxa"/>
            <w:tcBorders>
              <w:bottom w:val="nil"/>
            </w:tcBorders>
          </w:tcPr>
          <w:p w14:paraId="7ED21F2C" w14:textId="657483FE"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-0.99</w:t>
            </w:r>
          </w:p>
        </w:tc>
        <w:tc>
          <w:tcPr>
            <w:tcW w:w="1042" w:type="dxa"/>
            <w:tcBorders>
              <w:bottom w:val="nil"/>
            </w:tcBorders>
          </w:tcPr>
          <w:p w14:paraId="5E02D3B1" w14:textId="78BCC1D4"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c>
          <w:tcPr>
            <w:tcW w:w="1016" w:type="dxa"/>
            <w:tcBorders>
              <w:bottom w:val="nil"/>
            </w:tcBorders>
          </w:tcPr>
          <w:p w14:paraId="2D801F1E" w14:textId="44F3F3EA"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-5.32</w:t>
            </w:r>
          </w:p>
        </w:tc>
        <w:tc>
          <w:tcPr>
            <w:tcW w:w="1042" w:type="dxa"/>
            <w:tcBorders>
              <w:bottom w:val="nil"/>
            </w:tcBorders>
          </w:tcPr>
          <w:p w14:paraId="2736985E" w14:textId="25F40478"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r>
      <w:tr w:rsidR="002B2B8F" w:rsidRPr="009239F8" w14:paraId="36F832BF" w14:textId="77777777" w:rsidTr="00A72AA9">
        <w:tc>
          <w:tcPr>
            <w:cnfStyle w:val="001000000000" w:firstRow="0" w:lastRow="0" w:firstColumn="1" w:lastColumn="0" w:oddVBand="0" w:evenVBand="0" w:oddHBand="0" w:evenHBand="0" w:firstRowFirstColumn="0" w:firstRowLastColumn="0" w:lastRowFirstColumn="0" w:lastRowLastColumn="0"/>
            <w:tcW w:w="2827" w:type="dxa"/>
            <w:tcBorders>
              <w:top w:val="nil"/>
              <w:bottom w:val="nil"/>
            </w:tcBorders>
          </w:tcPr>
          <w:p w14:paraId="7151C030" w14:textId="3227260C" w:rsidR="002B2B8F" w:rsidRPr="009239F8" w:rsidRDefault="002B2B8F"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Inferior</w:t>
            </w:r>
          </w:p>
        </w:tc>
        <w:tc>
          <w:tcPr>
            <w:tcW w:w="1016" w:type="dxa"/>
            <w:tcBorders>
              <w:top w:val="nil"/>
              <w:bottom w:val="nil"/>
            </w:tcBorders>
          </w:tcPr>
          <w:p w14:paraId="6846D52A" w14:textId="73EAED80" w:rsidR="002B2B8F" w:rsidRPr="009239F8" w:rsidRDefault="002B2B8F"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+6.83</w:t>
            </w:r>
          </w:p>
        </w:tc>
        <w:tc>
          <w:tcPr>
            <w:tcW w:w="1042" w:type="dxa"/>
            <w:tcBorders>
              <w:top w:val="nil"/>
              <w:bottom w:val="nil"/>
            </w:tcBorders>
          </w:tcPr>
          <w:p w14:paraId="006CA379" w14:textId="01CF3086" w:rsidR="002B2B8F" w:rsidRPr="009239F8" w:rsidRDefault="002B2B8F"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c>
          <w:tcPr>
            <w:tcW w:w="997" w:type="dxa"/>
            <w:tcBorders>
              <w:top w:val="nil"/>
              <w:bottom w:val="nil"/>
            </w:tcBorders>
          </w:tcPr>
          <w:p w14:paraId="62C80C0E" w14:textId="0643C2A6" w:rsidR="002B2B8F" w:rsidRPr="009239F8" w:rsidRDefault="002B2B8F"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+0.00</w:t>
            </w:r>
          </w:p>
        </w:tc>
        <w:tc>
          <w:tcPr>
            <w:tcW w:w="1042" w:type="dxa"/>
            <w:tcBorders>
              <w:top w:val="nil"/>
              <w:bottom w:val="nil"/>
            </w:tcBorders>
          </w:tcPr>
          <w:p w14:paraId="2F8370A5" w14:textId="3AE2296A" w:rsidR="002B2B8F" w:rsidRPr="009239F8" w:rsidRDefault="002B2B8F"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c>
          <w:tcPr>
            <w:tcW w:w="1016" w:type="dxa"/>
            <w:tcBorders>
              <w:top w:val="nil"/>
              <w:bottom w:val="nil"/>
            </w:tcBorders>
          </w:tcPr>
          <w:p w14:paraId="60853D09" w14:textId="02696F18" w:rsidR="002B2B8F" w:rsidRPr="009239F8" w:rsidRDefault="002B2B8F"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-19.40</w:t>
            </w:r>
          </w:p>
        </w:tc>
        <w:tc>
          <w:tcPr>
            <w:tcW w:w="1042" w:type="dxa"/>
            <w:tcBorders>
              <w:top w:val="nil"/>
              <w:bottom w:val="nil"/>
            </w:tcBorders>
          </w:tcPr>
          <w:p w14:paraId="72836CF7" w14:textId="6A1F7A86" w:rsidR="002B2B8F" w:rsidRPr="009239F8" w:rsidRDefault="002B2B8F"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0.543</w:t>
            </w:r>
          </w:p>
        </w:tc>
      </w:tr>
      <w:tr w:rsidR="002B2B8F" w:rsidRPr="009239F8" w14:paraId="2C6B11FB"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top w:val="nil"/>
            </w:tcBorders>
          </w:tcPr>
          <w:p w14:paraId="6ABF9C54" w14:textId="77777777" w:rsidR="002B2B8F" w:rsidRPr="009239F8" w:rsidRDefault="002B2B8F"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Anterior</w:t>
            </w:r>
          </w:p>
        </w:tc>
        <w:tc>
          <w:tcPr>
            <w:tcW w:w="1016" w:type="dxa"/>
            <w:tcBorders>
              <w:top w:val="nil"/>
            </w:tcBorders>
          </w:tcPr>
          <w:p w14:paraId="53DD45A4" w14:textId="7175C5FE"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+15.98</w:t>
            </w:r>
          </w:p>
        </w:tc>
        <w:tc>
          <w:tcPr>
            <w:tcW w:w="1042" w:type="dxa"/>
            <w:tcBorders>
              <w:top w:val="nil"/>
            </w:tcBorders>
          </w:tcPr>
          <w:p w14:paraId="6AC57978" w14:textId="107C5F1B"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0.433</w:t>
            </w:r>
          </w:p>
        </w:tc>
        <w:tc>
          <w:tcPr>
            <w:tcW w:w="997" w:type="dxa"/>
            <w:tcBorders>
              <w:top w:val="nil"/>
            </w:tcBorders>
          </w:tcPr>
          <w:p w14:paraId="34D1E914" w14:textId="1472B81D"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-4.05</w:t>
            </w:r>
          </w:p>
        </w:tc>
        <w:tc>
          <w:tcPr>
            <w:tcW w:w="1042" w:type="dxa"/>
            <w:tcBorders>
              <w:top w:val="nil"/>
            </w:tcBorders>
          </w:tcPr>
          <w:p w14:paraId="73E78119" w14:textId="000AF79A"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0.543</w:t>
            </w:r>
          </w:p>
        </w:tc>
        <w:tc>
          <w:tcPr>
            <w:tcW w:w="1016" w:type="dxa"/>
            <w:tcBorders>
              <w:top w:val="nil"/>
            </w:tcBorders>
          </w:tcPr>
          <w:p w14:paraId="13509E4F" w14:textId="30BCD97C"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+1.72</w:t>
            </w:r>
          </w:p>
        </w:tc>
        <w:tc>
          <w:tcPr>
            <w:tcW w:w="1042" w:type="dxa"/>
            <w:tcBorders>
              <w:top w:val="nil"/>
            </w:tcBorders>
          </w:tcPr>
          <w:p w14:paraId="16D60ADA" w14:textId="3857C267" w:rsidR="002B2B8F" w:rsidRPr="009239F8" w:rsidRDefault="002B2B8F"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0.836</w:t>
            </w:r>
          </w:p>
        </w:tc>
      </w:tr>
      <w:tr w:rsidR="00F43A15" w:rsidRPr="009239F8" w14:paraId="13349CAB" w14:textId="77777777" w:rsidTr="00A72AA9">
        <w:tc>
          <w:tcPr>
            <w:cnfStyle w:val="001000000000" w:firstRow="0" w:lastRow="0" w:firstColumn="1" w:lastColumn="0" w:oddVBand="0" w:evenVBand="0" w:oddHBand="0" w:evenHBand="0" w:firstRowFirstColumn="0" w:firstRowLastColumn="0" w:lastRowFirstColumn="0" w:lastRowLastColumn="0"/>
            <w:tcW w:w="8982" w:type="dxa"/>
            <w:gridSpan w:val="7"/>
          </w:tcPr>
          <w:p w14:paraId="229D9A49" w14:textId="77777777" w:rsidR="00F43A15" w:rsidRPr="009239F8" w:rsidRDefault="00F43A15" w:rsidP="009A5B48">
            <w:pPr>
              <w:spacing w:line="480" w:lineRule="auto"/>
              <w:rPr>
                <w:rFonts w:ascii="Times New Roman" w:hAnsi="Times New Roman" w:cs="Times New Roman"/>
                <w:lang w:val="en-US"/>
              </w:rPr>
            </w:pPr>
            <w:r w:rsidRPr="009239F8">
              <w:rPr>
                <w:rFonts w:ascii="Times New Roman" w:hAnsi="Times New Roman" w:cs="Times New Roman"/>
                <w:b w:val="0"/>
                <w:lang w:val="en-US"/>
              </w:rPr>
              <w:t>RV circumferential</w:t>
            </w:r>
          </w:p>
        </w:tc>
      </w:tr>
      <w:tr w:rsidR="00634F2B" w:rsidRPr="009239F8" w14:paraId="663FFD2B"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bottom w:val="nil"/>
            </w:tcBorders>
          </w:tcPr>
          <w:p w14:paraId="646AFDCC" w14:textId="77777777" w:rsidR="00634F2B" w:rsidRPr="009239F8" w:rsidRDefault="00634F2B"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Lateral</w:t>
            </w:r>
          </w:p>
        </w:tc>
        <w:tc>
          <w:tcPr>
            <w:tcW w:w="1016" w:type="dxa"/>
            <w:tcBorders>
              <w:bottom w:val="nil"/>
            </w:tcBorders>
          </w:tcPr>
          <w:p w14:paraId="7797655B" w14:textId="552FDB50" w:rsidR="00634F2B" w:rsidRPr="009239F8" w:rsidRDefault="00634F2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+7.96</w:t>
            </w:r>
          </w:p>
        </w:tc>
        <w:tc>
          <w:tcPr>
            <w:tcW w:w="1042" w:type="dxa"/>
            <w:tcBorders>
              <w:bottom w:val="nil"/>
            </w:tcBorders>
          </w:tcPr>
          <w:p w14:paraId="061843A1" w14:textId="43265375" w:rsidR="00634F2B" w:rsidRPr="009239F8" w:rsidRDefault="00634F2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0.433</w:t>
            </w:r>
          </w:p>
        </w:tc>
        <w:tc>
          <w:tcPr>
            <w:tcW w:w="997" w:type="dxa"/>
            <w:tcBorders>
              <w:bottom w:val="nil"/>
            </w:tcBorders>
          </w:tcPr>
          <w:p w14:paraId="6BE73CCB" w14:textId="662B07E0" w:rsidR="00634F2B" w:rsidRPr="009239F8" w:rsidRDefault="00634F2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+4.37</w:t>
            </w:r>
          </w:p>
        </w:tc>
        <w:tc>
          <w:tcPr>
            <w:tcW w:w="1042" w:type="dxa"/>
            <w:tcBorders>
              <w:bottom w:val="nil"/>
            </w:tcBorders>
          </w:tcPr>
          <w:p w14:paraId="211438A0" w14:textId="17342636" w:rsidR="00634F2B" w:rsidRPr="009239F8" w:rsidRDefault="00634F2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0.969</w:t>
            </w:r>
          </w:p>
        </w:tc>
        <w:tc>
          <w:tcPr>
            <w:tcW w:w="1016" w:type="dxa"/>
            <w:tcBorders>
              <w:bottom w:val="nil"/>
            </w:tcBorders>
          </w:tcPr>
          <w:p w14:paraId="1FCD15CA" w14:textId="1B0A9085" w:rsidR="00634F2B" w:rsidRPr="009239F8" w:rsidRDefault="00634F2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-17.48</w:t>
            </w:r>
          </w:p>
        </w:tc>
        <w:tc>
          <w:tcPr>
            <w:tcW w:w="1042" w:type="dxa"/>
            <w:tcBorders>
              <w:bottom w:val="nil"/>
            </w:tcBorders>
          </w:tcPr>
          <w:p w14:paraId="19C99AAF" w14:textId="492D0063" w:rsidR="00634F2B" w:rsidRPr="009239F8" w:rsidRDefault="00634F2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r>
      <w:tr w:rsidR="00634F2B" w:rsidRPr="009239F8" w14:paraId="00CEDE55" w14:textId="77777777" w:rsidTr="00A72AA9">
        <w:trPr>
          <w:trHeight w:val="95"/>
        </w:trPr>
        <w:tc>
          <w:tcPr>
            <w:cnfStyle w:val="001000000000" w:firstRow="0" w:lastRow="0" w:firstColumn="1" w:lastColumn="0" w:oddVBand="0" w:evenVBand="0" w:oddHBand="0" w:evenHBand="0" w:firstRowFirstColumn="0" w:firstRowLastColumn="0" w:lastRowFirstColumn="0" w:lastRowLastColumn="0"/>
            <w:tcW w:w="2827" w:type="dxa"/>
            <w:tcBorders>
              <w:top w:val="nil"/>
              <w:bottom w:val="nil"/>
            </w:tcBorders>
          </w:tcPr>
          <w:p w14:paraId="3FE05368" w14:textId="77777777" w:rsidR="00634F2B" w:rsidRPr="009239F8" w:rsidRDefault="00634F2B"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Inferior</w:t>
            </w:r>
          </w:p>
        </w:tc>
        <w:tc>
          <w:tcPr>
            <w:tcW w:w="1016" w:type="dxa"/>
            <w:tcBorders>
              <w:top w:val="nil"/>
              <w:bottom w:val="nil"/>
            </w:tcBorders>
          </w:tcPr>
          <w:p w14:paraId="1BEC8F21" w14:textId="3DFC3E56" w:rsidR="00634F2B" w:rsidRPr="009239F8" w:rsidRDefault="00634F2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+0.00</w:t>
            </w:r>
          </w:p>
        </w:tc>
        <w:tc>
          <w:tcPr>
            <w:tcW w:w="1042" w:type="dxa"/>
            <w:tcBorders>
              <w:top w:val="nil"/>
              <w:bottom w:val="nil"/>
            </w:tcBorders>
          </w:tcPr>
          <w:p w14:paraId="5D3BB05D" w14:textId="6A8422BB" w:rsidR="00634F2B" w:rsidRPr="009239F8" w:rsidRDefault="00634F2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c>
          <w:tcPr>
            <w:tcW w:w="997" w:type="dxa"/>
            <w:tcBorders>
              <w:top w:val="nil"/>
              <w:bottom w:val="nil"/>
            </w:tcBorders>
          </w:tcPr>
          <w:p w14:paraId="55E9D5A5" w14:textId="1C7C72FA" w:rsidR="00634F2B" w:rsidRPr="009239F8" w:rsidRDefault="00634F2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-31.18</w:t>
            </w:r>
          </w:p>
        </w:tc>
        <w:tc>
          <w:tcPr>
            <w:tcW w:w="1042" w:type="dxa"/>
            <w:tcBorders>
              <w:top w:val="nil"/>
              <w:bottom w:val="nil"/>
            </w:tcBorders>
          </w:tcPr>
          <w:p w14:paraId="06B6106F" w14:textId="3B36303B" w:rsidR="00634F2B" w:rsidRPr="009239F8" w:rsidRDefault="00634F2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c>
          <w:tcPr>
            <w:tcW w:w="1016" w:type="dxa"/>
            <w:tcBorders>
              <w:top w:val="nil"/>
              <w:bottom w:val="nil"/>
            </w:tcBorders>
          </w:tcPr>
          <w:p w14:paraId="11A11E9C" w14:textId="762C6F46" w:rsidR="00634F2B" w:rsidRPr="009239F8" w:rsidRDefault="00634F2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+16.34</w:t>
            </w:r>
          </w:p>
        </w:tc>
        <w:tc>
          <w:tcPr>
            <w:tcW w:w="1042" w:type="dxa"/>
            <w:tcBorders>
              <w:top w:val="nil"/>
              <w:bottom w:val="nil"/>
            </w:tcBorders>
          </w:tcPr>
          <w:p w14:paraId="6D20078F" w14:textId="58425AE3" w:rsidR="00634F2B" w:rsidRPr="009239F8" w:rsidRDefault="00634F2B" w:rsidP="009A5B4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0.731</w:t>
            </w:r>
          </w:p>
        </w:tc>
      </w:tr>
      <w:tr w:rsidR="00634F2B" w:rsidRPr="009239F8" w14:paraId="0FC53914" w14:textId="77777777" w:rsidTr="00A72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top w:val="nil"/>
            </w:tcBorders>
          </w:tcPr>
          <w:p w14:paraId="1B340D37" w14:textId="77777777" w:rsidR="00634F2B" w:rsidRPr="009239F8" w:rsidRDefault="00634F2B" w:rsidP="009A5B48">
            <w:pPr>
              <w:spacing w:line="480" w:lineRule="auto"/>
              <w:jc w:val="center"/>
              <w:rPr>
                <w:rFonts w:ascii="Times New Roman" w:hAnsi="Times New Roman" w:cs="Times New Roman"/>
                <w:lang w:val="en-US"/>
              </w:rPr>
            </w:pPr>
            <w:r w:rsidRPr="009239F8">
              <w:rPr>
                <w:rFonts w:ascii="Times New Roman" w:hAnsi="Times New Roman" w:cs="Times New Roman"/>
                <w:b w:val="0"/>
                <w:lang w:val="en-US"/>
              </w:rPr>
              <w:t>Anterior</w:t>
            </w:r>
          </w:p>
        </w:tc>
        <w:tc>
          <w:tcPr>
            <w:tcW w:w="1016" w:type="dxa"/>
            <w:tcBorders>
              <w:top w:val="nil"/>
            </w:tcBorders>
          </w:tcPr>
          <w:p w14:paraId="36EBC283" w14:textId="631E7E25" w:rsidR="00634F2B" w:rsidRPr="009239F8" w:rsidRDefault="00634F2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+10.77</w:t>
            </w:r>
          </w:p>
        </w:tc>
        <w:tc>
          <w:tcPr>
            <w:tcW w:w="1042" w:type="dxa"/>
            <w:tcBorders>
              <w:top w:val="nil"/>
            </w:tcBorders>
          </w:tcPr>
          <w:p w14:paraId="0D91DE2B" w14:textId="08F99E70" w:rsidR="00634F2B" w:rsidRPr="009239F8" w:rsidRDefault="00634F2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0.438</w:t>
            </w:r>
          </w:p>
        </w:tc>
        <w:tc>
          <w:tcPr>
            <w:tcW w:w="997" w:type="dxa"/>
            <w:tcBorders>
              <w:top w:val="nil"/>
            </w:tcBorders>
          </w:tcPr>
          <w:p w14:paraId="3004C6D4" w14:textId="0BCEA2B4" w:rsidR="00634F2B" w:rsidRPr="009239F8" w:rsidRDefault="00634F2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-37.42</w:t>
            </w:r>
          </w:p>
        </w:tc>
        <w:tc>
          <w:tcPr>
            <w:tcW w:w="1042" w:type="dxa"/>
            <w:tcBorders>
              <w:top w:val="nil"/>
            </w:tcBorders>
          </w:tcPr>
          <w:p w14:paraId="424C7720" w14:textId="0B9DD3D8" w:rsidR="00634F2B" w:rsidRPr="009239F8" w:rsidRDefault="00634F2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0.438</w:t>
            </w:r>
          </w:p>
        </w:tc>
        <w:tc>
          <w:tcPr>
            <w:tcW w:w="1016" w:type="dxa"/>
            <w:tcBorders>
              <w:top w:val="nil"/>
            </w:tcBorders>
          </w:tcPr>
          <w:p w14:paraId="0A82E4BD" w14:textId="3B15B59B" w:rsidR="00634F2B" w:rsidRPr="009239F8" w:rsidRDefault="00634F2B" w:rsidP="009A5B4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+20.24</w:t>
            </w:r>
          </w:p>
        </w:tc>
        <w:tc>
          <w:tcPr>
            <w:tcW w:w="1042" w:type="dxa"/>
            <w:tcBorders>
              <w:top w:val="nil"/>
            </w:tcBorders>
          </w:tcPr>
          <w:p w14:paraId="5A8DDF88" w14:textId="45CC7BC1" w:rsidR="00634F2B" w:rsidRPr="009239F8" w:rsidRDefault="00634F2B" w:rsidP="009A5B48">
            <w:pPr>
              <w:keepNext/>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239F8">
              <w:rPr>
                <w:rFonts w:ascii="Times New Roman" w:hAnsi="Times New Roman" w:cs="Times New Roman"/>
                <w:lang w:val="en-US"/>
              </w:rPr>
              <w:t>0.707</w:t>
            </w:r>
          </w:p>
        </w:tc>
      </w:tr>
    </w:tbl>
    <w:p w14:paraId="3B540D6A" w14:textId="77777777" w:rsidR="00436627" w:rsidRPr="009239F8" w:rsidRDefault="00436627" w:rsidP="009A5B48">
      <w:pPr>
        <w:spacing w:line="480" w:lineRule="auto"/>
        <w:rPr>
          <w:lang w:val="en-US"/>
        </w:rPr>
      </w:pPr>
    </w:p>
    <w:p w14:paraId="2B54FB75" w14:textId="5B9A39C9" w:rsidR="00B80745" w:rsidRPr="009239F8" w:rsidRDefault="00B80745" w:rsidP="009A5B48">
      <w:pPr>
        <w:pStyle w:val="Caption"/>
        <w:keepNext/>
        <w:spacing w:line="480" w:lineRule="auto"/>
        <w:jc w:val="both"/>
        <w:rPr>
          <w:color w:val="auto"/>
          <w:lang w:val="en-US"/>
        </w:rPr>
      </w:pPr>
      <w:bookmarkStart w:id="20" w:name="_Ref233627784"/>
      <w:r w:rsidRPr="009239F8">
        <w:rPr>
          <w:color w:val="auto"/>
          <w:lang w:val="en-US"/>
        </w:rPr>
        <w:t xml:space="preserve">Table S </w:t>
      </w:r>
      <w:r w:rsidRPr="009239F8">
        <w:rPr>
          <w:color w:val="auto"/>
          <w:lang w:val="en-US"/>
        </w:rPr>
        <w:fldChar w:fldCharType="begin"/>
      </w:r>
      <w:r w:rsidRPr="009239F8">
        <w:rPr>
          <w:color w:val="auto"/>
          <w:lang w:val="en-US"/>
        </w:rPr>
        <w:instrText xml:space="preserve"> SEQ Table_S \* ARABIC </w:instrText>
      </w:r>
      <w:r w:rsidRPr="009239F8">
        <w:rPr>
          <w:color w:val="auto"/>
          <w:lang w:val="en-US"/>
        </w:rPr>
        <w:fldChar w:fldCharType="separate"/>
      </w:r>
      <w:r w:rsidR="00890076" w:rsidRPr="009239F8">
        <w:rPr>
          <w:noProof/>
          <w:color w:val="auto"/>
          <w:lang w:val="en-US"/>
        </w:rPr>
        <w:t>11</w:t>
      </w:r>
      <w:r w:rsidRPr="009239F8">
        <w:rPr>
          <w:color w:val="auto"/>
          <w:lang w:val="en-US"/>
        </w:rPr>
        <w:fldChar w:fldCharType="end"/>
      </w:r>
      <w:bookmarkEnd w:id="20"/>
      <w:r w:rsidR="00EF2C44" w:rsidRPr="009239F8">
        <w:rPr>
          <w:color w:val="auto"/>
          <w:lang w:val="en-US"/>
        </w:rPr>
        <w:t xml:space="preserve">.  </w:t>
      </w:r>
      <w:r w:rsidR="00EF2C44" w:rsidRPr="009239F8">
        <w:rPr>
          <w:rFonts w:cs="Times New Roman"/>
          <w:b/>
          <w:color w:val="auto"/>
          <w:lang w:val="en-US"/>
        </w:rPr>
        <w:t>Regional-level differences in aging repolarization (AgR) classes between early-stage hypertensive (eHTN) and healthy MyoFit46 cohorts.</w:t>
      </w:r>
      <w:r w:rsidR="00BB3AB1" w:rsidRPr="009239F8">
        <w:rPr>
          <w:rFonts w:cs="Times New Roman"/>
          <w:b/>
          <w:color w:val="auto"/>
          <w:lang w:val="en-US"/>
        </w:rPr>
        <w:t xml:space="preserve"> </w:t>
      </w:r>
      <w:r w:rsidR="00BB3AB1" w:rsidRPr="009239F8">
        <w:rPr>
          <w:rFonts w:cs="Times New Roman"/>
          <w:bCs/>
          <w:color w:val="auto"/>
          <w:lang w:val="en-US"/>
        </w:rPr>
        <w:t>Per-segment sign test of AgR class redistribution between healthy and eHTN MyoFit46 cohorts. For each AgR class (AgR↑, APD prolongation; AgR↓, APD shortening; AgR=, neutral), segment-level differences (eHTN − healthy) in class contribution were classified as positive (eHTN &gt; healthy), negative (eHTN &lt; healthy), or tied, and tested for directional consistency using a two-sided sign test (exact binomial) across regions. Benjamini–Hochberg correction (padj) was applied across the three class-level tests.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1759"/>
        <w:gridCol w:w="1701"/>
        <w:gridCol w:w="1048"/>
        <w:gridCol w:w="1503"/>
        <w:gridCol w:w="1503"/>
      </w:tblGrid>
      <w:tr w:rsidR="005F68F8" w:rsidRPr="009239F8" w14:paraId="2C3472AF" w14:textId="77777777" w:rsidTr="00B80745">
        <w:tc>
          <w:tcPr>
            <w:tcW w:w="1502" w:type="dxa"/>
            <w:tcBorders>
              <w:top w:val="single" w:sz="4" w:space="0" w:color="auto"/>
              <w:bottom w:val="single" w:sz="4" w:space="0" w:color="auto"/>
            </w:tcBorders>
            <w:vAlign w:val="center"/>
          </w:tcPr>
          <w:p w14:paraId="602535D1" w14:textId="301F3F72"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Quantity</w:t>
            </w:r>
          </w:p>
        </w:tc>
        <w:tc>
          <w:tcPr>
            <w:tcW w:w="1759" w:type="dxa"/>
            <w:tcBorders>
              <w:top w:val="single" w:sz="4" w:space="0" w:color="auto"/>
              <w:bottom w:val="single" w:sz="4" w:space="0" w:color="auto"/>
            </w:tcBorders>
            <w:vAlign w:val="center"/>
          </w:tcPr>
          <w:p w14:paraId="0E8E7E00" w14:textId="39D1B6AE"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eHTN &gt; Healthy</w:t>
            </w:r>
          </w:p>
        </w:tc>
        <w:tc>
          <w:tcPr>
            <w:tcW w:w="1701" w:type="dxa"/>
            <w:tcBorders>
              <w:top w:val="single" w:sz="4" w:space="0" w:color="auto"/>
              <w:bottom w:val="single" w:sz="4" w:space="0" w:color="auto"/>
            </w:tcBorders>
            <w:vAlign w:val="center"/>
          </w:tcPr>
          <w:p w14:paraId="0B848F22" w14:textId="3D5A08E1"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eHTN &lt; Healthy</w:t>
            </w:r>
          </w:p>
        </w:tc>
        <w:tc>
          <w:tcPr>
            <w:tcW w:w="1048" w:type="dxa"/>
            <w:tcBorders>
              <w:top w:val="single" w:sz="4" w:space="0" w:color="auto"/>
              <w:bottom w:val="single" w:sz="4" w:space="0" w:color="auto"/>
            </w:tcBorders>
            <w:vAlign w:val="center"/>
          </w:tcPr>
          <w:p w14:paraId="7773C99D" w14:textId="42136725"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Tied</w:t>
            </w:r>
          </w:p>
        </w:tc>
        <w:tc>
          <w:tcPr>
            <w:tcW w:w="1503" w:type="dxa"/>
            <w:tcBorders>
              <w:top w:val="single" w:sz="4" w:space="0" w:color="auto"/>
              <w:bottom w:val="single" w:sz="4" w:space="0" w:color="auto"/>
            </w:tcBorders>
            <w:vAlign w:val="center"/>
          </w:tcPr>
          <w:p w14:paraId="300A8A11" w14:textId="7D68D440"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i/>
                <w:iCs/>
                <w:lang w:val="en-US"/>
              </w:rPr>
              <w:t>p</w:t>
            </w:r>
            <w:r w:rsidRPr="009239F8">
              <w:rPr>
                <w:rFonts w:ascii="Times New Roman" w:hAnsi="Times New Roman" w:cs="Times New Roman"/>
                <w:lang w:val="en-US"/>
              </w:rPr>
              <w:t>-value</w:t>
            </w:r>
          </w:p>
        </w:tc>
        <w:tc>
          <w:tcPr>
            <w:tcW w:w="1503" w:type="dxa"/>
            <w:tcBorders>
              <w:top w:val="single" w:sz="4" w:space="0" w:color="auto"/>
              <w:bottom w:val="single" w:sz="4" w:space="0" w:color="auto"/>
            </w:tcBorders>
            <w:vAlign w:val="center"/>
          </w:tcPr>
          <w:p w14:paraId="1F5F75BC" w14:textId="39A384F9"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i/>
                <w:iCs/>
                <w:lang w:val="en-US"/>
              </w:rPr>
              <w:t>p</w:t>
            </w:r>
            <w:r w:rsidRPr="009239F8">
              <w:rPr>
                <w:rFonts w:ascii="Times New Roman" w:hAnsi="Times New Roman" w:cs="Times New Roman"/>
                <w:vertAlign w:val="subscript"/>
                <w:lang w:val="en-US"/>
              </w:rPr>
              <w:t>adj</w:t>
            </w:r>
          </w:p>
        </w:tc>
      </w:tr>
      <w:tr w:rsidR="005F68F8" w:rsidRPr="009239F8" w14:paraId="50BBA845" w14:textId="77777777" w:rsidTr="00B80745">
        <w:tc>
          <w:tcPr>
            <w:tcW w:w="1502" w:type="dxa"/>
            <w:tcBorders>
              <w:top w:val="single" w:sz="4" w:space="0" w:color="auto"/>
            </w:tcBorders>
            <w:vAlign w:val="center"/>
          </w:tcPr>
          <w:p w14:paraId="73205EB1" w14:textId="665FBB89"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AgR</w:t>
            </w:r>
            <w:r w:rsidRPr="009239F8">
              <w:rPr>
                <w:rFonts w:ascii="Times New Roman" w:hAnsi="Times New Roman" w:cs="Times New Roman"/>
                <w:vertAlign w:val="superscript"/>
                <w:lang w:val="en-US"/>
              </w:rPr>
              <w:t>↑</w:t>
            </w:r>
          </w:p>
        </w:tc>
        <w:tc>
          <w:tcPr>
            <w:tcW w:w="1759" w:type="dxa"/>
            <w:tcBorders>
              <w:top w:val="single" w:sz="4" w:space="0" w:color="auto"/>
            </w:tcBorders>
            <w:vAlign w:val="center"/>
          </w:tcPr>
          <w:p w14:paraId="3BDD9234" w14:textId="38776D2C"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w:t>
            </w:r>
            <w:r w:rsidR="00A826E9" w:rsidRPr="009239F8">
              <w:rPr>
                <w:rFonts w:ascii="Times New Roman" w:hAnsi="Times New Roman" w:cs="Times New Roman"/>
                <w:lang w:val="en-US"/>
              </w:rPr>
              <w:t>2</w:t>
            </w:r>
          </w:p>
        </w:tc>
        <w:tc>
          <w:tcPr>
            <w:tcW w:w="1701" w:type="dxa"/>
            <w:tcBorders>
              <w:top w:val="single" w:sz="4" w:space="0" w:color="auto"/>
            </w:tcBorders>
            <w:vAlign w:val="center"/>
          </w:tcPr>
          <w:p w14:paraId="3E3EAFEE" w14:textId="27E9D635" w:rsidR="005F68F8" w:rsidRPr="009239F8" w:rsidRDefault="00A826E9"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w:t>
            </w:r>
          </w:p>
        </w:tc>
        <w:tc>
          <w:tcPr>
            <w:tcW w:w="1048" w:type="dxa"/>
            <w:tcBorders>
              <w:top w:val="single" w:sz="4" w:space="0" w:color="auto"/>
            </w:tcBorders>
            <w:vAlign w:val="center"/>
          </w:tcPr>
          <w:p w14:paraId="05F00B8A" w14:textId="18E260A8" w:rsidR="005F68F8" w:rsidRPr="009239F8" w:rsidRDefault="0026661E"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w:t>
            </w:r>
          </w:p>
        </w:tc>
        <w:tc>
          <w:tcPr>
            <w:tcW w:w="1503" w:type="dxa"/>
            <w:tcBorders>
              <w:top w:val="single" w:sz="4" w:space="0" w:color="auto"/>
            </w:tcBorders>
            <w:vAlign w:val="center"/>
          </w:tcPr>
          <w:p w14:paraId="64F76AF2" w14:textId="2497E8D0" w:rsidR="005F68F8" w:rsidRPr="009239F8" w:rsidRDefault="00C2119E"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&lt;0.001</w:t>
            </w:r>
          </w:p>
        </w:tc>
        <w:tc>
          <w:tcPr>
            <w:tcW w:w="1503" w:type="dxa"/>
            <w:tcBorders>
              <w:top w:val="single" w:sz="4" w:space="0" w:color="auto"/>
            </w:tcBorders>
            <w:vAlign w:val="center"/>
          </w:tcPr>
          <w:p w14:paraId="02CEC080" w14:textId="10D976F6" w:rsidR="005F68F8" w:rsidRPr="009239F8" w:rsidRDefault="005F68F8" w:rsidP="009A5B48">
            <w:pPr>
              <w:spacing w:line="480" w:lineRule="auto"/>
              <w:jc w:val="center"/>
              <w:rPr>
                <w:rFonts w:ascii="Times New Roman" w:hAnsi="Times New Roman" w:cs="Times New Roman"/>
                <w:b/>
                <w:bCs/>
                <w:lang w:val="en-US"/>
              </w:rPr>
            </w:pPr>
            <w:r w:rsidRPr="009239F8">
              <w:rPr>
                <w:rFonts w:ascii="Times New Roman" w:hAnsi="Times New Roman" w:cs="Times New Roman"/>
                <w:b/>
                <w:bCs/>
                <w:lang w:val="en-US"/>
              </w:rPr>
              <w:t>0.</w:t>
            </w:r>
            <w:r w:rsidR="00B80745" w:rsidRPr="009239F8">
              <w:rPr>
                <w:rFonts w:ascii="Times New Roman" w:hAnsi="Times New Roman" w:cs="Times New Roman"/>
                <w:b/>
                <w:bCs/>
                <w:lang w:val="en-US"/>
              </w:rPr>
              <w:t>001</w:t>
            </w:r>
          </w:p>
        </w:tc>
      </w:tr>
      <w:tr w:rsidR="005F68F8" w:rsidRPr="009239F8" w14:paraId="5B1796BB" w14:textId="77777777" w:rsidTr="00B80745">
        <w:tc>
          <w:tcPr>
            <w:tcW w:w="1502" w:type="dxa"/>
            <w:vAlign w:val="center"/>
          </w:tcPr>
          <w:p w14:paraId="4A333AA1" w14:textId="5681D8BB"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AgR</w:t>
            </w:r>
            <w:r w:rsidRPr="009239F8">
              <w:rPr>
                <w:rFonts w:ascii="Times New Roman" w:hAnsi="Times New Roman" w:cs="Times New Roman"/>
                <w:vertAlign w:val="superscript"/>
                <w:lang w:val="en-US"/>
              </w:rPr>
              <w:t>↓</w:t>
            </w:r>
          </w:p>
        </w:tc>
        <w:tc>
          <w:tcPr>
            <w:tcW w:w="1759" w:type="dxa"/>
            <w:vAlign w:val="center"/>
          </w:tcPr>
          <w:p w14:paraId="2A5D21FC" w14:textId="4A9AD816" w:rsidR="005F68F8" w:rsidRPr="009239F8" w:rsidRDefault="0026661E"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3</w:t>
            </w:r>
          </w:p>
        </w:tc>
        <w:tc>
          <w:tcPr>
            <w:tcW w:w="1701" w:type="dxa"/>
            <w:vAlign w:val="center"/>
          </w:tcPr>
          <w:p w14:paraId="51ED7ED0" w14:textId="1AB7D4D3" w:rsidR="005F68F8" w:rsidRPr="009239F8" w:rsidRDefault="0026661E"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11</w:t>
            </w:r>
          </w:p>
        </w:tc>
        <w:tc>
          <w:tcPr>
            <w:tcW w:w="1048" w:type="dxa"/>
            <w:vAlign w:val="center"/>
          </w:tcPr>
          <w:p w14:paraId="1F26C93B" w14:textId="6A1DE577" w:rsidR="005F68F8" w:rsidRPr="009239F8" w:rsidRDefault="0026661E"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w:t>
            </w:r>
          </w:p>
        </w:tc>
        <w:tc>
          <w:tcPr>
            <w:tcW w:w="1503" w:type="dxa"/>
            <w:vAlign w:val="center"/>
          </w:tcPr>
          <w:p w14:paraId="2E02A3D7" w14:textId="583E686B"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0.05</w:t>
            </w:r>
            <w:r w:rsidR="006D0345" w:rsidRPr="009239F8">
              <w:rPr>
                <w:rFonts w:ascii="Times New Roman" w:hAnsi="Times New Roman" w:cs="Times New Roman"/>
                <w:lang w:val="en-US"/>
              </w:rPr>
              <w:t>7</w:t>
            </w:r>
          </w:p>
        </w:tc>
        <w:tc>
          <w:tcPr>
            <w:tcW w:w="1503" w:type="dxa"/>
            <w:vAlign w:val="center"/>
          </w:tcPr>
          <w:p w14:paraId="36544CEB" w14:textId="2AC63484"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w:t>
            </w:r>
            <w:r w:rsidR="00B80745" w:rsidRPr="009239F8">
              <w:rPr>
                <w:rFonts w:ascii="Times New Roman" w:hAnsi="Times New Roman" w:cs="Times New Roman"/>
                <w:lang w:val="en-US"/>
              </w:rPr>
              <w:t>086</w:t>
            </w:r>
          </w:p>
        </w:tc>
      </w:tr>
      <w:tr w:rsidR="005F68F8" w:rsidRPr="009239F8" w14:paraId="6BF667E7" w14:textId="77777777" w:rsidTr="00B80745">
        <w:tc>
          <w:tcPr>
            <w:tcW w:w="1502" w:type="dxa"/>
            <w:vAlign w:val="center"/>
          </w:tcPr>
          <w:p w14:paraId="32FE6917" w14:textId="1CEE60BE" w:rsidR="005F68F8" w:rsidRPr="009239F8" w:rsidRDefault="005F68F8"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AgR=</w:t>
            </w:r>
          </w:p>
        </w:tc>
        <w:tc>
          <w:tcPr>
            <w:tcW w:w="1759" w:type="dxa"/>
            <w:vAlign w:val="center"/>
          </w:tcPr>
          <w:p w14:paraId="65125312" w14:textId="70A90E30" w:rsidR="005F68F8" w:rsidRPr="009239F8" w:rsidRDefault="0026661E"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8</w:t>
            </w:r>
          </w:p>
        </w:tc>
        <w:tc>
          <w:tcPr>
            <w:tcW w:w="1701" w:type="dxa"/>
            <w:vAlign w:val="center"/>
          </w:tcPr>
          <w:p w14:paraId="0B09D0D4" w14:textId="226C6306" w:rsidR="005F68F8" w:rsidRPr="009239F8" w:rsidRDefault="0026661E"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7</w:t>
            </w:r>
          </w:p>
        </w:tc>
        <w:tc>
          <w:tcPr>
            <w:tcW w:w="1048" w:type="dxa"/>
            <w:vAlign w:val="center"/>
          </w:tcPr>
          <w:p w14:paraId="129D0F17" w14:textId="5E985C35" w:rsidR="005F68F8" w:rsidRPr="009239F8" w:rsidRDefault="0026661E"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w:t>
            </w:r>
          </w:p>
        </w:tc>
        <w:tc>
          <w:tcPr>
            <w:tcW w:w="1503" w:type="dxa"/>
            <w:vAlign w:val="center"/>
          </w:tcPr>
          <w:p w14:paraId="2E589011" w14:textId="276491E9" w:rsidR="005F68F8" w:rsidRPr="009239F8" w:rsidRDefault="006D034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1.000</w:t>
            </w:r>
          </w:p>
        </w:tc>
        <w:tc>
          <w:tcPr>
            <w:tcW w:w="1503" w:type="dxa"/>
            <w:vAlign w:val="center"/>
          </w:tcPr>
          <w:p w14:paraId="169BA42F" w14:textId="01B56807" w:rsidR="005F68F8" w:rsidRPr="009239F8" w:rsidRDefault="00B80745"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1.000</w:t>
            </w:r>
          </w:p>
        </w:tc>
      </w:tr>
    </w:tbl>
    <w:p w14:paraId="63BE0CFF" w14:textId="77777777" w:rsidR="00436627" w:rsidRPr="009239F8" w:rsidRDefault="00436627" w:rsidP="009A5B48">
      <w:pPr>
        <w:spacing w:line="480" w:lineRule="auto"/>
        <w:rPr>
          <w:lang w:val="en-US"/>
        </w:rPr>
      </w:pPr>
    </w:p>
    <w:p w14:paraId="534E6F72" w14:textId="69C829B1" w:rsidR="0005032C" w:rsidRPr="009239F8" w:rsidRDefault="0005032C"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w:t>
      </w:r>
      <w:r w:rsidR="008E5394" w:rsidRPr="009239F8">
        <w:rPr>
          <w:rFonts w:ascii="Times New Roman" w:hAnsi="Times New Roman" w:cs="Times New Roman"/>
          <w:color w:val="auto"/>
          <w:lang w:val="en-US"/>
        </w:rPr>
        <w:t>9</w:t>
      </w:r>
      <w:r w:rsidRPr="009239F8">
        <w:rPr>
          <w:rFonts w:ascii="Times New Roman" w:hAnsi="Times New Roman" w:cs="Times New Roman"/>
          <w:color w:val="auto"/>
          <w:lang w:val="en-US"/>
        </w:rPr>
        <w:t>: Inclusion / exclusion criteria</w:t>
      </w:r>
    </w:p>
    <w:p w14:paraId="03164F12" w14:textId="07A0364E" w:rsidR="0005032C" w:rsidRPr="009239F8" w:rsidRDefault="0005032C"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 xml:space="preserve">Participants were selected from the MyoFit46 cohort according to predefined inclusion and exclusion criteria designed to identify a healthy reference subgroup free from conditions known to alter cardiac electrophysiology or myocardial structure. Criteria spanned functional status, metabolic and </w:t>
      </w:r>
      <w:r w:rsidR="00E33088" w:rsidRPr="009239F8">
        <w:rPr>
          <w:rFonts w:ascii="Times New Roman" w:hAnsi="Times New Roman" w:cs="Times New Roman"/>
          <w:lang w:val="en-US"/>
        </w:rPr>
        <w:t>hemodynamic</w:t>
      </w:r>
      <w:r w:rsidRPr="009239F8">
        <w:rPr>
          <w:rFonts w:ascii="Times New Roman" w:hAnsi="Times New Roman" w:cs="Times New Roman"/>
          <w:lang w:val="en-US"/>
        </w:rPr>
        <w:t xml:space="preserve"> profile, respiratory health, oncological history, cardiac rhythm, cardiovascular history, ventricular function, and myocardial tissue </w:t>
      </w:r>
      <w:r w:rsidR="008B77B6" w:rsidRPr="009239F8">
        <w:rPr>
          <w:rFonts w:ascii="Times New Roman" w:hAnsi="Times New Roman" w:cs="Times New Roman"/>
          <w:lang w:val="en-US"/>
        </w:rPr>
        <w:t>characterization</w:t>
      </w:r>
      <w:r w:rsidRPr="009239F8">
        <w:rPr>
          <w:rFonts w:ascii="Times New Roman" w:hAnsi="Times New Roman" w:cs="Times New Roman"/>
          <w:lang w:val="en-US"/>
        </w:rPr>
        <w:t xml:space="preserve">. End-stage renal disease was an exclusion criterion applied at the recruitment stage, so all enrolled participants had suitable renal function by default. The detailed list of inclusion/exclusion criteria is listed on </w:t>
      </w:r>
      <w:r w:rsidRPr="009239F8">
        <w:rPr>
          <w:rFonts w:ascii="Times New Roman" w:hAnsi="Times New Roman" w:cs="Times New Roman"/>
          <w:lang w:val="en-US"/>
        </w:rPr>
        <w:fldChar w:fldCharType="begin"/>
      </w:r>
      <w:r w:rsidRPr="009239F8">
        <w:rPr>
          <w:rFonts w:ascii="Times New Roman" w:hAnsi="Times New Roman" w:cs="Times New Roman"/>
          <w:lang w:val="en-US"/>
        </w:rPr>
        <w:instrText xml:space="preserve"> REF _Ref230277553 \h  \* MERGEFORMAT </w:instrText>
      </w:r>
      <w:r w:rsidRPr="009239F8">
        <w:rPr>
          <w:rFonts w:ascii="Times New Roman" w:hAnsi="Times New Roman" w:cs="Times New Roman"/>
          <w:lang w:val="en-US"/>
        </w:rPr>
      </w:r>
      <w:r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Table S </w:t>
      </w:r>
      <w:r w:rsidR="00890076" w:rsidRPr="009239F8">
        <w:rPr>
          <w:rFonts w:ascii="Times New Roman" w:hAnsi="Times New Roman" w:cs="Times New Roman"/>
          <w:b/>
          <w:bCs/>
          <w:noProof/>
          <w:lang w:val="en-US"/>
        </w:rPr>
        <w:t>12</w:t>
      </w:r>
      <w:r w:rsidRPr="009239F8">
        <w:rPr>
          <w:rFonts w:ascii="Times New Roman" w:hAnsi="Times New Roman" w:cs="Times New Roman"/>
          <w:lang w:val="en-US"/>
        </w:rPr>
        <w:fldChar w:fldCharType="end"/>
      </w:r>
      <w:r w:rsidR="00886597" w:rsidRPr="009239F8">
        <w:rPr>
          <w:rFonts w:ascii="Times New Roman" w:hAnsi="Times New Roman" w:cs="Times New Roman"/>
          <w:lang w:val="en-US"/>
        </w:rPr>
        <w:t>.</w:t>
      </w:r>
    </w:p>
    <w:p w14:paraId="09E4132D" w14:textId="5733285C" w:rsidR="0005032C" w:rsidRPr="009239F8" w:rsidRDefault="0005032C" w:rsidP="009A5B48">
      <w:pPr>
        <w:pStyle w:val="Caption"/>
        <w:keepNext/>
        <w:spacing w:line="480" w:lineRule="auto"/>
        <w:jc w:val="both"/>
        <w:rPr>
          <w:rFonts w:cs="Times New Roman"/>
          <w:b/>
          <w:color w:val="auto"/>
          <w:lang w:val="en-US"/>
        </w:rPr>
      </w:pPr>
      <w:bookmarkStart w:id="21" w:name="_Ref230277553"/>
      <w:r w:rsidRPr="009239F8">
        <w:rPr>
          <w:rFonts w:cs="Times New Roman"/>
          <w:b/>
          <w:color w:val="auto"/>
          <w:lang w:val="en-US"/>
        </w:rPr>
        <w:t xml:space="preserve">Table S </w:t>
      </w:r>
      <w:r w:rsidR="00005911" w:rsidRPr="009239F8">
        <w:rPr>
          <w:rFonts w:cs="Times New Roman"/>
          <w:b/>
          <w:color w:val="auto"/>
          <w:lang w:val="en-US"/>
        </w:rPr>
        <w:fldChar w:fldCharType="begin"/>
      </w:r>
      <w:r w:rsidR="00005911" w:rsidRPr="009239F8">
        <w:rPr>
          <w:rFonts w:cs="Times New Roman"/>
          <w:b/>
          <w:bCs/>
          <w:color w:val="auto"/>
          <w:lang w:val="en-US"/>
        </w:rPr>
        <w:instrText xml:space="preserve"> SEQ Table_S \* ARABIC </w:instrText>
      </w:r>
      <w:r w:rsidR="00005911" w:rsidRPr="009239F8">
        <w:rPr>
          <w:rFonts w:cs="Times New Roman"/>
          <w:b/>
          <w:color w:val="auto"/>
          <w:lang w:val="en-US"/>
        </w:rPr>
        <w:fldChar w:fldCharType="separate"/>
      </w:r>
      <w:r w:rsidR="00890076" w:rsidRPr="009239F8">
        <w:rPr>
          <w:rFonts w:cs="Times New Roman"/>
          <w:b/>
          <w:bCs/>
          <w:noProof/>
          <w:color w:val="auto"/>
          <w:lang w:val="en-US"/>
        </w:rPr>
        <w:t>12</w:t>
      </w:r>
      <w:r w:rsidR="00005911" w:rsidRPr="009239F8">
        <w:rPr>
          <w:rFonts w:cs="Times New Roman"/>
          <w:b/>
          <w:color w:val="auto"/>
          <w:lang w:val="en-US"/>
        </w:rPr>
        <w:fldChar w:fldCharType="end"/>
      </w:r>
      <w:bookmarkEnd w:id="21"/>
      <w:r w:rsidR="00886597" w:rsidRPr="009239F8">
        <w:rPr>
          <w:rFonts w:cs="Times New Roman"/>
          <w:b/>
          <w:color w:val="auto"/>
          <w:lang w:val="en-US"/>
        </w:rPr>
        <w:t>.</w:t>
      </w:r>
      <w:r w:rsidRPr="009239F8">
        <w:rPr>
          <w:rFonts w:cs="Times New Roman"/>
          <w:b/>
          <w:color w:val="auto"/>
          <w:lang w:val="en-US"/>
        </w:rPr>
        <w:t xml:space="preserve"> </w:t>
      </w:r>
      <w:r w:rsidRPr="009239F8">
        <w:rPr>
          <w:rFonts w:cs="Times New Roman"/>
          <w:b/>
          <w:bCs/>
          <w:color w:val="auto"/>
          <w:lang w:val="en-US"/>
        </w:rPr>
        <w:t>Inclusion/exclusion criteria for healthy reference subgroup.</w:t>
      </w:r>
      <w:r w:rsidRPr="009239F8">
        <w:rPr>
          <w:rFonts w:cs="Times New Roman"/>
          <w:color w:val="auto"/>
          <w:lang w:val="en-US"/>
        </w:rPr>
        <w:t xml:space="preserve"> End-stage renal disease was already an exclusion criterion for recruitment so by default all recruited participants had suitable renal function. BMI – body mass index; ECGI</w:t>
      </w:r>
      <w:r w:rsidR="007E4678" w:rsidRPr="009239F8">
        <w:rPr>
          <w:rFonts w:cs="Times New Roman"/>
          <w:color w:val="auto"/>
          <w:lang w:val="en-US"/>
        </w:rPr>
        <w:t xml:space="preserve">: </w:t>
      </w:r>
      <w:r w:rsidRPr="009239F8">
        <w:rPr>
          <w:rFonts w:cs="Times New Roman"/>
          <w:color w:val="auto"/>
          <w:lang w:val="en-US"/>
        </w:rPr>
        <w:t>electrocardiographic imaging; LGE</w:t>
      </w:r>
      <w:r w:rsidR="007E4678" w:rsidRPr="009239F8">
        <w:rPr>
          <w:rFonts w:cs="Times New Roman"/>
          <w:color w:val="auto"/>
          <w:lang w:val="en-US"/>
        </w:rPr>
        <w:t xml:space="preserve">: </w:t>
      </w:r>
      <w:r w:rsidRPr="009239F8">
        <w:rPr>
          <w:rFonts w:cs="Times New Roman"/>
          <w:color w:val="auto"/>
          <w:lang w:val="en-US"/>
        </w:rPr>
        <w:t>late gadolinium enhancement; LVEF</w:t>
      </w:r>
      <w:r w:rsidR="007E4678" w:rsidRPr="009239F8">
        <w:rPr>
          <w:rFonts w:cs="Times New Roman"/>
          <w:color w:val="auto"/>
          <w:lang w:val="en-US"/>
        </w:rPr>
        <w:t xml:space="preserve">: </w:t>
      </w:r>
      <w:r w:rsidRPr="009239F8">
        <w:rPr>
          <w:rFonts w:cs="Times New Roman"/>
          <w:color w:val="auto"/>
          <w:lang w:val="en-US"/>
        </w:rPr>
        <w:t>left ventricular ejection fraction; NYHA</w:t>
      </w:r>
      <w:r w:rsidR="007E4678" w:rsidRPr="009239F8">
        <w:rPr>
          <w:rFonts w:cs="Times New Roman"/>
          <w:color w:val="auto"/>
          <w:lang w:val="en-US"/>
        </w:rPr>
        <w:t xml:space="preserve">: </w:t>
      </w:r>
      <w:r w:rsidRPr="009239F8">
        <w:rPr>
          <w:rFonts w:cs="Times New Roman"/>
          <w:color w:val="auto"/>
          <w:lang w:val="en-US"/>
        </w:rPr>
        <w:t>New York Heart Association.</w:t>
      </w:r>
    </w:p>
    <w:tbl>
      <w:tblPr>
        <w:tblW w:w="8505" w:type="dxa"/>
        <w:tblCellSpacing w:w="15" w:type="dxa"/>
        <w:tblCellMar>
          <w:top w:w="15" w:type="dxa"/>
          <w:left w:w="15" w:type="dxa"/>
          <w:bottom w:w="15" w:type="dxa"/>
          <w:right w:w="15" w:type="dxa"/>
        </w:tblCellMar>
        <w:tblLook w:val="04A0" w:firstRow="1" w:lastRow="0" w:firstColumn="1" w:lastColumn="0" w:noHBand="0" w:noVBand="1"/>
      </w:tblPr>
      <w:tblGrid>
        <w:gridCol w:w="1615"/>
        <w:gridCol w:w="3517"/>
        <w:gridCol w:w="3373"/>
      </w:tblGrid>
      <w:tr w:rsidR="0005032C" w:rsidRPr="009239F8" w14:paraId="27C4435D" w14:textId="77777777">
        <w:trPr>
          <w:trHeight w:val="275"/>
          <w:tblHeader/>
          <w:tblCellSpacing w:w="15" w:type="dxa"/>
        </w:trPr>
        <w:tc>
          <w:tcPr>
            <w:tcW w:w="1570" w:type="dxa"/>
            <w:tcBorders>
              <w:bottom w:val="single" w:sz="4" w:space="0" w:color="auto"/>
            </w:tcBorders>
            <w:vAlign w:val="center"/>
            <w:hideMark/>
          </w:tcPr>
          <w:p w14:paraId="0DC04A38" w14:textId="77777777" w:rsidR="0005032C" w:rsidRPr="009239F8" w:rsidRDefault="0005032C" w:rsidP="009A5B48">
            <w:pPr>
              <w:spacing w:line="480" w:lineRule="auto"/>
              <w:rPr>
                <w:rFonts w:ascii="Times New Roman" w:hAnsi="Times New Roman" w:cs="Times New Roman"/>
                <w:b/>
                <w:bCs/>
                <w:lang w:val="en-US"/>
              </w:rPr>
            </w:pPr>
            <w:r w:rsidRPr="009239F8">
              <w:rPr>
                <w:rFonts w:ascii="Times New Roman" w:hAnsi="Times New Roman" w:cs="Times New Roman"/>
                <w:b/>
                <w:bCs/>
                <w:lang w:val="en-US"/>
              </w:rPr>
              <w:t>Category</w:t>
            </w:r>
          </w:p>
        </w:tc>
        <w:tc>
          <w:tcPr>
            <w:tcW w:w="3487" w:type="dxa"/>
            <w:tcBorders>
              <w:bottom w:val="single" w:sz="4" w:space="0" w:color="auto"/>
            </w:tcBorders>
            <w:vAlign w:val="center"/>
            <w:hideMark/>
          </w:tcPr>
          <w:p w14:paraId="24EBF88A" w14:textId="77777777" w:rsidR="0005032C" w:rsidRPr="009239F8" w:rsidRDefault="0005032C" w:rsidP="009A5B48">
            <w:pPr>
              <w:spacing w:line="480" w:lineRule="auto"/>
              <w:rPr>
                <w:rFonts w:ascii="Times New Roman" w:hAnsi="Times New Roman" w:cs="Times New Roman"/>
                <w:b/>
                <w:bCs/>
                <w:lang w:val="en-US"/>
              </w:rPr>
            </w:pPr>
            <w:r w:rsidRPr="009239F8">
              <w:rPr>
                <w:rFonts w:ascii="Times New Roman" w:hAnsi="Times New Roman" w:cs="Times New Roman"/>
                <w:b/>
                <w:bCs/>
                <w:lang w:val="en-US"/>
              </w:rPr>
              <w:t>Inclusion Criteria</w:t>
            </w:r>
          </w:p>
        </w:tc>
        <w:tc>
          <w:tcPr>
            <w:tcW w:w="3328" w:type="dxa"/>
            <w:tcBorders>
              <w:bottom w:val="single" w:sz="4" w:space="0" w:color="auto"/>
            </w:tcBorders>
            <w:vAlign w:val="center"/>
            <w:hideMark/>
          </w:tcPr>
          <w:p w14:paraId="0BAA8530" w14:textId="77777777" w:rsidR="0005032C" w:rsidRPr="009239F8" w:rsidRDefault="0005032C" w:rsidP="009A5B48">
            <w:pPr>
              <w:spacing w:line="480" w:lineRule="auto"/>
              <w:rPr>
                <w:rFonts w:ascii="Times New Roman" w:hAnsi="Times New Roman" w:cs="Times New Roman"/>
                <w:b/>
                <w:bCs/>
                <w:lang w:val="en-US"/>
              </w:rPr>
            </w:pPr>
            <w:r w:rsidRPr="009239F8">
              <w:rPr>
                <w:rFonts w:ascii="Times New Roman" w:hAnsi="Times New Roman" w:cs="Times New Roman"/>
                <w:b/>
                <w:bCs/>
                <w:lang w:val="en-US"/>
              </w:rPr>
              <w:t>Exclusion Criteria</w:t>
            </w:r>
          </w:p>
        </w:tc>
      </w:tr>
      <w:tr w:rsidR="0005032C" w:rsidRPr="009239F8" w14:paraId="513C7B79" w14:textId="77777777">
        <w:trPr>
          <w:tblCellSpacing w:w="15" w:type="dxa"/>
        </w:trPr>
        <w:tc>
          <w:tcPr>
            <w:tcW w:w="1570" w:type="dxa"/>
            <w:vAlign w:val="center"/>
            <w:hideMark/>
          </w:tcPr>
          <w:p w14:paraId="2F591C78"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b/>
                <w:bCs/>
                <w:lang w:val="en-US"/>
              </w:rPr>
              <w:t>Functional status</w:t>
            </w:r>
          </w:p>
        </w:tc>
        <w:tc>
          <w:tcPr>
            <w:tcW w:w="3487" w:type="dxa"/>
            <w:vAlign w:val="center"/>
            <w:hideMark/>
          </w:tcPr>
          <w:p w14:paraId="08A5E2FA"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NYHA functional class I</w:t>
            </w:r>
          </w:p>
        </w:tc>
        <w:tc>
          <w:tcPr>
            <w:tcW w:w="3328" w:type="dxa"/>
            <w:vAlign w:val="center"/>
            <w:hideMark/>
          </w:tcPr>
          <w:p w14:paraId="5F015591"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NYHA ≥ II</w:t>
            </w:r>
          </w:p>
        </w:tc>
      </w:tr>
      <w:tr w:rsidR="0005032C" w:rsidRPr="009239F8" w14:paraId="69116566" w14:textId="77777777">
        <w:trPr>
          <w:tblCellSpacing w:w="15" w:type="dxa"/>
        </w:trPr>
        <w:tc>
          <w:tcPr>
            <w:tcW w:w="1570" w:type="dxa"/>
            <w:vAlign w:val="center"/>
            <w:hideMark/>
          </w:tcPr>
          <w:p w14:paraId="1859A062"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b/>
                <w:bCs/>
                <w:lang w:val="en-US"/>
              </w:rPr>
              <w:t>Body composition</w:t>
            </w:r>
          </w:p>
        </w:tc>
        <w:tc>
          <w:tcPr>
            <w:tcW w:w="3487" w:type="dxa"/>
            <w:vAlign w:val="center"/>
            <w:hideMark/>
          </w:tcPr>
          <w:p w14:paraId="416A97C2"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BMI &lt; 35 kg/m²</w:t>
            </w:r>
          </w:p>
        </w:tc>
        <w:tc>
          <w:tcPr>
            <w:tcW w:w="3328" w:type="dxa"/>
            <w:vAlign w:val="center"/>
            <w:hideMark/>
          </w:tcPr>
          <w:p w14:paraId="314CC43F"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BMI ≥ 35 kg/m²</w:t>
            </w:r>
          </w:p>
        </w:tc>
      </w:tr>
      <w:tr w:rsidR="0005032C" w:rsidRPr="009239F8" w14:paraId="557D3FD4" w14:textId="77777777">
        <w:trPr>
          <w:tblCellSpacing w:w="15" w:type="dxa"/>
        </w:trPr>
        <w:tc>
          <w:tcPr>
            <w:tcW w:w="1570" w:type="dxa"/>
            <w:vAlign w:val="center"/>
            <w:hideMark/>
          </w:tcPr>
          <w:p w14:paraId="5B6BE2F4"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b/>
                <w:bCs/>
                <w:lang w:val="en-US"/>
              </w:rPr>
              <w:t>Metabolic status</w:t>
            </w:r>
          </w:p>
        </w:tc>
        <w:tc>
          <w:tcPr>
            <w:tcW w:w="3487" w:type="dxa"/>
            <w:vAlign w:val="center"/>
            <w:hideMark/>
          </w:tcPr>
          <w:p w14:paraId="54EE8FDE"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No diabetes mellitus; not receiving antidiabetic medication</w:t>
            </w:r>
          </w:p>
        </w:tc>
        <w:tc>
          <w:tcPr>
            <w:tcW w:w="3328" w:type="dxa"/>
            <w:vAlign w:val="center"/>
            <w:hideMark/>
          </w:tcPr>
          <w:p w14:paraId="5F1220B2"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Diagnosed diabetes mellitus or treatment with antidiabetic medication</w:t>
            </w:r>
          </w:p>
        </w:tc>
      </w:tr>
      <w:tr w:rsidR="0005032C" w:rsidRPr="009239F8" w14:paraId="2EFAFFBC" w14:textId="77777777">
        <w:trPr>
          <w:tblCellSpacing w:w="15" w:type="dxa"/>
        </w:trPr>
        <w:tc>
          <w:tcPr>
            <w:tcW w:w="1570" w:type="dxa"/>
            <w:vAlign w:val="center"/>
            <w:hideMark/>
          </w:tcPr>
          <w:p w14:paraId="410688D3"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b/>
                <w:bCs/>
                <w:lang w:val="en-US"/>
              </w:rPr>
              <w:t>Blood pressure</w:t>
            </w:r>
          </w:p>
        </w:tc>
        <w:tc>
          <w:tcPr>
            <w:tcW w:w="3487" w:type="dxa"/>
            <w:vAlign w:val="center"/>
            <w:hideMark/>
          </w:tcPr>
          <w:p w14:paraId="32BBD434" w14:textId="1F40E7DA"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No history of hypertension; not receiving antihypertensive medication</w:t>
            </w:r>
            <w:r w:rsidR="00DE2DEB" w:rsidRPr="009239F8">
              <w:rPr>
                <w:rFonts w:ascii="Times New Roman" w:hAnsi="Times New Roman" w:cs="Times New Roman"/>
                <w:lang w:val="en-US"/>
              </w:rPr>
              <w:t xml:space="preserve">; diastolic </w:t>
            </w:r>
            <w:r w:rsidR="00915DFD" w:rsidRPr="009239F8">
              <w:rPr>
                <w:rFonts w:ascii="Times New Roman" w:hAnsi="Times New Roman" w:cs="Times New Roman"/>
                <w:lang w:val="en-US"/>
              </w:rPr>
              <w:t xml:space="preserve">systemic pressure &lt;90 </w:t>
            </w:r>
            <w:r w:rsidR="008614F1" w:rsidRPr="009239F8">
              <w:rPr>
                <w:rFonts w:ascii="Times New Roman" w:hAnsi="Times New Roman" w:cs="Times New Roman"/>
                <w:lang w:val="en-US"/>
              </w:rPr>
              <w:t>mmHg;</w:t>
            </w:r>
            <w:r w:rsidR="006A497E" w:rsidRPr="009239F8">
              <w:rPr>
                <w:rFonts w:ascii="Times New Roman" w:hAnsi="Times New Roman" w:cs="Times New Roman"/>
                <w:lang w:val="en-US"/>
              </w:rPr>
              <w:t xml:space="preserve"> </w:t>
            </w:r>
            <w:r w:rsidR="008614F1" w:rsidRPr="009239F8">
              <w:rPr>
                <w:rFonts w:ascii="Times New Roman" w:hAnsi="Times New Roman" w:cs="Times New Roman"/>
                <w:lang w:val="en-US"/>
              </w:rPr>
              <w:t>systolic blood pressure &lt; 140 mmHg.</w:t>
            </w:r>
          </w:p>
        </w:tc>
        <w:tc>
          <w:tcPr>
            <w:tcW w:w="3328" w:type="dxa"/>
            <w:vAlign w:val="center"/>
            <w:hideMark/>
          </w:tcPr>
          <w:p w14:paraId="6AC8A8A7" w14:textId="47EC01ED" w:rsidR="0005032C" w:rsidRPr="009239F8" w:rsidRDefault="0005032C" w:rsidP="009A5B48">
            <w:pPr>
              <w:spacing w:line="480" w:lineRule="auto"/>
              <w:rPr>
                <w:rFonts w:ascii="Times New Roman" w:hAnsi="Times New Roman" w:cs="Times New Roman"/>
                <w:b/>
                <w:lang w:val="en-US"/>
              </w:rPr>
            </w:pPr>
            <w:r w:rsidRPr="009239F8">
              <w:rPr>
                <w:rFonts w:ascii="Times New Roman" w:hAnsi="Times New Roman" w:cs="Times New Roman"/>
                <w:lang w:val="en-US"/>
              </w:rPr>
              <w:t>Diagnosed hypertension or current antihypertensive therapy</w:t>
            </w:r>
            <w:r w:rsidR="008614F1" w:rsidRPr="009239F8">
              <w:rPr>
                <w:rFonts w:ascii="Times New Roman" w:hAnsi="Times New Roman" w:cs="Times New Roman"/>
                <w:lang w:val="en-US"/>
              </w:rPr>
              <w:t>; diastolic systemic pressure ≥ 90 mmHg; systolic blood pressure ≥ 140 mmHg.</w:t>
            </w:r>
          </w:p>
        </w:tc>
      </w:tr>
      <w:tr w:rsidR="0005032C" w:rsidRPr="009239F8" w14:paraId="7A098B6C" w14:textId="77777777">
        <w:trPr>
          <w:tblCellSpacing w:w="15" w:type="dxa"/>
        </w:trPr>
        <w:tc>
          <w:tcPr>
            <w:tcW w:w="1570" w:type="dxa"/>
            <w:vAlign w:val="center"/>
            <w:hideMark/>
          </w:tcPr>
          <w:p w14:paraId="6E31ACE1"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b/>
                <w:bCs/>
                <w:lang w:val="en-US"/>
              </w:rPr>
              <w:t>Respiratory health</w:t>
            </w:r>
          </w:p>
        </w:tc>
        <w:tc>
          <w:tcPr>
            <w:tcW w:w="3487" w:type="dxa"/>
            <w:vAlign w:val="center"/>
            <w:hideMark/>
          </w:tcPr>
          <w:p w14:paraId="02C22EED"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No major chronic respiratory disease</w:t>
            </w:r>
          </w:p>
        </w:tc>
        <w:tc>
          <w:tcPr>
            <w:tcW w:w="3328" w:type="dxa"/>
            <w:vAlign w:val="center"/>
            <w:hideMark/>
          </w:tcPr>
          <w:p w14:paraId="6E8EDEE3"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Chronic obstructive pulmonary disease, interstitial lung disease, or other chronic pulmonary pathology</w:t>
            </w:r>
          </w:p>
        </w:tc>
      </w:tr>
      <w:tr w:rsidR="0005032C" w:rsidRPr="009239F8" w14:paraId="72DB88C6" w14:textId="77777777">
        <w:trPr>
          <w:tblCellSpacing w:w="15" w:type="dxa"/>
        </w:trPr>
        <w:tc>
          <w:tcPr>
            <w:tcW w:w="1570" w:type="dxa"/>
            <w:vAlign w:val="center"/>
            <w:hideMark/>
          </w:tcPr>
          <w:p w14:paraId="5B36A0CC"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b/>
                <w:bCs/>
                <w:lang w:val="en-US"/>
              </w:rPr>
              <w:t>Oncological history</w:t>
            </w:r>
          </w:p>
        </w:tc>
        <w:tc>
          <w:tcPr>
            <w:tcW w:w="3487" w:type="dxa"/>
            <w:vAlign w:val="center"/>
            <w:hideMark/>
          </w:tcPr>
          <w:p w14:paraId="59C3A7F8"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No active malignancy</w:t>
            </w:r>
          </w:p>
        </w:tc>
        <w:tc>
          <w:tcPr>
            <w:tcW w:w="3328" w:type="dxa"/>
            <w:vAlign w:val="center"/>
            <w:hideMark/>
          </w:tcPr>
          <w:p w14:paraId="420FCA95"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Active or recently treated cancer</w:t>
            </w:r>
          </w:p>
        </w:tc>
      </w:tr>
      <w:tr w:rsidR="0005032C" w:rsidRPr="009239F8" w14:paraId="57C09065" w14:textId="77777777">
        <w:trPr>
          <w:tblCellSpacing w:w="15" w:type="dxa"/>
        </w:trPr>
        <w:tc>
          <w:tcPr>
            <w:tcW w:w="1570" w:type="dxa"/>
            <w:vAlign w:val="center"/>
            <w:hideMark/>
          </w:tcPr>
          <w:p w14:paraId="6B1AFB2E"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b/>
                <w:bCs/>
                <w:lang w:val="en-US"/>
              </w:rPr>
              <w:t>Cardiac rhythm</w:t>
            </w:r>
          </w:p>
        </w:tc>
        <w:tc>
          <w:tcPr>
            <w:tcW w:w="3487" w:type="dxa"/>
            <w:vAlign w:val="center"/>
            <w:hideMark/>
          </w:tcPr>
          <w:p w14:paraId="0522F93E"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Sinus rhythm on resting ECGI</w:t>
            </w:r>
          </w:p>
        </w:tc>
        <w:tc>
          <w:tcPr>
            <w:tcW w:w="3328" w:type="dxa"/>
            <w:vAlign w:val="center"/>
            <w:hideMark/>
          </w:tcPr>
          <w:p w14:paraId="29C077CC"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History of atrial fibrillation, atrial flutter or high burden of ventricular ectopy</w:t>
            </w:r>
          </w:p>
        </w:tc>
      </w:tr>
      <w:tr w:rsidR="0005032C" w:rsidRPr="009239F8" w14:paraId="1C8B2605" w14:textId="77777777">
        <w:trPr>
          <w:tblCellSpacing w:w="15" w:type="dxa"/>
        </w:trPr>
        <w:tc>
          <w:tcPr>
            <w:tcW w:w="1570" w:type="dxa"/>
            <w:vAlign w:val="center"/>
            <w:hideMark/>
          </w:tcPr>
          <w:p w14:paraId="117050E1"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b/>
                <w:bCs/>
                <w:lang w:val="en-US"/>
              </w:rPr>
              <w:t>Cardiovascular history</w:t>
            </w:r>
          </w:p>
        </w:tc>
        <w:tc>
          <w:tcPr>
            <w:tcW w:w="3487" w:type="dxa"/>
            <w:vAlign w:val="center"/>
            <w:hideMark/>
          </w:tcPr>
          <w:p w14:paraId="1CDB8794"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No previously known major cardiovascular disease</w:t>
            </w:r>
          </w:p>
        </w:tc>
        <w:tc>
          <w:tcPr>
            <w:tcW w:w="3328" w:type="dxa"/>
            <w:vAlign w:val="center"/>
            <w:hideMark/>
          </w:tcPr>
          <w:p w14:paraId="2CED0951"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Previous myocardial infarction, coronary artery bypass graft, percutaneous coronary intervention, or heart failure</w:t>
            </w:r>
          </w:p>
        </w:tc>
      </w:tr>
      <w:tr w:rsidR="0005032C" w:rsidRPr="009239F8" w14:paraId="7D519A2C" w14:textId="77777777">
        <w:trPr>
          <w:tblCellSpacing w:w="15" w:type="dxa"/>
        </w:trPr>
        <w:tc>
          <w:tcPr>
            <w:tcW w:w="1570" w:type="dxa"/>
            <w:vAlign w:val="center"/>
            <w:hideMark/>
          </w:tcPr>
          <w:p w14:paraId="213E4D22"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b/>
                <w:bCs/>
                <w:lang w:val="en-US"/>
              </w:rPr>
              <w:t xml:space="preserve">Cardiac function </w:t>
            </w:r>
          </w:p>
        </w:tc>
        <w:tc>
          <w:tcPr>
            <w:tcW w:w="3487" w:type="dxa"/>
            <w:vAlign w:val="center"/>
            <w:hideMark/>
          </w:tcPr>
          <w:p w14:paraId="6E21D77B"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LVEF ≥ 55%</w:t>
            </w:r>
          </w:p>
        </w:tc>
        <w:tc>
          <w:tcPr>
            <w:tcW w:w="3328" w:type="dxa"/>
            <w:vAlign w:val="center"/>
            <w:hideMark/>
          </w:tcPr>
          <w:p w14:paraId="23548A7D"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LVEF &lt; 55%</w:t>
            </w:r>
          </w:p>
        </w:tc>
      </w:tr>
      <w:tr w:rsidR="0005032C" w:rsidRPr="009239F8" w14:paraId="298C128F" w14:textId="77777777">
        <w:trPr>
          <w:trHeight w:val="50"/>
          <w:tblCellSpacing w:w="15" w:type="dxa"/>
        </w:trPr>
        <w:tc>
          <w:tcPr>
            <w:tcW w:w="1570" w:type="dxa"/>
            <w:tcBorders>
              <w:bottom w:val="single" w:sz="4" w:space="0" w:color="auto"/>
            </w:tcBorders>
            <w:vAlign w:val="center"/>
            <w:hideMark/>
          </w:tcPr>
          <w:p w14:paraId="3E94961A"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b/>
                <w:bCs/>
                <w:lang w:val="en-US"/>
              </w:rPr>
              <w:t>Myocardial tissue characterization</w:t>
            </w:r>
          </w:p>
        </w:tc>
        <w:tc>
          <w:tcPr>
            <w:tcW w:w="3487" w:type="dxa"/>
            <w:tcBorders>
              <w:bottom w:val="single" w:sz="4" w:space="0" w:color="auto"/>
            </w:tcBorders>
            <w:vAlign w:val="center"/>
            <w:hideMark/>
          </w:tcPr>
          <w:p w14:paraId="654F30B2"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LGE burden &lt; 2% of LV mass</w:t>
            </w:r>
          </w:p>
        </w:tc>
        <w:tc>
          <w:tcPr>
            <w:tcW w:w="3328" w:type="dxa"/>
            <w:tcBorders>
              <w:bottom w:val="single" w:sz="4" w:space="0" w:color="auto"/>
            </w:tcBorders>
            <w:vAlign w:val="center"/>
            <w:hideMark/>
          </w:tcPr>
          <w:p w14:paraId="2A0C00EB" w14:textId="77777777" w:rsidR="0005032C" w:rsidRPr="009239F8" w:rsidRDefault="0005032C" w:rsidP="009A5B48">
            <w:pPr>
              <w:spacing w:line="480" w:lineRule="auto"/>
              <w:rPr>
                <w:rFonts w:ascii="Times New Roman" w:hAnsi="Times New Roman" w:cs="Times New Roman"/>
                <w:lang w:val="en-US"/>
              </w:rPr>
            </w:pPr>
            <w:r w:rsidRPr="009239F8">
              <w:rPr>
                <w:rFonts w:ascii="Times New Roman" w:hAnsi="Times New Roman" w:cs="Times New Roman"/>
                <w:lang w:val="en-US"/>
              </w:rPr>
              <w:t xml:space="preserve">LGE burden ≥ 2% </w:t>
            </w:r>
          </w:p>
        </w:tc>
      </w:tr>
    </w:tbl>
    <w:p w14:paraId="2EDF4524" w14:textId="77777777" w:rsidR="00F51CF3" w:rsidRPr="009239F8" w:rsidRDefault="00F51CF3" w:rsidP="009A5B48">
      <w:pPr>
        <w:spacing w:line="480" w:lineRule="auto"/>
        <w:rPr>
          <w:rFonts w:ascii="Times New Roman" w:hAnsi="Times New Roman" w:cs="Times New Roman"/>
          <w:lang w:val="en-US"/>
        </w:rPr>
      </w:pPr>
    </w:p>
    <w:p w14:paraId="104542F9" w14:textId="77777777" w:rsidR="003B1631" w:rsidRPr="009239F8" w:rsidRDefault="003B1631" w:rsidP="009A5B48">
      <w:pPr>
        <w:spacing w:line="480" w:lineRule="auto"/>
        <w:rPr>
          <w:rFonts w:ascii="Times New Roman" w:hAnsi="Times New Roman" w:cs="Times New Roman"/>
          <w:lang w:val="en-US"/>
        </w:rPr>
      </w:pPr>
    </w:p>
    <w:p w14:paraId="6A15B2D4" w14:textId="35C0A65F" w:rsidR="00D07BC6" w:rsidRPr="009239F8" w:rsidRDefault="00F456A7"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noProof/>
          <w:color w:val="auto"/>
          <w:lang w:val="en-US"/>
        </w:rPr>
        <mc:AlternateContent>
          <mc:Choice Requires="wps">
            <w:drawing>
              <wp:anchor distT="0" distB="0" distL="114300" distR="114300" simplePos="0" relativeHeight="251658242" behindDoc="0" locked="0" layoutInCell="1" allowOverlap="1" wp14:anchorId="22F1B589" wp14:editId="74C906F7">
                <wp:simplePos x="0" y="0"/>
                <wp:positionH relativeFrom="column">
                  <wp:posOffset>-58420</wp:posOffset>
                </wp:positionH>
                <wp:positionV relativeFrom="paragraph">
                  <wp:posOffset>3340735</wp:posOffset>
                </wp:positionV>
                <wp:extent cx="5738495" cy="635"/>
                <wp:effectExtent l="0" t="0" r="0" b="0"/>
                <wp:wrapSquare wrapText="bothSides"/>
                <wp:docPr id="591067487" name="Text Box 1"/>
                <wp:cNvGraphicFramePr/>
                <a:graphic xmlns:a="http://schemas.openxmlformats.org/drawingml/2006/main">
                  <a:graphicData uri="http://schemas.microsoft.com/office/word/2010/wordprocessingShape">
                    <wps:wsp>
                      <wps:cNvSpPr txBox="1"/>
                      <wps:spPr>
                        <a:xfrm>
                          <a:off x="0" y="0"/>
                          <a:ext cx="5738495" cy="635"/>
                        </a:xfrm>
                        <a:prstGeom prst="rect">
                          <a:avLst/>
                        </a:prstGeom>
                        <a:solidFill>
                          <a:prstClr val="white"/>
                        </a:solidFill>
                        <a:ln>
                          <a:noFill/>
                        </a:ln>
                      </wps:spPr>
                      <wps:txbx>
                        <w:txbxContent>
                          <w:p w14:paraId="020BA386" w14:textId="65867DF9" w:rsidR="00F456A7" w:rsidRPr="007E4678" w:rsidRDefault="00F456A7" w:rsidP="00F456A7">
                            <w:pPr>
                              <w:pStyle w:val="Caption"/>
                              <w:jc w:val="both"/>
                              <w:rPr>
                                <w:b/>
                                <w:noProof/>
                                <w:lang w:val="en-US"/>
                              </w:rPr>
                            </w:pPr>
                            <w:bookmarkStart w:id="22" w:name="_Ref230705639"/>
                            <w:r w:rsidRPr="007E4678">
                              <w:rPr>
                                <w:rFonts w:cs="Times New Roman"/>
                                <w:b/>
                                <w:bCs/>
                              </w:rPr>
                              <w:t xml:space="preserve">Figure S </w:t>
                            </w:r>
                            <w:r w:rsidRPr="007E4678">
                              <w:rPr>
                                <w:rFonts w:cs="Times New Roman"/>
                                <w:b/>
                                <w:bCs/>
                              </w:rPr>
                              <w:fldChar w:fldCharType="begin"/>
                            </w:r>
                            <w:r w:rsidRPr="007E4678">
                              <w:rPr>
                                <w:rFonts w:cs="Times New Roman"/>
                                <w:b/>
                                <w:bCs/>
                              </w:rPr>
                              <w:instrText xml:space="preserve"> SEQ Figure_S \* ARABIC </w:instrText>
                            </w:r>
                            <w:r w:rsidRPr="007E4678">
                              <w:rPr>
                                <w:rFonts w:cs="Times New Roman"/>
                                <w:b/>
                                <w:bCs/>
                              </w:rPr>
                              <w:fldChar w:fldCharType="separate"/>
                            </w:r>
                            <w:r w:rsidR="00BE10AD">
                              <w:rPr>
                                <w:rFonts w:cs="Times New Roman"/>
                                <w:b/>
                                <w:bCs/>
                                <w:noProof/>
                              </w:rPr>
                              <w:t>9</w:t>
                            </w:r>
                            <w:r w:rsidRPr="007E4678">
                              <w:rPr>
                                <w:rFonts w:cs="Times New Roman"/>
                                <w:b/>
                                <w:bCs/>
                              </w:rPr>
                              <w:fldChar w:fldCharType="end"/>
                            </w:r>
                            <w:bookmarkEnd w:id="22"/>
                            <w:r w:rsidRPr="007E4678">
                              <w:rPr>
                                <w:rFonts w:cs="Times New Roman"/>
                                <w:b/>
                                <w:bCs/>
                              </w:rPr>
                              <w:t>.</w:t>
                            </w:r>
                            <w:r w:rsidRPr="007E4678">
                              <w:rPr>
                                <w:rFonts w:cs="Times New Roman"/>
                              </w:rPr>
                              <w:t xml:space="preserve"> </w:t>
                            </w:r>
                            <w:r w:rsidRPr="007E4678">
                              <w:rPr>
                                <w:rFonts w:cs="Times New Roman"/>
                                <w:b/>
                                <w:bCs/>
                                <w:lang w:val="en-US"/>
                              </w:rPr>
                              <w:t xml:space="preserve">Methodology used for the integration of multimodal clinical data into the </w:t>
                            </w:r>
                            <w:r w:rsidR="00761A2E" w:rsidRPr="007E4678">
                              <w:rPr>
                                <w:rFonts w:cs="Times New Roman"/>
                                <w:b/>
                                <w:bCs/>
                                <w:lang w:val="en-US"/>
                              </w:rPr>
                              <w:t>Digital Twin</w:t>
                            </w:r>
                            <w:r w:rsidRPr="007E4678">
                              <w:rPr>
                                <w:rFonts w:cs="Times New Roman"/>
                                <w:b/>
                                <w:bCs/>
                                <w:lang w:val="en-US"/>
                              </w:rPr>
                              <w:t>s.</w:t>
                            </w:r>
                            <w:r w:rsidRPr="007E4678">
                              <w:rPr>
                                <w:rFonts w:cs="Times New Roman"/>
                                <w:lang w:val="en-US"/>
                              </w:rPr>
                              <w:t xml:space="preserve"> Top row: </w:t>
                            </w:r>
                            <w:r w:rsidR="00AF31E2">
                              <w:rPr>
                                <w:rFonts w:cs="Times New Roman"/>
                                <w:lang w:val="en-US"/>
                              </w:rPr>
                              <w:t>Subject</w:t>
                            </w:r>
                            <w:r w:rsidRPr="007E4678">
                              <w:rPr>
                                <w:rFonts w:cs="Times New Roman"/>
                                <w:lang w:val="en-US"/>
                              </w:rPr>
                              <w:t xml:space="preserve">-specific biventricular anatomy is reconstructed from manual segmentations of end-diastolic cine cardiac magnetic resonance (cCMR) images, short- and long-axis images, followed by a mesh morphing algorithm to generate a continuous 3D model. Middle row: Late gadolinium enhancement (LGE) images are segmented to extract a 3D representation of the </w:t>
                            </w:r>
                            <w:r w:rsidR="00AF31E2">
                              <w:rPr>
                                <w:rFonts w:cs="Times New Roman"/>
                                <w:lang w:val="en-US"/>
                              </w:rPr>
                              <w:t>subject</w:t>
                            </w:r>
                            <w:r w:rsidRPr="007E4678">
                              <w:rPr>
                                <w:rFonts w:cs="Times New Roman"/>
                                <w:lang w:val="en-US"/>
                              </w:rPr>
                              <w:t>-specific LGE burden, which is then adapted to the end-diastolic heart model. Bottom row: Epicardial activation and repolarization maps derived from electrocardiographic imaging (ECGI) are filtered and geometrically registered to the same cCMR derived end-diastolic anatomy. The resulting personalized model (right) combines structural, tissue-characterization, and electrophysiological data into a unified computational framework</w:t>
                            </w:r>
                            <w:r w:rsidRPr="007E4678">
                              <w:rPr>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F1B589" id="_x0000_s1031" type="#_x0000_t202" style="position:absolute;margin-left:-4.6pt;margin-top:263.05pt;width:451.85pt;height:.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" stroked="f">
                <v:textbox style="mso-fit-shape-to-text:t" inset="0,0,0,0">
                  <w:txbxContent>
                    <w:p w14:paraId="020BA386" w14:textId="65867DF9" w:rsidR="00F456A7" w:rsidRPr="007E4678" w:rsidRDefault="00F456A7" w:rsidP="00F456A7">
                      <w:pPr>
                        <w:pStyle w:val="Caption"/>
                        <w:jc w:val="both"/>
                        <w:rPr>
                          <w:b/>
                          <w:noProof/>
                          <w:lang w:val="en-US"/>
                        </w:rPr>
                      </w:pPr>
                      <w:bookmarkStart w:id="31" w:name="_Ref230705639"/>
                      <w:r w:rsidRPr="007E4678">
                        <w:rPr>
                          <w:rFonts w:cs="Times New Roman"/>
                          <w:b/>
                          <w:bCs/>
                        </w:rPr>
                        <w:t xml:space="preserve">Figure S </w:t>
                      </w:r>
                      <w:r w:rsidRPr="007E4678">
                        <w:rPr>
                          <w:rFonts w:cs="Times New Roman"/>
                          <w:b/>
                          <w:bCs/>
                        </w:rPr>
                        <w:fldChar w:fldCharType="begin"/>
                      </w:r>
                      <w:r w:rsidRPr="007E4678">
                        <w:rPr>
                          <w:rFonts w:cs="Times New Roman"/>
                          <w:b/>
                          <w:bCs/>
                        </w:rPr>
                        <w:instrText xml:space="preserve"> SEQ Figure_S \* ARABIC </w:instrText>
                      </w:r>
                      <w:r w:rsidRPr="007E4678">
                        <w:rPr>
                          <w:rFonts w:cs="Times New Roman"/>
                          <w:b/>
                          <w:bCs/>
                        </w:rPr>
                        <w:fldChar w:fldCharType="separate"/>
                      </w:r>
                      <w:r w:rsidR="00BE10AD">
                        <w:rPr>
                          <w:rFonts w:cs="Times New Roman"/>
                          <w:b/>
                          <w:bCs/>
                          <w:noProof/>
                        </w:rPr>
                        <w:t>9</w:t>
                      </w:r>
                      <w:r w:rsidRPr="007E4678">
                        <w:rPr>
                          <w:rFonts w:cs="Times New Roman"/>
                          <w:b/>
                          <w:bCs/>
                        </w:rPr>
                        <w:fldChar w:fldCharType="end"/>
                      </w:r>
                      <w:bookmarkEnd w:id="31"/>
                      <w:r w:rsidRPr="007E4678">
                        <w:rPr>
                          <w:rFonts w:cs="Times New Roman"/>
                          <w:b/>
                          <w:bCs/>
                        </w:rPr>
                        <w:t>.</w:t>
                      </w:r>
                      <w:r w:rsidRPr="007E4678">
                        <w:rPr>
                          <w:rFonts w:cs="Times New Roman"/>
                        </w:rPr>
                        <w:t xml:space="preserve"> </w:t>
                      </w:r>
                      <w:r w:rsidRPr="007E4678">
                        <w:rPr>
                          <w:rFonts w:cs="Times New Roman"/>
                          <w:b/>
                          <w:bCs/>
                          <w:lang w:val="en-US"/>
                        </w:rPr>
                        <w:t xml:space="preserve">Methodology used for the integration of multimodal clinical data into the </w:t>
                      </w:r>
                      <w:r w:rsidR="00761A2E" w:rsidRPr="007E4678">
                        <w:rPr>
                          <w:rFonts w:cs="Times New Roman"/>
                          <w:b/>
                          <w:bCs/>
                          <w:lang w:val="en-US"/>
                        </w:rPr>
                        <w:t>Digital Twin</w:t>
                      </w:r>
                      <w:r w:rsidRPr="007E4678">
                        <w:rPr>
                          <w:rFonts w:cs="Times New Roman"/>
                          <w:b/>
                          <w:bCs/>
                          <w:lang w:val="en-US"/>
                        </w:rPr>
                        <w:t>s.</w:t>
                      </w:r>
                      <w:r w:rsidRPr="007E4678">
                        <w:rPr>
                          <w:rFonts w:cs="Times New Roman"/>
                          <w:lang w:val="en-US"/>
                        </w:rPr>
                        <w:t xml:space="preserve"> Top row: </w:t>
                      </w:r>
                      <w:r w:rsidR="00AF31E2">
                        <w:rPr>
                          <w:rFonts w:cs="Times New Roman"/>
                          <w:lang w:val="en-US"/>
                        </w:rPr>
                        <w:t>Subject</w:t>
                      </w:r>
                      <w:r w:rsidRPr="007E4678">
                        <w:rPr>
                          <w:rFonts w:cs="Times New Roman"/>
                          <w:lang w:val="en-US"/>
                        </w:rPr>
                        <w:t xml:space="preserve">-specific biventricular anatomy is reconstructed from manual segmentations of end-diastolic cine cardiac magnetic resonance (cCMR) images, short- and long-axis images, followed by a mesh morphing algorithm to generate a continuous 3D model. Middle row: Late gadolinium enhancement (LGE) images are segmented to extract a 3D representation of the </w:t>
                      </w:r>
                      <w:r w:rsidR="00AF31E2">
                        <w:rPr>
                          <w:rFonts w:cs="Times New Roman"/>
                          <w:lang w:val="en-US"/>
                        </w:rPr>
                        <w:t>subject</w:t>
                      </w:r>
                      <w:r w:rsidRPr="007E4678">
                        <w:rPr>
                          <w:rFonts w:cs="Times New Roman"/>
                          <w:lang w:val="en-US"/>
                        </w:rPr>
                        <w:t>-specific LGE burden, which is then adapted to the end-diastolic heart model. Bottom row: Epicardial activation and repolarization maps derived from electrocardiographic imaging (ECGI) are filtered and geometrically registered to the same cCMR derived end-diastolic anatomy. The resulting personalized model (right) combines structural, tissue-characterization, and electrophysiological data into a unified computational framework</w:t>
                      </w:r>
                      <w:r w:rsidRPr="007E4678">
                        <w:rPr>
                          <w:lang w:val="en-US"/>
                        </w:rPr>
                        <w:t>.</w:t>
                      </w:r>
                    </w:p>
                  </w:txbxContent>
                </v:textbox>
                <w10:wrap type="square"/>
              </v:shape>
            </w:pict>
          </mc:Fallback>
        </mc:AlternateContent>
      </w:r>
      <w:r w:rsidR="00525253" w:rsidRPr="009239F8">
        <w:rPr>
          <w:rFonts w:ascii="Times New Roman" w:hAnsi="Times New Roman" w:cs="Times New Roman"/>
          <w:b/>
          <w:noProof/>
          <w:color w:val="auto"/>
          <w:lang w:val="en-US"/>
        </w:rPr>
        <w:drawing>
          <wp:anchor distT="0" distB="0" distL="114300" distR="114300" simplePos="0" relativeHeight="251658241" behindDoc="0" locked="0" layoutInCell="1" allowOverlap="1" wp14:anchorId="6BDAFC39" wp14:editId="7E6805BD">
            <wp:simplePos x="0" y="0"/>
            <wp:positionH relativeFrom="column">
              <wp:posOffset>-58667</wp:posOffset>
            </wp:positionH>
            <wp:positionV relativeFrom="paragraph">
              <wp:posOffset>462470</wp:posOffset>
            </wp:positionV>
            <wp:extent cx="5738884" cy="2821352"/>
            <wp:effectExtent l="0" t="0" r="0" b="0"/>
            <wp:wrapSquare wrapText="bothSides"/>
            <wp:docPr id="16981031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03197"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38884" cy="2821352"/>
                    </a:xfrm>
                    <a:prstGeom prst="rect">
                      <a:avLst/>
                    </a:prstGeom>
                    <a:noFill/>
                    <a:ln>
                      <a:noFill/>
                    </a:ln>
                  </pic:spPr>
                </pic:pic>
              </a:graphicData>
            </a:graphic>
          </wp:anchor>
        </w:drawing>
      </w:r>
      <w:r w:rsidR="00525253" w:rsidRPr="009239F8">
        <w:rPr>
          <w:rFonts w:ascii="Times New Roman" w:hAnsi="Times New Roman" w:cs="Times New Roman"/>
          <w:color w:val="auto"/>
          <w:lang w:val="en-US"/>
        </w:rPr>
        <w:t>S</w:t>
      </w:r>
      <w:r w:rsidR="00321C9B" w:rsidRPr="009239F8">
        <w:rPr>
          <w:rFonts w:ascii="Times New Roman" w:hAnsi="Times New Roman" w:cs="Times New Roman"/>
          <w:color w:val="auto"/>
          <w:lang w:val="en-US"/>
        </w:rPr>
        <w:t>10</w:t>
      </w:r>
      <w:r w:rsidR="00525253" w:rsidRPr="009239F8">
        <w:rPr>
          <w:rFonts w:ascii="Times New Roman" w:hAnsi="Times New Roman" w:cs="Times New Roman"/>
          <w:color w:val="auto"/>
          <w:lang w:val="en-US"/>
        </w:rPr>
        <w:t>: Methodology of multimodal clinical data integration</w:t>
      </w:r>
      <w:r w:rsidR="00D07BC6" w:rsidRPr="009239F8">
        <w:rPr>
          <w:rFonts w:ascii="Times New Roman" w:hAnsi="Times New Roman" w:cs="Times New Roman"/>
          <w:color w:val="auto"/>
          <w:lang w:val="en-US"/>
        </w:rPr>
        <w:t xml:space="preserve"> </w:t>
      </w:r>
    </w:p>
    <w:p w14:paraId="7220C811" w14:textId="26DC3CD0" w:rsidR="00525253" w:rsidRPr="009239F8" w:rsidRDefault="00525253"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 xml:space="preserve">Multimodal clinical data integration constitutes the first stage of the </w:t>
      </w:r>
      <w:r w:rsidR="00761A2E" w:rsidRPr="009239F8">
        <w:rPr>
          <w:rFonts w:ascii="Times New Roman" w:hAnsi="Times New Roman" w:cs="Times New Roman"/>
          <w:lang w:val="en-US"/>
        </w:rPr>
        <w:t>DT</w:t>
      </w:r>
      <w:r w:rsidRPr="009239F8">
        <w:rPr>
          <w:rFonts w:ascii="Times New Roman" w:hAnsi="Times New Roman" w:cs="Times New Roman"/>
          <w:lang w:val="en-US"/>
        </w:rPr>
        <w:t xml:space="preserve"> </w:t>
      </w:r>
      <w:r w:rsidR="000264BC" w:rsidRPr="009239F8">
        <w:rPr>
          <w:rFonts w:ascii="Times New Roman" w:hAnsi="Times New Roman" w:cs="Times New Roman"/>
          <w:lang w:val="en-US"/>
        </w:rPr>
        <w:t>personalization</w:t>
      </w:r>
      <w:r w:rsidRPr="009239F8">
        <w:rPr>
          <w:rFonts w:ascii="Times New Roman" w:hAnsi="Times New Roman" w:cs="Times New Roman"/>
          <w:lang w:val="en-US"/>
        </w:rPr>
        <w:t xml:space="preserve"> pipeline. Subject-specific biventricular anatomy, myocardial fibrosis burden, and epicardial electrophysiology were derived from cine-CMR, LGE, and ECGI respectively, and co-registered to a common end-diastolic reference frame via a mesh morphing algorithm. The resulting unified anatomical and functional representation served as the direct input to the subsequent </w:t>
      </w:r>
      <w:r w:rsidR="000264BC" w:rsidRPr="009239F8">
        <w:rPr>
          <w:rFonts w:ascii="Times New Roman" w:hAnsi="Times New Roman" w:cs="Times New Roman"/>
          <w:lang w:val="en-US"/>
        </w:rPr>
        <w:t>personalization</w:t>
      </w:r>
      <w:r w:rsidRPr="009239F8">
        <w:rPr>
          <w:rFonts w:ascii="Times New Roman" w:hAnsi="Times New Roman" w:cs="Times New Roman"/>
          <w:lang w:val="en-US"/>
        </w:rPr>
        <w:t xml:space="preserve"> stages. A schematic overview of this integration workflow is provided in </w:t>
      </w:r>
      <w:r w:rsidR="00F456A7" w:rsidRPr="009239F8">
        <w:rPr>
          <w:rFonts w:ascii="Times New Roman" w:hAnsi="Times New Roman" w:cs="Times New Roman"/>
          <w:lang w:val="en-US"/>
        </w:rPr>
        <w:fldChar w:fldCharType="begin"/>
      </w:r>
      <w:r w:rsidR="00F456A7" w:rsidRPr="009239F8">
        <w:rPr>
          <w:rFonts w:ascii="Times New Roman" w:hAnsi="Times New Roman" w:cs="Times New Roman"/>
          <w:lang w:val="en-US"/>
        </w:rPr>
        <w:instrText xml:space="preserve"> REF _Ref230705639 \h  \* MERGEFORMAT </w:instrText>
      </w:r>
      <w:r w:rsidR="00F456A7" w:rsidRPr="009239F8">
        <w:rPr>
          <w:rFonts w:ascii="Times New Roman" w:hAnsi="Times New Roman" w:cs="Times New Roman"/>
          <w:lang w:val="en-US"/>
        </w:rPr>
      </w:r>
      <w:r w:rsidR="00F456A7"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9</w:t>
      </w:r>
      <w:r w:rsidR="00F456A7" w:rsidRPr="009239F8">
        <w:rPr>
          <w:rFonts w:ascii="Times New Roman" w:hAnsi="Times New Roman" w:cs="Times New Roman"/>
          <w:lang w:val="en-US"/>
        </w:rPr>
        <w:fldChar w:fldCharType="end"/>
      </w:r>
      <w:r w:rsidR="00F456A7" w:rsidRPr="009239F8">
        <w:rPr>
          <w:rFonts w:ascii="Times New Roman" w:hAnsi="Times New Roman" w:cs="Times New Roman"/>
          <w:lang w:val="en-US"/>
        </w:rPr>
        <w:t>.</w:t>
      </w:r>
    </w:p>
    <w:p w14:paraId="057B8759" w14:textId="5C92E3CB" w:rsidR="009E55A6" w:rsidRPr="009239F8" w:rsidRDefault="009E55A6"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w:t>
      </w:r>
      <w:r w:rsidR="00E90476" w:rsidRPr="009239F8">
        <w:rPr>
          <w:rFonts w:ascii="Times New Roman" w:hAnsi="Times New Roman" w:cs="Times New Roman"/>
          <w:color w:val="auto"/>
          <w:lang w:val="en-US"/>
        </w:rPr>
        <w:t>11</w:t>
      </w:r>
      <w:r w:rsidRPr="009239F8">
        <w:rPr>
          <w:rFonts w:ascii="Times New Roman" w:hAnsi="Times New Roman" w:cs="Times New Roman"/>
          <w:color w:val="auto"/>
          <w:lang w:val="en-US"/>
        </w:rPr>
        <w:t>: Apparent CV correlation with electrical diffusion</w:t>
      </w:r>
    </w:p>
    <w:p w14:paraId="6F0427E9" w14:textId="3D1561B4" w:rsidR="009E55A6" w:rsidRPr="009239F8" w:rsidRDefault="009E55A6" w:rsidP="009A5B48">
      <w:pPr>
        <w:spacing w:line="480" w:lineRule="auto"/>
        <w:jc w:val="both"/>
        <w:rPr>
          <w:rFonts w:ascii="Times New Roman" w:eastAsiaTheme="minorEastAsia" w:hAnsi="Times New Roman" w:cs="Times New Roman"/>
          <w:b/>
          <w:bCs/>
          <w:lang w:val="en-US"/>
        </w:rPr>
      </w:pPr>
      <w:r w:rsidRPr="009239F8">
        <w:rPr>
          <w:rFonts w:ascii="Times New Roman" w:hAnsi="Times New Roman" w:cs="Times New Roman"/>
          <w:lang w:val="en-US"/>
        </w:rPr>
        <w:t>Apparent median Conduction Velocity (CV) was measured using inverse gradient methodology</w:t>
      </w:r>
      <w:r w:rsidR="009F5B45" w:rsidRPr="009239F8">
        <w:rPr>
          <w:rFonts w:ascii="Times New Roman" w:hAnsi="Times New Roman" w:cs="Times New Roman"/>
          <w:kern w:val="0"/>
          <w:vertAlign w:val="superscript"/>
        </w:rPr>
        <w:t>1</w:t>
      </w:r>
      <w:r w:rsidRPr="009239F8">
        <w:rPr>
          <w:rFonts w:ascii="Times New Roman" w:hAnsi="Times New Roman" w:cs="Times New Roman"/>
          <w:lang w:val="en-US"/>
        </w:rPr>
        <w:t xml:space="preserve"> from the estimated activation maps from the ECGI inverse problem solution. This CV cannot be directly imposed on our proposed electrophysiology (EP) Digital Twins (</w:t>
      </w:r>
      <w:r w:rsidR="00761A2E" w:rsidRPr="009239F8">
        <w:rPr>
          <w:rFonts w:ascii="Times New Roman" w:hAnsi="Times New Roman" w:cs="Times New Roman"/>
          <w:lang w:val="en-US"/>
        </w:rPr>
        <w:t>DTs</w:t>
      </w:r>
      <w:r w:rsidRPr="009239F8">
        <w:rPr>
          <w:rFonts w:ascii="Times New Roman" w:hAnsi="Times New Roman" w:cs="Times New Roman"/>
          <w:lang w:val="en-US"/>
        </w:rPr>
        <w:t>) framework. This framework used the monodomain formulation</w:t>
      </w:r>
      <w:r w:rsidR="009F5B45" w:rsidRPr="009239F8">
        <w:rPr>
          <w:rFonts w:ascii="Times New Roman" w:hAnsi="Times New Roman" w:cs="Times New Roman"/>
          <w:kern w:val="0"/>
          <w:vertAlign w:val="superscript"/>
        </w:rPr>
        <w:t>2</w:t>
      </w:r>
      <w:r w:rsidRPr="009239F8">
        <w:rPr>
          <w:rFonts w:ascii="Times New Roman" w:hAnsi="Times New Roman" w:cs="Times New Roman"/>
          <w:lang w:val="en-US"/>
        </w:rPr>
        <w:t xml:space="preserve"> for the replication of activation potential propagation along the myocardium. This is not an explicit parameter but rather an emergent property determined by the tissue’s electrical diffusivity (</w:t>
      </w:r>
      <w:r w:rsidRPr="009239F8">
        <w:rPr>
          <w:rFonts w:ascii="Times New Roman" w:hAnsi="Times New Roman" w:cs="Times New Roman"/>
          <w:b/>
          <w:bCs/>
          <w:lang w:val="en-US"/>
        </w:rPr>
        <w:t>D</w:t>
      </w:r>
      <w:r w:rsidRPr="009239F8">
        <w:rPr>
          <w:rFonts w:ascii="Times New Roman" w:hAnsi="Times New Roman" w:cs="Times New Roman"/>
          <w:lang w:val="en-US"/>
        </w:rPr>
        <w:t xml:space="preserve">) and the ionic model governing membrane dynamics. This tensor </w:t>
      </w:r>
      <m:oMath>
        <m:r>
          <m:rPr>
            <m:sty m:val="bi"/>
          </m:rPr>
          <w:rPr>
            <w:rFonts w:ascii="Cambria Math" w:hAnsi="Cambria Math" w:cs="Times New Roman"/>
            <w:lang w:val="en-US"/>
          </w:rPr>
          <m:t>D</m:t>
        </m:r>
      </m:oMath>
      <w:r w:rsidRPr="009239F8">
        <w:rPr>
          <w:rFonts w:ascii="Times New Roman" w:hAnsi="Times New Roman" w:cs="Times New Roman"/>
          <w:lang w:val="en-US"/>
        </w:rPr>
        <w:t xml:space="preserve"> contains the electrical diffusivity along the fibe</w:t>
      </w:r>
      <w:r w:rsidR="00A8555F" w:rsidRPr="009239F8">
        <w:rPr>
          <w:rFonts w:ascii="Times New Roman" w:hAnsi="Times New Roman" w:cs="Times New Roman"/>
          <w:lang w:val="en-US"/>
        </w:rPr>
        <w:t>r</w:t>
      </w:r>
      <w:r w:rsidRPr="009239F8">
        <w:rPr>
          <w:rFonts w:ascii="Times New Roman" w:hAnsi="Times New Roman" w:cs="Times New Roman"/>
          <w:lang w:val="en-US"/>
        </w:rPr>
        <w:t>s (</w:t>
      </w:r>
      <m:oMath>
        <m:sSub>
          <m:sSubPr>
            <m:ctrlPr>
              <w:rPr>
                <w:rFonts w:ascii="Cambria Math" w:hAnsi="Cambria Math" w:cs="Times New Roman"/>
                <w:b/>
                <w:bCs/>
                <w:i/>
                <w:iCs/>
                <w:lang w:val="en-US"/>
              </w:rPr>
            </m:ctrlPr>
          </m:sSubPr>
          <m:e>
            <m:r>
              <m:rPr>
                <m:sty m:val="bi"/>
              </m:rPr>
              <w:rPr>
                <w:rFonts w:ascii="Cambria Math" w:hAnsi="Cambria Math" w:cs="Times New Roman"/>
                <w:lang w:val="en-US"/>
              </w:rPr>
              <m:t>D</m:t>
            </m:r>
          </m:e>
          <m:sub>
            <m:r>
              <m:rPr>
                <m:sty m:val="bi"/>
              </m:rPr>
              <w:rPr>
                <w:rFonts w:ascii="Cambria Math" w:hAnsi="Cambria Math" w:cs="Times New Roman"/>
                <w:lang w:val="en-US"/>
              </w:rPr>
              <m:t>f</m:t>
            </m:r>
          </m:sub>
        </m:sSub>
      </m:oMath>
      <w:r w:rsidRPr="009239F8">
        <w:rPr>
          <w:rFonts w:ascii="Times New Roman" w:hAnsi="Times New Roman" w:cs="Times New Roman"/>
          <w:lang w:val="en-US"/>
        </w:rPr>
        <w:t>) and two orthogonal directions (</w:t>
      </w:r>
      <m:oMath>
        <m:sSub>
          <m:sSubPr>
            <m:ctrlPr>
              <w:rPr>
                <w:rFonts w:ascii="Cambria Math" w:hAnsi="Cambria Math" w:cs="Times New Roman"/>
                <w:b/>
                <w:bCs/>
                <w:i/>
                <w:lang w:val="en-US"/>
              </w:rPr>
            </m:ctrlPr>
          </m:sSubPr>
          <m:e>
            <m:r>
              <m:rPr>
                <m:sty m:val="bi"/>
              </m:rPr>
              <w:rPr>
                <w:rFonts w:ascii="Cambria Math" w:hAnsi="Cambria Math" w:cs="Times New Roman"/>
                <w:lang w:val="en-US"/>
              </w:rPr>
              <m:t>D</m:t>
            </m:r>
          </m:e>
          <m:sub>
            <m:r>
              <m:rPr>
                <m:sty m:val="bi"/>
              </m:rPr>
              <w:rPr>
                <w:rFonts w:ascii="Cambria Math" w:hAnsi="Cambria Math" w:cs="Times New Roman"/>
                <w:lang w:val="en-US"/>
              </w:rPr>
              <m:t>o</m:t>
            </m:r>
          </m:sub>
        </m:sSub>
      </m:oMath>
      <w:r w:rsidRPr="009239F8">
        <w:rPr>
          <w:rFonts w:ascii="Times New Roman" w:hAnsi="Times New Roman" w:cs="Times New Roman"/>
          <w:lang w:val="en-US"/>
        </w:rPr>
        <w:t xml:space="preserve">). In our </w:t>
      </w:r>
      <w:r w:rsidR="00761A2E" w:rsidRPr="009239F8">
        <w:rPr>
          <w:rFonts w:ascii="Times New Roman" w:hAnsi="Times New Roman" w:cs="Times New Roman"/>
          <w:lang w:val="en-US"/>
        </w:rPr>
        <w:t>DT</w:t>
      </w:r>
      <w:r w:rsidRPr="009239F8">
        <w:rPr>
          <w:rFonts w:ascii="Times New Roman" w:hAnsi="Times New Roman" w:cs="Times New Roman"/>
          <w:lang w:val="en-US"/>
        </w:rPr>
        <w:t xml:space="preserve"> framework we use a ratio between </w:t>
      </w:r>
      <m:oMath>
        <m:sSub>
          <m:sSubPr>
            <m:ctrlPr>
              <w:rPr>
                <w:rFonts w:ascii="Cambria Math" w:hAnsi="Cambria Math" w:cs="Times New Roman"/>
                <w:b/>
                <w:bCs/>
                <w:i/>
                <w:iCs/>
                <w:lang w:val="en-US"/>
              </w:rPr>
            </m:ctrlPr>
          </m:sSubPr>
          <m:e>
            <m:r>
              <m:rPr>
                <m:sty m:val="bi"/>
              </m:rPr>
              <w:rPr>
                <w:rFonts w:ascii="Cambria Math" w:hAnsi="Cambria Math" w:cs="Times New Roman"/>
                <w:lang w:val="en-US"/>
              </w:rPr>
              <m:t>D</m:t>
            </m:r>
          </m:e>
          <m:sub>
            <m:r>
              <m:rPr>
                <m:sty m:val="bi"/>
              </m:rPr>
              <w:rPr>
                <w:rFonts w:ascii="Cambria Math" w:hAnsi="Cambria Math" w:cs="Times New Roman"/>
                <w:lang w:val="en-US"/>
              </w:rPr>
              <m:t>f</m:t>
            </m:r>
          </m:sub>
        </m:sSub>
      </m:oMath>
      <w:r w:rsidRPr="009239F8">
        <w:rPr>
          <w:rFonts w:ascii="Times New Roman" w:eastAsiaTheme="minorEastAsia" w:hAnsi="Times New Roman" w:cs="Times New Roman"/>
          <w:b/>
          <w:bCs/>
          <w:iCs/>
          <w:lang w:val="en-US"/>
        </w:rPr>
        <w:t xml:space="preserve"> </w:t>
      </w:r>
      <w:r w:rsidRPr="009239F8">
        <w:rPr>
          <w:rFonts w:ascii="Times New Roman" w:hAnsi="Times New Roman" w:cs="Times New Roman"/>
          <w:lang w:val="en-US"/>
        </w:rPr>
        <w:t xml:space="preserve">and </w:t>
      </w:r>
      <m:oMath>
        <m:sSub>
          <m:sSubPr>
            <m:ctrlPr>
              <w:rPr>
                <w:rFonts w:ascii="Cambria Math" w:hAnsi="Cambria Math" w:cs="Times New Roman"/>
                <w:b/>
                <w:bCs/>
                <w:i/>
                <w:iCs/>
                <w:lang w:val="en-US"/>
              </w:rPr>
            </m:ctrlPr>
          </m:sSubPr>
          <m:e>
            <m:r>
              <m:rPr>
                <m:sty m:val="bi"/>
              </m:rPr>
              <w:rPr>
                <w:rFonts w:ascii="Cambria Math" w:hAnsi="Cambria Math" w:cs="Times New Roman"/>
                <w:lang w:val="en-US"/>
              </w:rPr>
              <m:t>D</m:t>
            </m:r>
          </m:e>
          <m:sub>
            <m:r>
              <m:rPr>
                <m:sty m:val="bi"/>
              </m:rPr>
              <w:rPr>
                <w:rFonts w:ascii="Cambria Math" w:hAnsi="Cambria Math" w:cs="Times New Roman"/>
                <w:lang w:val="en-US"/>
              </w:rPr>
              <m:t>o</m:t>
            </m:r>
          </m:sub>
        </m:sSub>
        <m:r>
          <m:rPr>
            <m:sty m:val="bi"/>
          </m:rPr>
          <w:rPr>
            <w:rFonts w:ascii="Cambria Math" w:hAnsi="Cambria Math" w:cs="Times New Roman"/>
            <w:lang w:val="en-US"/>
          </w:rPr>
          <m:t xml:space="preserve"> </m:t>
        </m:r>
      </m:oMath>
      <w:r w:rsidRPr="009239F8">
        <w:rPr>
          <w:rFonts w:ascii="Times New Roman" w:hAnsi="Times New Roman" w:cs="Times New Roman"/>
          <w:lang w:val="en-US"/>
        </w:rPr>
        <w:t>of 3 to 1.</w:t>
      </w:r>
    </w:p>
    <w:p w14:paraId="0D7C19E5" w14:textId="44BEBE88" w:rsidR="009E55A6" w:rsidRPr="009239F8" w:rsidRDefault="009E55A6"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 xml:space="preserve">In order to find the correlation between </w:t>
      </w:r>
      <m:oMath>
        <m:r>
          <w:rPr>
            <w:rFonts w:ascii="Cambria Math" w:hAnsi="Cambria Math" w:cs="Times New Roman"/>
            <w:lang w:val="en-US"/>
          </w:rPr>
          <m:t>D</m:t>
        </m:r>
      </m:oMath>
      <w:r w:rsidRPr="009239F8">
        <w:rPr>
          <w:rFonts w:ascii="Times New Roman" w:hAnsi="Times New Roman" w:cs="Times New Roman"/>
          <w:b/>
          <w:bCs/>
          <w:lang w:val="en-US"/>
        </w:rPr>
        <w:t xml:space="preserve"> </w:t>
      </w:r>
      <w:r w:rsidRPr="009239F8">
        <w:rPr>
          <w:rFonts w:ascii="Times New Roman" w:hAnsi="Times New Roman" w:cs="Times New Roman"/>
          <w:lang w:val="en-US"/>
        </w:rPr>
        <w:t>and the CV, we used the EP benchmark defined by Niederer et al. work</w:t>
      </w:r>
      <w:r w:rsidR="009F5B45" w:rsidRPr="009239F8">
        <w:rPr>
          <w:rFonts w:ascii="Times New Roman" w:hAnsi="Times New Roman" w:cs="Times New Roman"/>
          <w:kern w:val="0"/>
          <w:vertAlign w:val="superscript"/>
        </w:rPr>
        <w:t>3</w:t>
      </w:r>
      <w:r w:rsidRPr="009239F8">
        <w:rPr>
          <w:rFonts w:ascii="Times New Roman" w:hAnsi="Times New Roman" w:cs="Times New Roman"/>
          <w:lang w:val="en-US"/>
        </w:rPr>
        <w:t>.  The EP transmural heterogeneity was introduced and defined by three transmural equal layers representing the endocardial cells, mid cells and epicardial cells with their representative ion channels conductance modifications reported in</w:t>
      </w:r>
      <w:r w:rsidR="009F5B45" w:rsidRPr="009239F8">
        <w:rPr>
          <w:rFonts w:ascii="Times New Roman" w:hAnsi="Times New Roman" w:cs="Times New Roman"/>
          <w:kern w:val="0"/>
          <w:vertAlign w:val="superscript"/>
        </w:rPr>
        <w:t>4</w:t>
      </w:r>
      <w:r w:rsidRPr="009239F8">
        <w:rPr>
          <w:rFonts w:ascii="Times New Roman" w:hAnsi="Times New Roman" w:cs="Times New Roman"/>
          <w:lang w:val="en-US"/>
        </w:rPr>
        <w:t>. In this framework we run simulations with initial stimulus on the endocardium and varying</w:t>
      </w:r>
      <w:r w:rsidR="004D599D" w:rsidRPr="009239F8">
        <w:rPr>
          <w:rFonts w:ascii="Times New Roman" w:hAnsi="Times New Roman" w:cs="Times New Roman"/>
          <w:lang w:val="en-US"/>
        </w:rPr>
        <w:t xml:space="preserve"> </w:t>
      </w:r>
      <m:oMath>
        <m:sSub>
          <m:sSubPr>
            <m:ctrlPr>
              <w:rPr>
                <w:rFonts w:ascii="Cambria Math" w:hAnsi="Cambria Math" w:cs="Times New Roman"/>
                <w:b/>
                <w:bCs/>
                <w:i/>
                <w:iCs/>
                <w:lang w:val="en-US"/>
              </w:rPr>
            </m:ctrlPr>
          </m:sSubPr>
          <m:e>
            <m:r>
              <m:rPr>
                <m:sty m:val="bi"/>
              </m:rPr>
              <w:rPr>
                <w:rFonts w:ascii="Cambria Math" w:hAnsi="Cambria Math" w:cs="Times New Roman"/>
                <w:lang w:val="en-US"/>
              </w:rPr>
              <m:t>D</m:t>
            </m:r>
          </m:e>
          <m:sub>
            <m:r>
              <m:rPr>
                <m:sty m:val="bi"/>
              </m:rPr>
              <w:rPr>
                <w:rFonts w:ascii="Cambria Math" w:hAnsi="Cambria Math" w:cs="Times New Roman"/>
                <w:lang w:val="en-US"/>
              </w:rPr>
              <m:t>f</m:t>
            </m:r>
          </m:sub>
        </m:sSub>
      </m:oMath>
      <w:r w:rsidR="00C76F71" w:rsidRPr="009239F8">
        <w:rPr>
          <w:rFonts w:ascii="Times New Roman" w:hAnsi="Times New Roman" w:cs="Times New Roman"/>
          <w:lang w:val="en-US"/>
        </w:rPr>
        <w:t xml:space="preserve">. </w:t>
      </w:r>
      <w:r w:rsidRPr="009239F8">
        <w:rPr>
          <w:rFonts w:ascii="Times New Roman" w:hAnsi="Times New Roman" w:cs="Times New Roman"/>
          <w:lang w:val="en-US"/>
        </w:rPr>
        <w:t xml:space="preserve">Obtained activation maps were used to solve the inverse gradient to compute the apparent CV from the benchmark framework. For better comparison with measured ECGI CV, we filter those velocities below 0.05 m/s and higher than 2.5 m/s. From each </w:t>
      </w:r>
      <m:oMath>
        <m:sSub>
          <m:sSubPr>
            <m:ctrlPr>
              <w:rPr>
                <w:rFonts w:ascii="Cambria Math" w:hAnsi="Cambria Math" w:cs="Times New Roman"/>
                <w:b/>
                <w:bCs/>
                <w:i/>
                <w:iCs/>
                <w:lang w:val="en-US"/>
              </w:rPr>
            </m:ctrlPr>
          </m:sSubPr>
          <m:e>
            <m:r>
              <m:rPr>
                <m:sty m:val="bi"/>
              </m:rPr>
              <w:rPr>
                <w:rFonts w:ascii="Cambria Math" w:hAnsi="Cambria Math" w:cs="Times New Roman"/>
                <w:lang w:val="en-US"/>
              </w:rPr>
              <m:t>D</m:t>
            </m:r>
          </m:e>
          <m:sub>
            <m:r>
              <m:rPr>
                <m:sty m:val="bi"/>
              </m:rPr>
              <w:rPr>
                <w:rFonts w:ascii="Cambria Math" w:hAnsi="Cambria Math" w:cs="Times New Roman"/>
                <w:lang w:val="en-US"/>
              </w:rPr>
              <m:t>f</m:t>
            </m:r>
          </m:sub>
        </m:sSub>
      </m:oMath>
      <w:r w:rsidRPr="009239F8">
        <w:rPr>
          <w:rFonts w:ascii="Times New Roman" w:hAnsi="Times New Roman" w:cs="Times New Roman"/>
          <w:lang w:val="en-US"/>
        </w:rPr>
        <w:t xml:space="preserve"> we compute the median CV on the epicardium.</w:t>
      </w:r>
    </w:p>
    <w:p w14:paraId="6CFA3098" w14:textId="3F1BC251" w:rsidR="009E55A6" w:rsidRPr="009239F8" w:rsidRDefault="009E55A6"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 xml:space="preserve">Final correlation can be found in </w:t>
      </w:r>
      <w:r w:rsidRPr="009239F8">
        <w:rPr>
          <w:rFonts w:ascii="Times New Roman" w:hAnsi="Times New Roman" w:cs="Times New Roman"/>
          <w:b/>
          <w:bCs/>
          <w:lang w:val="en-US"/>
        </w:rPr>
        <w:fldChar w:fldCharType="begin"/>
      </w:r>
      <w:r w:rsidRPr="009239F8">
        <w:rPr>
          <w:rFonts w:ascii="Times New Roman" w:hAnsi="Times New Roman" w:cs="Times New Roman"/>
          <w:b/>
          <w:bCs/>
          <w:lang w:val="en-US"/>
        </w:rPr>
        <w:instrText xml:space="preserve"> REF _Ref230014596 \h  \* MERGEFORMAT </w:instrText>
      </w:r>
      <w:r w:rsidRPr="009239F8">
        <w:rPr>
          <w:rFonts w:ascii="Times New Roman" w:hAnsi="Times New Roman" w:cs="Times New Roman"/>
          <w:b/>
          <w:bCs/>
          <w:lang w:val="en-US"/>
        </w:rPr>
      </w:r>
      <w:r w:rsidRPr="009239F8">
        <w:rPr>
          <w:rFonts w:ascii="Times New Roman" w:hAnsi="Times New Roman" w:cs="Times New Roman"/>
          <w:b/>
          <w:bCs/>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10</w:t>
      </w:r>
      <w:r w:rsidRPr="009239F8">
        <w:rPr>
          <w:rFonts w:ascii="Times New Roman" w:hAnsi="Times New Roman" w:cs="Times New Roman"/>
          <w:b/>
          <w:bCs/>
          <w:lang w:val="en-US"/>
        </w:rPr>
        <w:fldChar w:fldCharType="end"/>
      </w:r>
      <w:r w:rsidRPr="009239F8">
        <w:rPr>
          <w:rFonts w:ascii="Times New Roman" w:hAnsi="Times New Roman" w:cs="Times New Roman"/>
          <w:lang w:val="en-US"/>
        </w:rPr>
        <w:t xml:space="preserve">. We obtained a second order polynomial relationship between median epicardial CV and </w:t>
      </w:r>
      <m:oMath>
        <m:sSub>
          <m:sSubPr>
            <m:ctrlPr>
              <w:rPr>
                <w:rFonts w:ascii="Cambria Math" w:hAnsi="Cambria Math" w:cs="Times New Roman"/>
                <w:b/>
                <w:bCs/>
                <w:i/>
                <w:iCs/>
                <w:lang w:val="en-US"/>
              </w:rPr>
            </m:ctrlPr>
          </m:sSubPr>
          <m:e>
            <m:r>
              <m:rPr>
                <m:sty m:val="bi"/>
              </m:rPr>
              <w:rPr>
                <w:rFonts w:ascii="Cambria Math" w:hAnsi="Cambria Math" w:cs="Times New Roman"/>
                <w:lang w:val="en-US"/>
              </w:rPr>
              <m:t>D</m:t>
            </m:r>
          </m:e>
          <m:sub>
            <m:r>
              <m:rPr>
                <m:sty m:val="bi"/>
              </m:rPr>
              <w:rPr>
                <w:rFonts w:ascii="Cambria Math" w:hAnsi="Cambria Math" w:cs="Times New Roman"/>
                <w:lang w:val="en-US"/>
              </w:rPr>
              <m:t>f</m:t>
            </m:r>
          </m:sub>
        </m:sSub>
      </m:oMath>
      <w:r w:rsidRPr="009239F8">
        <w:rPr>
          <w:rFonts w:ascii="Times New Roman" w:hAnsi="Times New Roman" w:cs="Times New Roman"/>
          <w:lang w:val="en-US"/>
        </w:rPr>
        <w:t xml:space="preserve">. We use this relationship such that given the measured median CV on the ECGI we obtained the expected </w:t>
      </w:r>
      <m:oMath>
        <m:sSub>
          <m:sSubPr>
            <m:ctrlPr>
              <w:rPr>
                <w:rFonts w:ascii="Cambria Math" w:hAnsi="Cambria Math" w:cs="Times New Roman"/>
                <w:b/>
                <w:bCs/>
                <w:i/>
                <w:iCs/>
                <w:lang w:val="en-US"/>
              </w:rPr>
            </m:ctrlPr>
          </m:sSubPr>
          <m:e>
            <m:r>
              <m:rPr>
                <m:sty m:val="bi"/>
              </m:rPr>
              <w:rPr>
                <w:rFonts w:ascii="Cambria Math" w:hAnsi="Cambria Math" w:cs="Times New Roman"/>
                <w:lang w:val="en-US"/>
              </w:rPr>
              <m:t>D</m:t>
            </m:r>
          </m:e>
          <m:sub>
            <m:r>
              <m:rPr>
                <m:sty m:val="bi"/>
              </m:rPr>
              <w:rPr>
                <w:rFonts w:ascii="Cambria Math" w:hAnsi="Cambria Math" w:cs="Times New Roman"/>
                <w:lang w:val="en-US"/>
              </w:rPr>
              <m:t>f</m:t>
            </m:r>
          </m:sub>
        </m:sSub>
      </m:oMath>
      <w:r w:rsidRPr="009239F8">
        <w:rPr>
          <w:rFonts w:ascii="Times New Roman" w:hAnsi="Times New Roman" w:cs="Times New Roman"/>
          <w:b/>
          <w:bCs/>
          <w:lang w:val="en-US"/>
        </w:rPr>
        <w:t xml:space="preserve"> </w:t>
      </w:r>
      <w:r w:rsidRPr="009239F8">
        <w:rPr>
          <w:rFonts w:ascii="Times New Roman" w:hAnsi="Times New Roman" w:cs="Times New Roman"/>
          <w:lang w:val="en-US"/>
        </w:rPr>
        <w:t>on the monodomain formulation.</w:t>
      </w:r>
    </w:p>
    <w:p w14:paraId="55271F38" w14:textId="77777777" w:rsidR="009E55A6" w:rsidRPr="009239F8" w:rsidRDefault="009E55A6" w:rsidP="009A5B48">
      <w:pPr>
        <w:keepNext/>
        <w:spacing w:line="480" w:lineRule="auto"/>
        <w:jc w:val="center"/>
        <w:rPr>
          <w:rFonts w:ascii="Times New Roman" w:hAnsi="Times New Roman" w:cs="Times New Roman"/>
          <w:lang w:val="en-US"/>
        </w:rPr>
      </w:pPr>
      <w:r w:rsidRPr="009239F8">
        <w:rPr>
          <w:rFonts w:ascii="Times New Roman" w:hAnsi="Times New Roman" w:cs="Times New Roman"/>
          <w:noProof/>
          <w:lang w:val="en-US"/>
        </w:rPr>
        <w:drawing>
          <wp:inline distT="0" distB="0" distL="0" distR="0" wp14:anchorId="722300FA" wp14:editId="1124419B">
            <wp:extent cx="3509249" cy="2419419"/>
            <wp:effectExtent l="0" t="0" r="0" b="0"/>
            <wp:docPr id="20199061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06196"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516893" cy="2424689"/>
                    </a:xfrm>
                    <a:prstGeom prst="rect">
                      <a:avLst/>
                    </a:prstGeom>
                    <a:noFill/>
                    <a:ln>
                      <a:noFill/>
                    </a:ln>
                  </pic:spPr>
                </pic:pic>
              </a:graphicData>
            </a:graphic>
          </wp:inline>
        </w:drawing>
      </w:r>
    </w:p>
    <w:p w14:paraId="58E585AD" w14:textId="09071254" w:rsidR="009E55A6" w:rsidRPr="009239F8" w:rsidRDefault="009E55A6" w:rsidP="009A5B48">
      <w:pPr>
        <w:pStyle w:val="Caption"/>
        <w:spacing w:line="480" w:lineRule="auto"/>
        <w:rPr>
          <w:rFonts w:cs="Times New Roman"/>
          <w:color w:val="auto"/>
          <w:lang w:val="en-US"/>
        </w:rPr>
      </w:pPr>
      <w:bookmarkStart w:id="23" w:name="_Ref230014596"/>
      <w:r w:rsidRPr="009239F8">
        <w:rPr>
          <w:rFonts w:cs="Times New Roman"/>
          <w:b/>
          <w:color w:val="auto"/>
          <w:lang w:val="en-US"/>
        </w:rPr>
        <w:t xml:space="preserve">Figure S </w:t>
      </w:r>
      <w:r w:rsidRPr="009239F8">
        <w:rPr>
          <w:rFonts w:cs="Times New Roman"/>
          <w:b/>
          <w:color w:val="auto"/>
          <w:lang w:val="en-US"/>
        </w:rPr>
        <w:fldChar w:fldCharType="begin"/>
      </w:r>
      <w:r w:rsidRPr="009239F8">
        <w:rPr>
          <w:rFonts w:cs="Times New Roman"/>
          <w:b/>
          <w:bCs/>
          <w:color w:val="auto"/>
          <w:lang w:val="en-US"/>
        </w:rPr>
        <w:instrText xml:space="preserve"> SEQ Figure_S \* ARABIC </w:instrText>
      </w:r>
      <w:r w:rsidRPr="009239F8">
        <w:rPr>
          <w:rFonts w:cs="Times New Roman"/>
          <w:b/>
          <w:color w:val="auto"/>
          <w:lang w:val="en-US"/>
        </w:rPr>
        <w:fldChar w:fldCharType="separate"/>
      </w:r>
      <w:r w:rsidR="00890076" w:rsidRPr="009239F8">
        <w:rPr>
          <w:rFonts w:cs="Times New Roman"/>
          <w:b/>
          <w:bCs/>
          <w:noProof/>
          <w:color w:val="auto"/>
          <w:lang w:val="en-US"/>
        </w:rPr>
        <w:t>10</w:t>
      </w:r>
      <w:r w:rsidRPr="009239F8">
        <w:rPr>
          <w:rFonts w:cs="Times New Roman"/>
          <w:b/>
          <w:color w:val="auto"/>
          <w:lang w:val="en-US"/>
        </w:rPr>
        <w:fldChar w:fldCharType="end"/>
      </w:r>
      <w:bookmarkEnd w:id="23"/>
      <w:r w:rsidR="00886597" w:rsidRPr="009239F8">
        <w:rPr>
          <w:rFonts w:cs="Times New Roman"/>
          <w:b/>
          <w:color w:val="auto"/>
          <w:lang w:val="en-US"/>
        </w:rPr>
        <w:t>.</w:t>
      </w:r>
      <w:r w:rsidRPr="009239F8">
        <w:rPr>
          <w:rFonts w:cs="Times New Roman"/>
          <w:color w:val="auto"/>
          <w:lang w:val="en-US"/>
        </w:rPr>
        <w:t xml:space="preserve"> Obtained correlation between electrical diffusion along the fiber (</w:t>
      </w:r>
      <m:oMath>
        <m:sSub>
          <m:sSubPr>
            <m:ctrlPr>
              <w:rPr>
                <w:rFonts w:ascii="Cambria Math" w:hAnsi="Cambria Math" w:cs="Times New Roman"/>
                <w:b/>
                <w:bCs/>
                <w:i w:val="0"/>
                <w:iCs w:val="0"/>
                <w:color w:val="auto"/>
                <w:lang w:val="en-US"/>
              </w:rPr>
            </m:ctrlPr>
          </m:sSubPr>
          <m:e>
            <m:r>
              <m:rPr>
                <m:sty m:val="bi"/>
              </m:rPr>
              <w:rPr>
                <w:rFonts w:ascii="Cambria Math" w:hAnsi="Cambria Math" w:cs="Times New Roman"/>
                <w:color w:val="auto"/>
                <w:lang w:val="en-US"/>
              </w:rPr>
              <m:t>D</m:t>
            </m:r>
          </m:e>
          <m:sub>
            <m:r>
              <m:rPr>
                <m:sty m:val="bi"/>
              </m:rPr>
              <w:rPr>
                <w:rFonts w:ascii="Cambria Math" w:hAnsi="Cambria Math" w:cs="Times New Roman"/>
                <w:color w:val="auto"/>
                <w:lang w:val="en-US"/>
              </w:rPr>
              <m:t>f</m:t>
            </m:r>
          </m:sub>
        </m:sSub>
      </m:oMath>
      <w:r w:rsidRPr="009239F8">
        <w:rPr>
          <w:rFonts w:cs="Times New Roman"/>
          <w:color w:val="auto"/>
          <w:lang w:val="en-US"/>
        </w:rPr>
        <w:t>) and conduction velocity (CV).</w:t>
      </w:r>
    </w:p>
    <w:p w14:paraId="784631FC" w14:textId="400FD27F" w:rsidR="009E55A6" w:rsidRPr="009239F8" w:rsidRDefault="009E55A6"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w:t>
      </w:r>
      <w:r w:rsidR="00E7726E" w:rsidRPr="009239F8">
        <w:rPr>
          <w:rFonts w:ascii="Times New Roman" w:hAnsi="Times New Roman" w:cs="Times New Roman"/>
          <w:color w:val="auto"/>
          <w:lang w:val="en-US"/>
        </w:rPr>
        <w:t>12</w:t>
      </w:r>
      <w:r w:rsidRPr="009239F8">
        <w:rPr>
          <w:rFonts w:ascii="Times New Roman" w:hAnsi="Times New Roman" w:cs="Times New Roman"/>
          <w:color w:val="auto"/>
          <w:lang w:val="en-US"/>
        </w:rPr>
        <w:t>: Baseline and aging repolarization layers estimation</w:t>
      </w:r>
    </w:p>
    <w:p w14:paraId="37F87F37" w14:textId="49D9C1A9" w:rsidR="009E55A6" w:rsidRPr="009239F8" w:rsidRDefault="008B77B6" w:rsidP="009A5B48">
      <w:pPr>
        <w:spacing w:line="480" w:lineRule="auto"/>
        <w:jc w:val="both"/>
        <w:rPr>
          <w:rFonts w:ascii="Times New Roman" w:hAnsi="Times New Roman" w:cs="Times New Roman"/>
          <w:lang w:val="en-US"/>
        </w:rPr>
      </w:pPr>
      <w:r w:rsidRPr="009239F8">
        <w:rPr>
          <w:rFonts w:ascii="Times New Roman" w:hAnsi="Times New Roman" w:cs="Times New Roman"/>
          <w:noProof/>
          <w:lang w:val="en-US"/>
        </w:rPr>
        <mc:AlternateContent>
          <mc:Choice Requires="wps">
            <w:drawing>
              <wp:anchor distT="0" distB="0" distL="114300" distR="114300" simplePos="0" relativeHeight="251658249" behindDoc="0" locked="0" layoutInCell="1" allowOverlap="1" wp14:anchorId="00433BF7" wp14:editId="2D9FF523">
                <wp:simplePos x="0" y="0"/>
                <wp:positionH relativeFrom="margin">
                  <wp:align>right</wp:align>
                </wp:positionH>
                <wp:positionV relativeFrom="paragraph">
                  <wp:posOffset>3688436</wp:posOffset>
                </wp:positionV>
                <wp:extent cx="5723255" cy="445135"/>
                <wp:effectExtent l="0" t="0" r="0" b="0"/>
                <wp:wrapSquare wrapText="bothSides"/>
                <wp:docPr id="247744035" name="Text Box 1"/>
                <wp:cNvGraphicFramePr/>
                <a:graphic xmlns:a="http://schemas.openxmlformats.org/drawingml/2006/main">
                  <a:graphicData uri="http://schemas.microsoft.com/office/word/2010/wordprocessingShape">
                    <wps:wsp>
                      <wps:cNvSpPr txBox="1"/>
                      <wps:spPr>
                        <a:xfrm>
                          <a:off x="0" y="0"/>
                          <a:ext cx="5723255" cy="445273"/>
                        </a:xfrm>
                        <a:prstGeom prst="rect">
                          <a:avLst/>
                        </a:prstGeom>
                        <a:solidFill>
                          <a:prstClr val="white"/>
                        </a:solidFill>
                        <a:ln>
                          <a:noFill/>
                        </a:ln>
                      </wps:spPr>
                      <wps:txbx>
                        <w:txbxContent>
                          <w:p w14:paraId="7BF32D72" w14:textId="00E44CCE" w:rsidR="009E55A6" w:rsidRPr="008E460F" w:rsidRDefault="009E55A6" w:rsidP="009E55A6">
                            <w:pPr>
                              <w:pStyle w:val="Caption"/>
                              <w:jc w:val="both"/>
                              <w:rPr>
                                <w:rFonts w:ascii="Times New Roman" w:hAnsi="Times New Roman" w:cs="Times New Roman"/>
                                <w:noProof/>
                                <w:sz w:val="22"/>
                                <w:szCs w:val="22"/>
                                <w:lang w:val="en-US"/>
                              </w:rPr>
                            </w:pPr>
                            <w:bookmarkStart w:id="24" w:name="_Ref232768939"/>
                            <w:r w:rsidRPr="002B17F7">
                              <w:rPr>
                                <w:b/>
                                <w:bCs/>
                              </w:rPr>
                              <w:t xml:space="preserve">Figure S </w:t>
                            </w:r>
                            <w:r w:rsidRPr="002B17F7">
                              <w:rPr>
                                <w:b/>
                                <w:bCs/>
                              </w:rPr>
                              <w:fldChar w:fldCharType="begin"/>
                            </w:r>
                            <w:r w:rsidRPr="002B17F7">
                              <w:rPr>
                                <w:b/>
                                <w:bCs/>
                              </w:rPr>
                              <w:instrText xml:space="preserve"> SEQ Figure_S \* ARABIC </w:instrText>
                            </w:r>
                            <w:r w:rsidRPr="002B17F7">
                              <w:rPr>
                                <w:b/>
                                <w:bCs/>
                              </w:rPr>
                              <w:fldChar w:fldCharType="separate"/>
                            </w:r>
                            <w:r w:rsidR="00BE10AD">
                              <w:rPr>
                                <w:b/>
                                <w:bCs/>
                                <w:noProof/>
                              </w:rPr>
                              <w:t>11</w:t>
                            </w:r>
                            <w:r w:rsidRPr="002B17F7">
                              <w:rPr>
                                <w:b/>
                                <w:bCs/>
                              </w:rPr>
                              <w:fldChar w:fldCharType="end"/>
                            </w:r>
                            <w:bookmarkEnd w:id="24"/>
                            <w:r w:rsidRPr="002B17F7">
                              <w:rPr>
                                <w:b/>
                                <w:bCs/>
                              </w:rPr>
                              <w:t>.</w:t>
                            </w:r>
                            <w:r>
                              <w:t xml:space="preserve"> </w:t>
                            </w:r>
                            <w:r w:rsidRPr="005A0135">
                              <w:t>Increment of the mean Activation-Repolarisation Interval (Δ ARI (ms)) regarding the diffusion coefficient (</w:t>
                            </w:r>
                            <w:r>
                              <w:t>D</w:t>
                            </w:r>
                            <w:r w:rsidRPr="00105ED5">
                              <w:rPr>
                                <w:vertAlign w:val="subscript"/>
                              </w:rPr>
                              <w:t>f</w:t>
                            </w:r>
                            <w:r w:rsidRPr="005A0135">
                              <w:t>), the cycle length and the g</w:t>
                            </w:r>
                            <w:r w:rsidRPr="000C7A9E">
                              <w:rPr>
                                <w:vertAlign w:val="subscript"/>
                              </w:rPr>
                              <w:t>Ks</w:t>
                            </w:r>
                            <w:r w:rsidRPr="005A0135">
                              <w:t xml:space="preserve"> in male (a) and female (b).</w:t>
                            </w:r>
                            <w:r w:rsidR="007E4678" w:rsidRPr="007E4678">
                              <w:rPr>
                                <w:rFonts w:cs="Times New Roman"/>
                              </w:rPr>
                              <w:t xml:space="preserve"> g</w:t>
                            </w:r>
                            <w:r w:rsidR="007E4678" w:rsidRPr="007E4678">
                              <w:rPr>
                                <w:rFonts w:cs="Times New Roman"/>
                                <w:vertAlign w:val="subscript"/>
                              </w:rPr>
                              <w:t>Ks</w:t>
                            </w:r>
                            <w:r w:rsidR="007E4678" w:rsidRPr="007E4678">
                              <w:rPr>
                                <w:rFonts w:cs="Times New Roman"/>
                              </w:rPr>
                              <w:t>: slow delayed rectifier potassium current conductance scaling factor</w:t>
                            </w:r>
                            <w:r w:rsidR="007E4678">
                              <w:rPr>
                                <w:rFonts w:cs="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33BF7" id="_x0000_s1032" type="#_x0000_t202" style="position:absolute;left:0;text-align:left;margin-left:399.45pt;margin-top:290.45pt;width:450.65pt;height:35.05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" stroked="f">
                <v:textbox inset="0,0,0,0">
                  <w:txbxContent>
                    <w:p w14:paraId="7BF32D72" w14:textId="00E44CCE" w:rsidR="009E55A6" w:rsidRPr="008E460F" w:rsidRDefault="009E55A6" w:rsidP="009E55A6">
                      <w:pPr>
                        <w:pStyle w:val="Caption"/>
                        <w:jc w:val="both"/>
                        <w:rPr>
                          <w:rFonts w:ascii="Times New Roman" w:hAnsi="Times New Roman" w:cs="Times New Roman"/>
                          <w:noProof/>
                          <w:sz w:val="22"/>
                          <w:szCs w:val="22"/>
                          <w:lang w:val="en-US"/>
                        </w:rPr>
                      </w:pPr>
                      <w:bookmarkStart w:id="34" w:name="_Ref232768939"/>
                      <w:r w:rsidRPr="002B17F7">
                        <w:rPr>
                          <w:b/>
                          <w:bCs/>
                        </w:rPr>
                        <w:t xml:space="preserve">Figure S </w:t>
                      </w:r>
                      <w:r w:rsidRPr="002B17F7">
                        <w:rPr>
                          <w:b/>
                          <w:bCs/>
                        </w:rPr>
                        <w:fldChar w:fldCharType="begin"/>
                      </w:r>
                      <w:r w:rsidRPr="002B17F7">
                        <w:rPr>
                          <w:b/>
                          <w:bCs/>
                        </w:rPr>
                        <w:instrText xml:space="preserve"> SEQ Figure_S \* ARABIC </w:instrText>
                      </w:r>
                      <w:r w:rsidRPr="002B17F7">
                        <w:rPr>
                          <w:b/>
                          <w:bCs/>
                        </w:rPr>
                        <w:fldChar w:fldCharType="separate"/>
                      </w:r>
                      <w:r w:rsidR="00BE10AD">
                        <w:rPr>
                          <w:b/>
                          <w:bCs/>
                          <w:noProof/>
                        </w:rPr>
                        <w:t>11</w:t>
                      </w:r>
                      <w:r w:rsidRPr="002B17F7">
                        <w:rPr>
                          <w:b/>
                          <w:bCs/>
                        </w:rPr>
                        <w:fldChar w:fldCharType="end"/>
                      </w:r>
                      <w:bookmarkEnd w:id="34"/>
                      <w:r w:rsidRPr="002B17F7">
                        <w:rPr>
                          <w:b/>
                          <w:bCs/>
                        </w:rPr>
                        <w:t>.</w:t>
                      </w:r>
                      <w:r>
                        <w:t xml:space="preserve"> </w:t>
                      </w:r>
                      <w:r w:rsidRPr="005A0135">
                        <w:t>Increment of the mean Activation-Repolarisation Interval (Δ ARI (ms)) regarding the diffusion coefficient (</w:t>
                      </w:r>
                      <w:r>
                        <w:t>D</w:t>
                      </w:r>
                      <w:r w:rsidRPr="00105ED5">
                        <w:rPr>
                          <w:vertAlign w:val="subscript"/>
                        </w:rPr>
                        <w:t>f</w:t>
                      </w:r>
                      <w:r w:rsidRPr="005A0135">
                        <w:t>), the cycle length and the g</w:t>
                      </w:r>
                      <w:r w:rsidRPr="000C7A9E">
                        <w:rPr>
                          <w:vertAlign w:val="subscript"/>
                        </w:rPr>
                        <w:t>Ks</w:t>
                      </w:r>
                      <w:r w:rsidRPr="005A0135">
                        <w:t xml:space="preserve"> in male (a) and female (b).</w:t>
                      </w:r>
                      <w:r w:rsidR="007E4678" w:rsidRPr="007E4678">
                        <w:rPr>
                          <w:rFonts w:cs="Times New Roman"/>
                        </w:rPr>
                        <w:t xml:space="preserve"> g</w:t>
                      </w:r>
                      <w:r w:rsidR="007E4678" w:rsidRPr="007E4678">
                        <w:rPr>
                          <w:rFonts w:cs="Times New Roman"/>
                          <w:vertAlign w:val="subscript"/>
                        </w:rPr>
                        <w:t>Ks</w:t>
                      </w:r>
                      <w:r w:rsidR="007E4678" w:rsidRPr="007E4678">
                        <w:rPr>
                          <w:rFonts w:cs="Times New Roman"/>
                        </w:rPr>
                        <w:t>: slow delayed rectifier potassium current conductance scaling factor</w:t>
                      </w:r>
                      <w:r w:rsidR="007E4678">
                        <w:rPr>
                          <w:rFonts w:cs="Times New Roman"/>
                        </w:rPr>
                        <w:t>.</w:t>
                      </w:r>
                    </w:p>
                  </w:txbxContent>
                </v:textbox>
                <w10:wrap type="square" anchorx="margin"/>
              </v:shape>
            </w:pict>
          </mc:Fallback>
        </mc:AlternateContent>
      </w:r>
      <w:r w:rsidRPr="009239F8">
        <w:rPr>
          <w:rFonts w:ascii="Times New Roman" w:hAnsi="Times New Roman" w:cs="Times New Roman"/>
          <w:noProof/>
          <w:lang w:val="en-US"/>
        </w:rPr>
        <w:drawing>
          <wp:anchor distT="0" distB="0" distL="114300" distR="114300" simplePos="0" relativeHeight="251658250" behindDoc="0" locked="0" layoutInCell="1" allowOverlap="1" wp14:anchorId="6A4963CF" wp14:editId="53599CC6">
            <wp:simplePos x="0" y="0"/>
            <wp:positionH relativeFrom="margin">
              <wp:posOffset>95139</wp:posOffset>
            </wp:positionH>
            <wp:positionV relativeFrom="paragraph">
              <wp:posOffset>1403566</wp:posOffset>
            </wp:positionV>
            <wp:extent cx="5420995" cy="2211705"/>
            <wp:effectExtent l="0" t="0" r="8255" b="0"/>
            <wp:wrapSquare wrapText="bothSides"/>
            <wp:docPr id="4830149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14950" name="Imagen 5"/>
                    <pic:cNvPicPr/>
                  </pic:nvPicPr>
                  <pic:blipFill>
                    <a:blip r:embed="rId18" cstate="print">
                      <a:extLst>
                        <a:ext uri="{28A0092B-C50C-407E-A947-70E740481C1C}">
                          <a14:useLocalDpi xmlns:a14="http://schemas.microsoft.com/office/drawing/2010/main" val="0"/>
                        </a:ext>
                      </a:extLst>
                    </a:blip>
                    <a:srcRect t="21176" b="21176"/>
                    <a:stretch>
                      <a:fillRect/>
                    </a:stretch>
                  </pic:blipFill>
                  <pic:spPr bwMode="auto">
                    <a:xfrm>
                      <a:off x="0" y="0"/>
                      <a:ext cx="5420995" cy="2211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55A6" w:rsidRPr="009239F8">
        <w:rPr>
          <w:rFonts w:ascii="Times New Roman" w:hAnsi="Times New Roman" w:cs="Times New Roman"/>
          <w:lang w:val="en-US"/>
        </w:rPr>
        <w:t>Regional heterogeneities in ventricular repolarization were tuned by modulating the local expression of the slow delayed rectifier potassium current, represented by a scaling factor over the baseline conductance (g</w:t>
      </w:r>
      <w:r w:rsidR="009E55A6" w:rsidRPr="009239F8">
        <w:rPr>
          <w:rFonts w:ascii="Times New Roman" w:hAnsi="Times New Roman" w:cs="Times New Roman"/>
          <w:vertAlign w:val="subscript"/>
          <w:lang w:val="en-US"/>
        </w:rPr>
        <w:t>Ks</w:t>
      </w:r>
      <w:r w:rsidR="009E55A6" w:rsidRPr="009239F8">
        <w:rPr>
          <w:rFonts w:ascii="Times New Roman" w:hAnsi="Times New Roman" w:cs="Times New Roman"/>
          <w:lang w:val="en-US"/>
        </w:rPr>
        <w:t xml:space="preserve">). To achieve a </w:t>
      </w:r>
      <w:r w:rsidR="00FC6329" w:rsidRPr="009239F8">
        <w:rPr>
          <w:rFonts w:ascii="Times New Roman" w:hAnsi="Times New Roman" w:cs="Times New Roman"/>
          <w:lang w:val="en-US"/>
        </w:rPr>
        <w:t xml:space="preserve">subject-specific </w:t>
      </w:r>
      <w:r w:rsidR="009E55A6" w:rsidRPr="009239F8">
        <w:rPr>
          <w:rFonts w:ascii="Times New Roman" w:hAnsi="Times New Roman" w:cs="Times New Roman"/>
          <w:lang w:val="en-US"/>
        </w:rPr>
        <w:t>representation, local g</w:t>
      </w:r>
      <w:r w:rsidR="009E55A6" w:rsidRPr="009239F8">
        <w:rPr>
          <w:rFonts w:ascii="Times New Roman" w:hAnsi="Times New Roman" w:cs="Times New Roman"/>
          <w:vertAlign w:val="subscript"/>
          <w:lang w:val="en-US"/>
        </w:rPr>
        <w:t>Ks</w:t>
      </w:r>
      <w:r w:rsidR="009E55A6" w:rsidRPr="009239F8">
        <w:rPr>
          <w:rFonts w:ascii="Times New Roman" w:hAnsi="Times New Roman" w:cs="Times New Roman"/>
          <w:lang w:val="en-US"/>
        </w:rPr>
        <w:t xml:space="preserve"> values were adjusted based on Activation-Repolarization Intervals (ARIs) derived from ECGI records. To characterize the relationship between g</w:t>
      </w:r>
      <w:r w:rsidR="009E55A6" w:rsidRPr="009239F8">
        <w:rPr>
          <w:rFonts w:ascii="Times New Roman" w:hAnsi="Times New Roman" w:cs="Times New Roman"/>
          <w:vertAlign w:val="subscript"/>
          <w:lang w:val="en-US"/>
        </w:rPr>
        <w:t>Ks</w:t>
      </w:r>
      <w:r w:rsidR="009E55A6" w:rsidRPr="009239F8">
        <w:rPr>
          <w:rFonts w:ascii="Times New Roman" w:hAnsi="Times New Roman" w:cs="Times New Roman"/>
          <w:lang w:val="en-US"/>
        </w:rPr>
        <w:t xml:space="preserve"> and ARI, the EP benchmark model described by Niederer et al.</w:t>
      </w:r>
      <w:r w:rsidR="009F5B45" w:rsidRPr="009239F8">
        <w:rPr>
          <w:rFonts w:ascii="Times New Roman" w:hAnsi="Times New Roman" w:cs="Times New Roman"/>
          <w:kern w:val="0"/>
          <w:vertAlign w:val="superscript"/>
        </w:rPr>
        <w:t>3</w:t>
      </w:r>
      <w:r w:rsidR="009E55A6" w:rsidRPr="009239F8">
        <w:rPr>
          <w:rFonts w:ascii="Times New Roman" w:hAnsi="Times New Roman" w:cs="Times New Roman"/>
          <w:lang w:val="en-US"/>
        </w:rPr>
        <w:t xml:space="preserve"> was employed. Transmural heterogeneity was incorporated through three equal layers representing endocardial, mid-myocardial, and epicardial cells, with ionic conductance modifications as reported in  O’Hara et al.</w:t>
      </w:r>
      <w:r w:rsidR="009F5B45" w:rsidRPr="009239F8">
        <w:rPr>
          <w:rFonts w:ascii="Times New Roman" w:hAnsi="Times New Roman" w:cs="Times New Roman"/>
          <w:kern w:val="0"/>
          <w:vertAlign w:val="superscript"/>
        </w:rPr>
        <w:t>4</w:t>
      </w:r>
      <w:r w:rsidR="009E55A6" w:rsidRPr="009239F8">
        <w:rPr>
          <w:rFonts w:ascii="Times New Roman" w:hAnsi="Times New Roman" w:cs="Times New Roman"/>
          <w:lang w:val="en-US"/>
        </w:rPr>
        <w:t>.</w:t>
      </w:r>
    </w:p>
    <w:p w14:paraId="533545C2" w14:textId="7FDA0234" w:rsidR="009E55A6" w:rsidRPr="009239F8" w:rsidRDefault="009E55A6"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Simulations were performed across physiologically ranges of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scaling factors (0.2-4), pacing cycle lengths (550–1400 ms) and tissue’s electrical diffusivity (</w:t>
      </w:r>
      <m:oMath>
        <m:sSub>
          <m:sSubPr>
            <m:ctrlPr>
              <w:rPr>
                <w:rFonts w:ascii="Cambria Math" w:hAnsi="Cambria Math" w:cs="Times New Roman"/>
                <w:b/>
                <w:bCs/>
                <w:i/>
                <w:iCs/>
                <w:lang w:val="en-US"/>
              </w:rPr>
            </m:ctrlPr>
          </m:sSubPr>
          <m:e>
            <m:r>
              <m:rPr>
                <m:sty m:val="bi"/>
              </m:rPr>
              <w:rPr>
                <w:rFonts w:ascii="Cambria Math" w:hAnsi="Cambria Math" w:cs="Times New Roman"/>
                <w:lang w:val="en-US"/>
              </w:rPr>
              <m:t>D</m:t>
            </m:r>
          </m:e>
          <m:sub>
            <m:r>
              <m:rPr>
                <m:sty m:val="bi"/>
              </m:rPr>
              <w:rPr>
                <w:rFonts w:ascii="Cambria Math" w:hAnsi="Cambria Math" w:cs="Times New Roman"/>
                <w:lang w:val="en-US"/>
              </w:rPr>
              <m:t>f</m:t>
            </m:r>
          </m:sub>
        </m:sSub>
      </m:oMath>
      <w:r w:rsidRPr="009239F8">
        <w:rPr>
          <w:rFonts w:ascii="Times New Roman" w:eastAsiaTheme="minorEastAsia" w:hAnsi="Times New Roman" w:cs="Times New Roman"/>
          <w:iCs/>
          <w:lang w:val="en-US"/>
        </w:rPr>
        <w:t>)</w:t>
      </w:r>
      <w:r w:rsidRPr="009239F8">
        <w:rPr>
          <w:rFonts w:ascii="Times New Roman" w:hAnsi="Times New Roman" w:cs="Times New Roman"/>
          <w:lang w:val="en-US"/>
        </w:rPr>
        <w:t xml:space="preserve"> (0.001–0.007), for both female and male phenotypes.  The bounds of the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scaling factor were chosen to exclude non-physiological values while remaining consistent with, and moderately extending, the inter-subject variability reported in gene expression data from healthy human ventricles</w:t>
      </w:r>
      <w:r w:rsidR="009F5B45" w:rsidRPr="009239F8">
        <w:rPr>
          <w:rFonts w:ascii="Times New Roman" w:hAnsi="Times New Roman" w:cs="Times New Roman"/>
          <w:kern w:val="0"/>
          <w:vertAlign w:val="superscript"/>
        </w:rPr>
        <w:t>5–7</w:t>
      </w:r>
      <w:r w:rsidRPr="009239F8">
        <w:rPr>
          <w:rFonts w:ascii="Times New Roman" w:hAnsi="Times New Roman" w:cs="Times New Roman"/>
          <w:lang w:val="en-US"/>
        </w:rPr>
        <w:t>.</w:t>
      </w:r>
    </w:p>
    <w:p w14:paraId="3DC20914" w14:textId="12B5A97B" w:rsidR="009E55A6" w:rsidRPr="009239F8" w:rsidRDefault="009E55A6"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Integrating these electrophysiological parameters enabled the construction of a multidimensional characterization of how they jointly modulate the ARI, as illustrated</w:t>
      </w:r>
      <w:r w:rsidR="00886597" w:rsidRPr="009239F8">
        <w:rPr>
          <w:rFonts w:ascii="Times New Roman" w:hAnsi="Times New Roman" w:cs="Times New Roman"/>
          <w:lang w:val="en-US"/>
        </w:rPr>
        <w:t xml:space="preserve"> in </w:t>
      </w:r>
      <w:r w:rsidR="00886597" w:rsidRPr="009239F8">
        <w:rPr>
          <w:rFonts w:ascii="Times New Roman" w:hAnsi="Times New Roman" w:cs="Times New Roman"/>
          <w:lang w:val="en-US"/>
        </w:rPr>
        <w:fldChar w:fldCharType="begin"/>
      </w:r>
      <w:r w:rsidR="00886597" w:rsidRPr="009239F8">
        <w:rPr>
          <w:rFonts w:ascii="Times New Roman" w:hAnsi="Times New Roman" w:cs="Times New Roman"/>
          <w:lang w:val="en-US"/>
        </w:rPr>
        <w:instrText xml:space="preserve"> REF _Ref232768939 \h  \* MERGEFORMAT </w:instrText>
      </w:r>
      <w:r w:rsidR="00886597" w:rsidRPr="009239F8">
        <w:rPr>
          <w:rFonts w:ascii="Times New Roman" w:hAnsi="Times New Roman" w:cs="Times New Roman"/>
          <w:lang w:val="en-US"/>
        </w:rPr>
      </w:r>
      <w:r w:rsidR="00886597"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11</w:t>
      </w:r>
      <w:r w:rsidR="00886597" w:rsidRPr="009239F8">
        <w:rPr>
          <w:rFonts w:ascii="Times New Roman" w:hAnsi="Times New Roman" w:cs="Times New Roman"/>
          <w:lang w:val="en-US"/>
        </w:rPr>
        <w:fldChar w:fldCharType="end"/>
      </w:r>
      <w:r w:rsidRPr="009239F8">
        <w:rPr>
          <w:rFonts w:ascii="Times New Roman" w:hAnsi="Times New Roman" w:cs="Times New Roman"/>
          <w:lang w:val="en-US"/>
        </w:rPr>
        <w:t>.</w:t>
      </w:r>
      <w:r w:rsidR="00886597" w:rsidRPr="009239F8">
        <w:rPr>
          <w:rFonts w:ascii="Times New Roman" w:hAnsi="Times New Roman" w:cs="Times New Roman"/>
          <w:lang w:val="en-US"/>
        </w:rPr>
        <w:t xml:space="preserve"> </w:t>
      </w:r>
      <w:r w:rsidRPr="009239F8">
        <w:rPr>
          <w:rFonts w:ascii="Times New Roman" w:hAnsi="Times New Roman" w:cs="Times New Roman"/>
          <w:lang w:val="en-US"/>
        </w:rPr>
        <w:t>This characterization allowed regional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adjustments to be estimated under subject-specific electrophysiological conditions, improving the personalization of the repolarization properties.</w:t>
      </w:r>
    </w:p>
    <w:p w14:paraId="57E329CB" w14:textId="38AE7A00" w:rsidR="009E55A6" w:rsidRPr="009239F8" w:rsidRDefault="009E55A6"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The resulting characterization was used to estimate local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adjustments by relating the differences between simulated and ECGI-derived ARI after running subject-specific simulations with the estimated CV and activation sequence, while accounting for individual sex, heart rate, and </w:t>
      </w:r>
      <m:oMath>
        <m:sSub>
          <m:sSubPr>
            <m:ctrlPr>
              <w:rPr>
                <w:rFonts w:ascii="Cambria Math" w:hAnsi="Cambria Math" w:cs="Times New Roman"/>
                <w:b/>
                <w:bCs/>
                <w:i/>
                <w:iCs/>
                <w:lang w:val="en-US"/>
              </w:rPr>
            </m:ctrlPr>
          </m:sSubPr>
          <m:e>
            <m:r>
              <m:rPr>
                <m:sty m:val="bi"/>
              </m:rPr>
              <w:rPr>
                <w:rFonts w:ascii="Cambria Math" w:hAnsi="Cambria Math" w:cs="Times New Roman"/>
                <w:lang w:val="en-US"/>
              </w:rPr>
              <m:t>D</m:t>
            </m:r>
          </m:e>
          <m:sub>
            <m:r>
              <m:rPr>
                <m:sty m:val="bi"/>
              </m:rPr>
              <w:rPr>
                <w:rFonts w:ascii="Cambria Math" w:hAnsi="Cambria Math" w:cs="Times New Roman"/>
                <w:lang w:val="en-US"/>
              </w:rPr>
              <m:t>f</m:t>
            </m:r>
          </m:sub>
        </m:sSub>
      </m:oMath>
      <w:r w:rsidRPr="009239F8">
        <w:rPr>
          <w:rFonts w:ascii="Times New Roman" w:hAnsi="Times New Roman" w:cs="Times New Roman"/>
          <w:lang w:val="en-US"/>
        </w:rPr>
        <w:t>. The epicardial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values obtained through this process were subsequently propagated transmurally, assuming a homogeneous transmural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gradient.</w:t>
      </w:r>
    </w:p>
    <w:p w14:paraId="40C72F4E" w14:textId="157C61E3" w:rsidR="009E55A6" w:rsidRPr="009239F8" w:rsidRDefault="007E4678" w:rsidP="009A5B48">
      <w:pPr>
        <w:spacing w:line="480" w:lineRule="auto"/>
        <w:jc w:val="both"/>
        <w:rPr>
          <w:rFonts w:ascii="Times New Roman" w:hAnsi="Times New Roman" w:cs="Times New Roman"/>
          <w:lang w:val="en-US"/>
        </w:rPr>
      </w:pPr>
      <w:r w:rsidRPr="009239F8">
        <w:rPr>
          <w:rFonts w:ascii="Times New Roman" w:hAnsi="Times New Roman" w:cs="Times New Roman"/>
          <w:noProof/>
          <w:lang w:val="en-US"/>
        </w:rPr>
        <w:drawing>
          <wp:anchor distT="0" distB="0" distL="114300" distR="114300" simplePos="0" relativeHeight="251658251" behindDoc="0" locked="0" layoutInCell="1" allowOverlap="1" wp14:anchorId="18E91D4B" wp14:editId="44FF6665">
            <wp:simplePos x="0" y="0"/>
            <wp:positionH relativeFrom="margin">
              <wp:align>right</wp:align>
            </wp:positionH>
            <wp:positionV relativeFrom="paragraph">
              <wp:posOffset>805042</wp:posOffset>
            </wp:positionV>
            <wp:extent cx="5740400" cy="4133850"/>
            <wp:effectExtent l="0" t="0" r="0" b="0"/>
            <wp:wrapTopAndBottom/>
            <wp:docPr id="10573888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88889" name="Picture 4"/>
                    <pic:cNvPicPr/>
                  </pic:nvPicPr>
                  <pic:blipFill rotWithShape="1">
                    <a:blip r:embed="rId19" cstate="print">
                      <a:extLst>
                        <a:ext uri="{28A0092B-C50C-407E-A947-70E740481C1C}">
                          <a14:useLocalDpi xmlns:a14="http://schemas.microsoft.com/office/drawing/2010/main" val="0"/>
                        </a:ext>
                      </a:extLst>
                    </a:blip>
                    <a:srcRect l="3407" t="2021" r="2688" b="2358"/>
                    <a:stretch>
                      <a:fillRect/>
                    </a:stretch>
                  </pic:blipFill>
                  <pic:spPr bwMode="auto">
                    <a:xfrm>
                      <a:off x="0" y="0"/>
                      <a:ext cx="5740400" cy="4133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239F8">
        <w:rPr>
          <w:rFonts w:ascii="Times New Roman" w:hAnsi="Times New Roman" w:cs="Times New Roman"/>
          <w:noProof/>
          <w:lang w:val="en-US"/>
        </w:rPr>
        <mc:AlternateContent>
          <mc:Choice Requires="wps">
            <w:drawing>
              <wp:anchor distT="0" distB="0" distL="114300" distR="114300" simplePos="0" relativeHeight="251658240" behindDoc="0" locked="0" layoutInCell="1" allowOverlap="1" wp14:anchorId="3B9D9A4C" wp14:editId="545A27E4">
                <wp:simplePos x="0" y="0"/>
                <wp:positionH relativeFrom="margin">
                  <wp:align>right</wp:align>
                </wp:positionH>
                <wp:positionV relativeFrom="paragraph">
                  <wp:posOffset>5055760</wp:posOffset>
                </wp:positionV>
                <wp:extent cx="5681980" cy="436880"/>
                <wp:effectExtent l="0" t="0" r="0" b="1270"/>
                <wp:wrapTopAndBottom/>
                <wp:docPr id="132599063" name="Text Box 1"/>
                <wp:cNvGraphicFramePr/>
                <a:graphic xmlns:a="http://schemas.openxmlformats.org/drawingml/2006/main">
                  <a:graphicData uri="http://schemas.microsoft.com/office/word/2010/wordprocessingShape">
                    <wps:wsp>
                      <wps:cNvSpPr txBox="1"/>
                      <wps:spPr>
                        <a:xfrm>
                          <a:off x="0" y="0"/>
                          <a:ext cx="5681980" cy="436880"/>
                        </a:xfrm>
                        <a:prstGeom prst="rect">
                          <a:avLst/>
                        </a:prstGeom>
                        <a:solidFill>
                          <a:prstClr val="white"/>
                        </a:solidFill>
                        <a:ln>
                          <a:noFill/>
                        </a:ln>
                      </wps:spPr>
                      <wps:txbx>
                        <w:txbxContent>
                          <w:p w14:paraId="591B17EF" w14:textId="244014AE" w:rsidR="009E55A6" w:rsidRPr="00446AD1" w:rsidRDefault="009E55A6" w:rsidP="00C17A00">
                            <w:pPr>
                              <w:pStyle w:val="Caption"/>
                              <w:jc w:val="both"/>
                              <w:rPr>
                                <w:noProof/>
                                <w:sz w:val="22"/>
                                <w:szCs w:val="22"/>
                                <w:lang w:val="en-US"/>
                              </w:rPr>
                            </w:pPr>
                            <w:bookmarkStart w:id="25" w:name="_Ref230087177"/>
                            <w:r w:rsidRPr="00641C1F">
                              <w:rPr>
                                <w:b/>
                                <w:bCs/>
                              </w:rPr>
                              <w:t xml:space="preserve">Figure S </w:t>
                            </w:r>
                            <w:r w:rsidRPr="00641C1F">
                              <w:rPr>
                                <w:b/>
                                <w:bCs/>
                              </w:rPr>
                              <w:fldChar w:fldCharType="begin"/>
                            </w:r>
                            <w:r w:rsidRPr="00641C1F">
                              <w:rPr>
                                <w:b/>
                                <w:bCs/>
                              </w:rPr>
                              <w:instrText xml:space="preserve"> SEQ Figure_S \* ARABIC </w:instrText>
                            </w:r>
                            <w:r w:rsidRPr="00641C1F">
                              <w:rPr>
                                <w:b/>
                                <w:bCs/>
                              </w:rPr>
                              <w:fldChar w:fldCharType="separate"/>
                            </w:r>
                            <w:r w:rsidR="00BE10AD">
                              <w:rPr>
                                <w:b/>
                                <w:bCs/>
                                <w:noProof/>
                              </w:rPr>
                              <w:t>12</w:t>
                            </w:r>
                            <w:r w:rsidRPr="00641C1F">
                              <w:rPr>
                                <w:b/>
                                <w:bCs/>
                              </w:rPr>
                              <w:fldChar w:fldCharType="end"/>
                            </w:r>
                            <w:bookmarkEnd w:id="25"/>
                            <w:r w:rsidRPr="00641C1F">
                              <w:rPr>
                                <w:b/>
                                <w:bCs/>
                              </w:rPr>
                              <w:t>.</w:t>
                            </w:r>
                            <w:r>
                              <w:t xml:space="preserve"> </w:t>
                            </w:r>
                            <w:r w:rsidRPr="005A0135">
                              <w:t>Increment of the mean Activation-Repolarisation Interval (Δ ARI (ms)) regarding the diffusion coefficient (</w:t>
                            </w:r>
                            <w:r>
                              <w:t>D</w:t>
                            </w:r>
                            <w:r w:rsidRPr="00105ED5">
                              <w:rPr>
                                <w:vertAlign w:val="subscript"/>
                              </w:rPr>
                              <w:t>f</w:t>
                            </w:r>
                            <w:r w:rsidRPr="005A0135">
                              <w:t>), the cycle length and the g</w:t>
                            </w:r>
                            <w:r w:rsidRPr="000C7A9E">
                              <w:rPr>
                                <w:vertAlign w:val="subscript"/>
                              </w:rPr>
                              <w:t>K</w:t>
                            </w:r>
                            <w:r>
                              <w:rPr>
                                <w:vertAlign w:val="subscript"/>
                              </w:rPr>
                              <w:t xml:space="preserve">r </w:t>
                            </w:r>
                            <w:r w:rsidRPr="005A0135">
                              <w:t>in male (a) and female (b)</w:t>
                            </w:r>
                            <w:r>
                              <w:t xml:space="preserve"> for g</w:t>
                            </w:r>
                            <w:r w:rsidRPr="00641C1F">
                              <w:rPr>
                                <w:vertAlign w:val="subscript"/>
                              </w:rPr>
                              <w:t>Ks</w:t>
                            </w:r>
                            <w:r>
                              <w:t xml:space="preserve"> = 0.2 (first row) and g</w:t>
                            </w:r>
                            <w:r w:rsidRPr="00641C1F">
                              <w:rPr>
                                <w:vertAlign w:val="subscript"/>
                              </w:rPr>
                              <w:t>Ks</w:t>
                            </w:r>
                            <w:r>
                              <w:t xml:space="preserve"> = 4.0 (second row).</w:t>
                            </w:r>
                            <w:r w:rsidR="007E4678">
                              <w:t xml:space="preserve"> </w:t>
                            </w:r>
                            <w:r w:rsidR="007E4678" w:rsidRPr="007E4678">
                              <w:rPr>
                                <w:rFonts w:cs="Times New Roman"/>
                              </w:rPr>
                              <w:t>g</w:t>
                            </w:r>
                            <w:r w:rsidR="007E4678" w:rsidRPr="007E4678">
                              <w:rPr>
                                <w:rFonts w:cs="Times New Roman"/>
                                <w:vertAlign w:val="subscript"/>
                              </w:rPr>
                              <w:t>K</w:t>
                            </w:r>
                            <w:r w:rsidR="007E4678">
                              <w:rPr>
                                <w:rFonts w:cs="Times New Roman"/>
                                <w:vertAlign w:val="subscript"/>
                              </w:rPr>
                              <w:t>r</w:t>
                            </w:r>
                            <w:r w:rsidR="007E4678" w:rsidRPr="007E4678">
                              <w:rPr>
                                <w:rFonts w:cs="Times New Roman"/>
                              </w:rPr>
                              <w:t xml:space="preserve">: </w:t>
                            </w:r>
                            <w:r w:rsidR="007E4678">
                              <w:rPr>
                                <w:rFonts w:cs="Times New Roman"/>
                              </w:rPr>
                              <w:t>rapid</w:t>
                            </w:r>
                            <w:r w:rsidR="007E4678" w:rsidRPr="007E4678">
                              <w:rPr>
                                <w:rFonts w:cs="Times New Roman"/>
                              </w:rPr>
                              <w:t xml:space="preserve"> delayed rectifier potassium current conductance scaling factor</w:t>
                            </w:r>
                            <w:r w:rsidR="007E4678">
                              <w:rPr>
                                <w:rFonts w:cs="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D9A4C" id="_x0000_s1033" type="#_x0000_t202" style="position:absolute;left:0;text-align:left;margin-left:396.2pt;margin-top:398.1pt;width:447.4pt;height:34.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" stroked="f">
                <v:textbox inset="0,0,0,0">
                  <w:txbxContent>
                    <w:p w14:paraId="591B17EF" w14:textId="244014AE" w:rsidR="009E55A6" w:rsidRPr="00446AD1" w:rsidRDefault="009E55A6" w:rsidP="00C17A00">
                      <w:pPr>
                        <w:pStyle w:val="Caption"/>
                        <w:jc w:val="both"/>
                        <w:rPr>
                          <w:noProof/>
                          <w:sz w:val="22"/>
                          <w:szCs w:val="22"/>
                          <w:lang w:val="en-US"/>
                        </w:rPr>
                      </w:pPr>
                      <w:bookmarkStart w:id="36" w:name="_Ref230087177"/>
                      <w:r w:rsidRPr="00641C1F">
                        <w:rPr>
                          <w:b/>
                          <w:bCs/>
                        </w:rPr>
                        <w:t xml:space="preserve">Figure S </w:t>
                      </w:r>
                      <w:r w:rsidRPr="00641C1F">
                        <w:rPr>
                          <w:b/>
                          <w:bCs/>
                        </w:rPr>
                        <w:fldChar w:fldCharType="begin"/>
                      </w:r>
                      <w:r w:rsidRPr="00641C1F">
                        <w:rPr>
                          <w:b/>
                          <w:bCs/>
                        </w:rPr>
                        <w:instrText xml:space="preserve"> SEQ Figure_S \* ARABIC </w:instrText>
                      </w:r>
                      <w:r w:rsidRPr="00641C1F">
                        <w:rPr>
                          <w:b/>
                          <w:bCs/>
                        </w:rPr>
                        <w:fldChar w:fldCharType="separate"/>
                      </w:r>
                      <w:r w:rsidR="00BE10AD">
                        <w:rPr>
                          <w:b/>
                          <w:bCs/>
                          <w:noProof/>
                        </w:rPr>
                        <w:t>12</w:t>
                      </w:r>
                      <w:r w:rsidRPr="00641C1F">
                        <w:rPr>
                          <w:b/>
                          <w:bCs/>
                        </w:rPr>
                        <w:fldChar w:fldCharType="end"/>
                      </w:r>
                      <w:bookmarkEnd w:id="36"/>
                      <w:r w:rsidRPr="00641C1F">
                        <w:rPr>
                          <w:b/>
                          <w:bCs/>
                        </w:rPr>
                        <w:t>.</w:t>
                      </w:r>
                      <w:r>
                        <w:t xml:space="preserve"> </w:t>
                      </w:r>
                      <w:r w:rsidRPr="005A0135">
                        <w:t>Increment of the mean Activation-Repolarisation Interval (Δ ARI (ms)) regarding the diffusion coefficient (</w:t>
                      </w:r>
                      <w:r>
                        <w:t>D</w:t>
                      </w:r>
                      <w:r w:rsidRPr="00105ED5">
                        <w:rPr>
                          <w:vertAlign w:val="subscript"/>
                        </w:rPr>
                        <w:t>f</w:t>
                      </w:r>
                      <w:r w:rsidRPr="005A0135">
                        <w:t>), the cycle length and the g</w:t>
                      </w:r>
                      <w:r w:rsidRPr="000C7A9E">
                        <w:rPr>
                          <w:vertAlign w:val="subscript"/>
                        </w:rPr>
                        <w:t>K</w:t>
                      </w:r>
                      <w:r>
                        <w:rPr>
                          <w:vertAlign w:val="subscript"/>
                        </w:rPr>
                        <w:t xml:space="preserve">r </w:t>
                      </w:r>
                      <w:r w:rsidRPr="005A0135">
                        <w:t>in male (a) and female (b)</w:t>
                      </w:r>
                      <w:r>
                        <w:t xml:space="preserve"> for g</w:t>
                      </w:r>
                      <w:r w:rsidRPr="00641C1F">
                        <w:rPr>
                          <w:vertAlign w:val="subscript"/>
                        </w:rPr>
                        <w:t>Ks</w:t>
                      </w:r>
                      <w:r>
                        <w:t xml:space="preserve"> = 0.2 (first row) and g</w:t>
                      </w:r>
                      <w:r w:rsidRPr="00641C1F">
                        <w:rPr>
                          <w:vertAlign w:val="subscript"/>
                        </w:rPr>
                        <w:t>Ks</w:t>
                      </w:r>
                      <w:r>
                        <w:t xml:space="preserve"> = 4.0 (second row).</w:t>
                      </w:r>
                      <w:r w:rsidR="007E4678">
                        <w:t xml:space="preserve"> </w:t>
                      </w:r>
                      <w:r w:rsidR="007E4678" w:rsidRPr="007E4678">
                        <w:rPr>
                          <w:rFonts w:cs="Times New Roman"/>
                        </w:rPr>
                        <w:t>g</w:t>
                      </w:r>
                      <w:r w:rsidR="007E4678" w:rsidRPr="007E4678">
                        <w:rPr>
                          <w:rFonts w:cs="Times New Roman"/>
                          <w:vertAlign w:val="subscript"/>
                        </w:rPr>
                        <w:t>K</w:t>
                      </w:r>
                      <w:r w:rsidR="007E4678">
                        <w:rPr>
                          <w:rFonts w:cs="Times New Roman"/>
                          <w:vertAlign w:val="subscript"/>
                        </w:rPr>
                        <w:t>r</w:t>
                      </w:r>
                      <w:r w:rsidR="007E4678" w:rsidRPr="007E4678">
                        <w:rPr>
                          <w:rFonts w:cs="Times New Roman"/>
                        </w:rPr>
                        <w:t xml:space="preserve">: </w:t>
                      </w:r>
                      <w:r w:rsidR="007E4678">
                        <w:rPr>
                          <w:rFonts w:cs="Times New Roman"/>
                        </w:rPr>
                        <w:t>rapid</w:t>
                      </w:r>
                      <w:r w:rsidR="007E4678" w:rsidRPr="007E4678">
                        <w:rPr>
                          <w:rFonts w:cs="Times New Roman"/>
                        </w:rPr>
                        <w:t xml:space="preserve"> delayed rectifier potassium current conductance scaling factor</w:t>
                      </w:r>
                      <w:r w:rsidR="007E4678">
                        <w:rPr>
                          <w:rFonts w:cs="Times New Roman"/>
                        </w:rPr>
                        <w:t>.</w:t>
                      </w:r>
                    </w:p>
                  </w:txbxContent>
                </v:textbox>
                <w10:wrap type="topAndBottom" anchorx="margin"/>
              </v:shape>
            </w:pict>
          </mc:Fallback>
        </mc:AlternateContent>
      </w:r>
      <w:r w:rsidR="009E55A6" w:rsidRPr="009239F8">
        <w:rPr>
          <w:rFonts w:ascii="Times New Roman" w:hAnsi="Times New Roman" w:cs="Times New Roman"/>
          <w:lang w:val="en-US"/>
        </w:rPr>
        <w:t xml:space="preserve">To account for the extreme ARIs observed in the in vivo ECGI data, a second repolarization layer was introduced to capture the pronounced electrophysiological </w:t>
      </w:r>
      <w:r w:rsidR="000264BC" w:rsidRPr="009239F8">
        <w:rPr>
          <w:rFonts w:ascii="Times New Roman" w:hAnsi="Times New Roman" w:cs="Times New Roman"/>
          <w:lang w:val="en-US"/>
        </w:rPr>
        <w:t>remodeling</w:t>
      </w:r>
      <w:r w:rsidR="009E55A6" w:rsidRPr="009239F8">
        <w:rPr>
          <w:rFonts w:ascii="Times New Roman" w:hAnsi="Times New Roman" w:cs="Times New Roman"/>
          <w:lang w:val="en-US"/>
        </w:rPr>
        <w:t xml:space="preserve"> associated with aging</w:t>
      </w:r>
      <w:r w:rsidR="009F5B45" w:rsidRPr="009239F8">
        <w:rPr>
          <w:rFonts w:ascii="Times New Roman" w:hAnsi="Times New Roman" w:cs="Times New Roman"/>
          <w:kern w:val="0"/>
          <w:vertAlign w:val="superscript"/>
        </w:rPr>
        <w:t>8–10</w:t>
      </w:r>
      <w:r w:rsidR="009E55A6" w:rsidRPr="009239F8">
        <w:rPr>
          <w:rFonts w:ascii="Times New Roman" w:hAnsi="Times New Roman" w:cs="Times New Roman"/>
          <w:lang w:val="en-US"/>
        </w:rPr>
        <w:t>. In this step, a local scaling factor was applied to the rapid delayed rectifier potassium current (g</w:t>
      </w:r>
      <w:r w:rsidR="009E55A6" w:rsidRPr="009239F8">
        <w:rPr>
          <w:rFonts w:ascii="Times New Roman" w:hAnsi="Times New Roman" w:cs="Times New Roman"/>
          <w:vertAlign w:val="subscript"/>
          <w:lang w:val="en-US"/>
        </w:rPr>
        <w:t>Kr</w:t>
      </w:r>
      <w:r w:rsidR="009E55A6" w:rsidRPr="009239F8">
        <w:rPr>
          <w:rFonts w:ascii="Times New Roman" w:hAnsi="Times New Roman" w:cs="Times New Roman"/>
          <w:lang w:val="en-US"/>
        </w:rPr>
        <w:t>), selected for its primary contribution to action potential duration prolongation</w:t>
      </w:r>
      <w:r w:rsidR="009F5B45" w:rsidRPr="009239F8">
        <w:rPr>
          <w:rFonts w:ascii="Times New Roman" w:hAnsi="Times New Roman" w:cs="Times New Roman"/>
          <w:kern w:val="0"/>
          <w:vertAlign w:val="superscript"/>
        </w:rPr>
        <w:t>11</w:t>
      </w:r>
      <w:r w:rsidR="009E55A6" w:rsidRPr="009239F8">
        <w:rPr>
          <w:rFonts w:ascii="Times New Roman" w:hAnsi="Times New Roman" w:cs="Times New Roman"/>
          <w:lang w:val="en-US"/>
        </w:rPr>
        <w:t>.</w:t>
      </w:r>
    </w:p>
    <w:p w14:paraId="346EA604" w14:textId="3E085D37" w:rsidR="009E55A6" w:rsidRPr="009239F8" w:rsidRDefault="009E55A6"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The g</w:t>
      </w:r>
      <w:r w:rsidRPr="009239F8">
        <w:rPr>
          <w:rFonts w:ascii="Times New Roman" w:hAnsi="Times New Roman" w:cs="Times New Roman"/>
          <w:vertAlign w:val="subscript"/>
          <w:lang w:val="en-US"/>
        </w:rPr>
        <w:t>Kr</w:t>
      </w:r>
      <w:r w:rsidRPr="009239F8">
        <w:rPr>
          <w:rFonts w:ascii="Times New Roman" w:hAnsi="Times New Roman" w:cs="Times New Roman"/>
          <w:lang w:val="en-US"/>
        </w:rPr>
        <w:t>–ARI relationship was characterized using the same benchmark model and transmural structure described above. Simulations were performed across plausible ranges of g</w:t>
      </w:r>
      <w:r w:rsidRPr="009239F8">
        <w:rPr>
          <w:rFonts w:ascii="Times New Roman" w:hAnsi="Times New Roman" w:cs="Times New Roman"/>
          <w:vertAlign w:val="subscript"/>
          <w:lang w:val="en-US"/>
        </w:rPr>
        <w:t>Kr</w:t>
      </w:r>
      <w:r w:rsidRPr="009239F8">
        <w:rPr>
          <w:rFonts w:ascii="Times New Roman" w:hAnsi="Times New Roman" w:cs="Times New Roman"/>
          <w:lang w:val="en-US"/>
        </w:rPr>
        <w:t xml:space="preserve"> scaling factors (0.5–3.0), pacing cycle lengths (550–1400 ms), and tissue electrical diffusivity (0.001–0.007) for both sexes. Because this aging-related repolarization layer was only applied to regions where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had reached its predefined limits (0.2-fold or 4.0-fold),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values were fixed at those boundary values in these simulations. </w:t>
      </w:r>
    </w:p>
    <w:p w14:paraId="6AA8A8C6" w14:textId="14260405" w:rsidR="00735C49" w:rsidRPr="009239F8" w:rsidRDefault="009E55A6"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 xml:space="preserve">This second characterization (see </w:t>
      </w:r>
      <w:r w:rsidRPr="009239F8">
        <w:rPr>
          <w:rFonts w:ascii="Times New Roman" w:hAnsi="Times New Roman" w:cs="Times New Roman"/>
          <w:b/>
          <w:bCs/>
          <w:lang w:val="en-US"/>
        </w:rPr>
        <w:fldChar w:fldCharType="begin"/>
      </w:r>
      <w:r w:rsidRPr="009239F8">
        <w:rPr>
          <w:rFonts w:ascii="Times New Roman" w:hAnsi="Times New Roman" w:cs="Times New Roman"/>
          <w:b/>
          <w:bCs/>
          <w:lang w:val="en-US"/>
        </w:rPr>
        <w:instrText xml:space="preserve"> REF _Ref230087177 \h  \* MERGEFORMAT </w:instrText>
      </w:r>
      <w:r w:rsidRPr="009239F8">
        <w:rPr>
          <w:rFonts w:ascii="Times New Roman" w:hAnsi="Times New Roman" w:cs="Times New Roman"/>
          <w:b/>
          <w:bCs/>
          <w:lang w:val="en-US"/>
        </w:rPr>
      </w:r>
      <w:r w:rsidRPr="009239F8">
        <w:rPr>
          <w:rFonts w:ascii="Times New Roman" w:hAnsi="Times New Roman" w:cs="Times New Roman"/>
          <w:b/>
          <w:bCs/>
          <w:lang w:val="en-US"/>
        </w:rPr>
        <w:fldChar w:fldCharType="separate"/>
      </w:r>
      <w:r w:rsidR="00890076" w:rsidRPr="009239F8">
        <w:rPr>
          <w:rFonts w:ascii="Times New Roman" w:hAnsi="Times New Roman" w:cs="Times New Roman"/>
          <w:b/>
          <w:bCs/>
          <w:lang w:val="en-US"/>
        </w:rPr>
        <w:t xml:space="preserve">Figure S </w:t>
      </w:r>
      <w:r w:rsidR="00890076" w:rsidRPr="009239F8">
        <w:rPr>
          <w:rFonts w:ascii="Times New Roman" w:hAnsi="Times New Roman" w:cs="Times New Roman"/>
          <w:b/>
          <w:bCs/>
          <w:noProof/>
          <w:lang w:val="en-US"/>
        </w:rPr>
        <w:t>12</w:t>
      </w:r>
      <w:r w:rsidRPr="009239F8">
        <w:rPr>
          <w:rFonts w:ascii="Times New Roman" w:hAnsi="Times New Roman" w:cs="Times New Roman"/>
          <w:b/>
          <w:bCs/>
          <w:lang w:val="en-US"/>
        </w:rPr>
        <w:fldChar w:fldCharType="end"/>
      </w:r>
      <w:r w:rsidRPr="009239F8">
        <w:rPr>
          <w:rFonts w:ascii="Times New Roman" w:hAnsi="Times New Roman" w:cs="Times New Roman"/>
          <w:lang w:val="en-US"/>
        </w:rPr>
        <w:t>) was used to estimate local g</w:t>
      </w:r>
      <w:r w:rsidRPr="009239F8">
        <w:rPr>
          <w:rFonts w:ascii="Times New Roman" w:hAnsi="Times New Roman" w:cs="Times New Roman"/>
          <w:vertAlign w:val="subscript"/>
          <w:lang w:val="en-US"/>
        </w:rPr>
        <w:t>Kr</w:t>
      </w:r>
      <w:r w:rsidRPr="009239F8">
        <w:rPr>
          <w:rFonts w:ascii="Times New Roman" w:hAnsi="Times New Roman" w:cs="Times New Roman"/>
          <w:lang w:val="en-US"/>
        </w:rPr>
        <w:t xml:space="preserve"> adjustments by relating simulated and ECGI-derived ARIs after subject-specific simulations incorporating the estimated CV, activation sequence, and initial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adjustments, while accounting for individual sex and heart rate and </w:t>
      </w:r>
      <m:oMath>
        <m:sSub>
          <m:sSubPr>
            <m:ctrlPr>
              <w:rPr>
                <w:rFonts w:ascii="Cambria Math" w:hAnsi="Cambria Math" w:cs="Times New Roman"/>
                <w:b/>
                <w:bCs/>
                <w:i/>
                <w:iCs/>
                <w:lang w:val="en-US"/>
              </w:rPr>
            </m:ctrlPr>
          </m:sSubPr>
          <m:e>
            <m:r>
              <m:rPr>
                <m:sty m:val="bi"/>
              </m:rPr>
              <w:rPr>
                <w:rFonts w:ascii="Cambria Math" w:hAnsi="Cambria Math" w:cs="Times New Roman"/>
                <w:lang w:val="en-US"/>
              </w:rPr>
              <m:t>D</m:t>
            </m:r>
          </m:e>
          <m:sub>
            <m:r>
              <m:rPr>
                <m:sty m:val="bi"/>
              </m:rPr>
              <w:rPr>
                <w:rFonts w:ascii="Cambria Math" w:hAnsi="Cambria Math" w:cs="Times New Roman"/>
                <w:lang w:val="en-US"/>
              </w:rPr>
              <m:t>f</m:t>
            </m:r>
          </m:sub>
        </m:sSub>
      </m:oMath>
      <w:r w:rsidRPr="009239F8">
        <w:rPr>
          <w:rFonts w:ascii="Times New Roman" w:hAnsi="Times New Roman" w:cs="Times New Roman"/>
          <w:lang w:val="en-US"/>
        </w:rPr>
        <w:t>. The resulting epicardial g</w:t>
      </w:r>
      <w:r w:rsidRPr="009239F8">
        <w:rPr>
          <w:rFonts w:ascii="Times New Roman" w:hAnsi="Times New Roman" w:cs="Times New Roman"/>
          <w:vertAlign w:val="subscript"/>
          <w:lang w:val="en-US"/>
        </w:rPr>
        <w:t>Kr</w:t>
      </w:r>
      <w:r w:rsidRPr="009239F8">
        <w:rPr>
          <w:rFonts w:ascii="Times New Roman" w:hAnsi="Times New Roman" w:cs="Times New Roman"/>
          <w:lang w:val="en-US"/>
        </w:rPr>
        <w:t xml:space="preserve"> values, together with the previously obtained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values, were then propagated transmurally across the ventricular wall assuming homogeneous gradients for both scaling factors.</w:t>
      </w:r>
    </w:p>
    <w:p w14:paraId="56905FB9" w14:textId="7F7B2BF7" w:rsidR="004A5731" w:rsidRPr="009239F8" w:rsidRDefault="004A5731" w:rsidP="009A5B48">
      <w:pPr>
        <w:pStyle w:val="Heading2"/>
        <w:spacing w:line="480" w:lineRule="auto"/>
        <w:rPr>
          <w:rFonts w:ascii="Times New Roman" w:hAnsi="Times New Roman" w:cs="Times New Roman"/>
          <w:color w:val="auto"/>
          <w:lang w:val="en-US"/>
        </w:rPr>
      </w:pPr>
      <w:r w:rsidRPr="009239F8">
        <w:rPr>
          <w:rFonts w:ascii="Times New Roman" w:hAnsi="Times New Roman" w:cs="Times New Roman"/>
          <w:color w:val="auto"/>
          <w:lang w:val="en-US"/>
        </w:rPr>
        <w:t>S1</w:t>
      </w:r>
      <w:r w:rsidR="0078194F" w:rsidRPr="009239F8">
        <w:rPr>
          <w:rFonts w:ascii="Times New Roman" w:hAnsi="Times New Roman" w:cs="Times New Roman"/>
          <w:color w:val="auto"/>
          <w:lang w:val="en-US"/>
        </w:rPr>
        <w:t>3</w:t>
      </w:r>
      <w:r w:rsidRPr="009239F8">
        <w:rPr>
          <w:rFonts w:ascii="Times New Roman" w:hAnsi="Times New Roman" w:cs="Times New Roman"/>
          <w:color w:val="auto"/>
          <w:lang w:val="en-US"/>
        </w:rPr>
        <w:t>: Pipeline verification test design</w:t>
      </w:r>
    </w:p>
    <w:p w14:paraId="7BB51B5D" w14:textId="4D8F84CE" w:rsidR="004A5731" w:rsidRPr="009239F8" w:rsidRDefault="004A5731"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To assess the accuracy, robustness, and reliability of the personalization pipeline, a series of benchmark tests were performed</w:t>
      </w:r>
      <w:r w:rsidRPr="009239F8">
        <w:rPr>
          <w:rFonts w:ascii="Times New Roman" w:hAnsi="Times New Roman" w:cs="Times New Roman"/>
          <w:b/>
          <w:lang w:val="en-US"/>
        </w:rPr>
        <w:t xml:space="preserve">. </w:t>
      </w:r>
      <w:r w:rsidRPr="009239F8">
        <w:rPr>
          <w:rFonts w:ascii="Times New Roman" w:hAnsi="Times New Roman" w:cs="Times New Roman"/>
          <w:lang w:val="en-US"/>
        </w:rPr>
        <w:t xml:space="preserve">Ground-truth was defined using the forward solution of a DT with prescribed CV, activation sequence, and repolarization properties (see </w:t>
      </w:r>
      <w:r w:rsidR="002F711D" w:rsidRPr="009239F8">
        <w:rPr>
          <w:rFonts w:ascii="Times New Roman" w:hAnsi="Times New Roman" w:cs="Times New Roman"/>
          <w:lang w:val="en-US"/>
        </w:rPr>
        <w:fldChar w:fldCharType="begin"/>
      </w:r>
      <w:r w:rsidR="002F711D" w:rsidRPr="009239F8">
        <w:rPr>
          <w:rFonts w:ascii="Times New Roman" w:hAnsi="Times New Roman" w:cs="Times New Roman"/>
          <w:lang w:val="en-US"/>
        </w:rPr>
        <w:instrText xml:space="preserve"> REF _Ref232624652 \h </w:instrText>
      </w:r>
      <w:r w:rsidR="00886597" w:rsidRPr="009239F8">
        <w:rPr>
          <w:rFonts w:ascii="Times New Roman" w:hAnsi="Times New Roman" w:cs="Times New Roman"/>
          <w:lang w:val="en-US"/>
        </w:rPr>
        <w:instrText xml:space="preserve"> \* MERGEFORMAT </w:instrText>
      </w:r>
      <w:r w:rsidR="002F711D" w:rsidRPr="009239F8">
        <w:rPr>
          <w:rFonts w:ascii="Times New Roman" w:hAnsi="Times New Roman" w:cs="Times New Roman"/>
          <w:lang w:val="en-US"/>
        </w:rPr>
      </w:r>
      <w:r w:rsidR="002F711D" w:rsidRPr="009239F8">
        <w:rPr>
          <w:rFonts w:ascii="Times New Roman" w:hAnsi="Times New Roman" w:cs="Times New Roman"/>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noProof/>
          <w:lang w:val="en-US"/>
        </w:rPr>
        <w:t>13</w:t>
      </w:r>
      <w:r w:rsidR="002F711D" w:rsidRPr="009239F8">
        <w:rPr>
          <w:rFonts w:ascii="Times New Roman" w:hAnsi="Times New Roman" w:cs="Times New Roman"/>
          <w:lang w:val="en-US"/>
        </w:rPr>
        <w:fldChar w:fldCharType="end"/>
      </w:r>
      <w:r w:rsidRPr="009239F8">
        <w:rPr>
          <w:rFonts w:ascii="Times New Roman" w:hAnsi="Times New Roman" w:cs="Times New Roman"/>
          <w:lang w:val="en-US"/>
        </w:rPr>
        <w:t>). These known DTs were then used as inputs to the proposed pipeline, with the expectation that the resulting personalized DTs would recover properties close to the ground-truth.</w:t>
      </w:r>
    </w:p>
    <w:p w14:paraId="6DE7B2D9" w14:textId="0E683270" w:rsidR="004A5731" w:rsidRPr="009239F8" w:rsidRDefault="004A5731"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Three CV values spanning the interquartile range of ECGI-derived CV measurements were tested. To facilitate the identification of sources of CV error, three CV definitions were considered: </w:t>
      </w:r>
      <m:oMath>
        <m:r>
          <w:rPr>
            <w:rFonts w:ascii="Cambria Math" w:hAnsi="Cambria Math" w:cs="Times New Roman"/>
            <w:lang w:val="en-US"/>
          </w:rPr>
          <m:t>C</m:t>
        </m:r>
        <m:sSub>
          <m:sSubPr>
            <m:ctrlPr>
              <w:rPr>
                <w:rFonts w:ascii="Cambria Math" w:hAnsi="Cambria Math" w:cs="Times New Roman"/>
                <w:lang w:val="en-US"/>
              </w:rPr>
            </m:ctrlPr>
          </m:sSubPr>
          <m:e>
            <m:r>
              <w:rPr>
                <w:rFonts w:ascii="Cambria Math" w:hAnsi="Cambria Math" w:cs="Times New Roman"/>
                <w:lang w:val="en-US"/>
              </w:rPr>
              <m:t>V</m:t>
            </m:r>
          </m:e>
          <m:sub>
            <m:r>
              <w:rPr>
                <w:rFonts w:ascii="Cambria Math" w:hAnsi="Cambria Math" w:cs="Times New Roman"/>
                <w:lang w:val="en-US"/>
              </w:rPr>
              <m:t>input</m:t>
            </m:r>
          </m:sub>
        </m:sSub>
      </m:oMath>
      <w:r w:rsidRPr="009239F8">
        <w:rPr>
          <w:rFonts w:ascii="Times New Roman" w:hAnsi="Times New Roman" w:cs="Times New Roman"/>
          <w:lang w:val="en-US"/>
        </w:rPr>
        <w:t>, the value used to generate the ground-truth simulations; </w:t>
      </w:r>
      <m:oMath>
        <m:r>
          <w:rPr>
            <w:rFonts w:ascii="Cambria Math" w:hAnsi="Cambria Math" w:cs="Times New Roman"/>
            <w:lang w:val="en-US"/>
          </w:rPr>
          <m:t>C</m:t>
        </m:r>
        <m:sSub>
          <m:sSubPr>
            <m:ctrlPr>
              <w:rPr>
                <w:rFonts w:ascii="Cambria Math" w:hAnsi="Cambria Math" w:cs="Times New Roman"/>
                <w:lang w:val="en-US"/>
              </w:rPr>
            </m:ctrlPr>
          </m:sSubPr>
          <m:e>
            <m:r>
              <w:rPr>
                <w:rFonts w:ascii="Cambria Math" w:hAnsi="Cambria Math" w:cs="Times New Roman"/>
                <w:lang w:val="en-US"/>
              </w:rPr>
              <m:t>V</m:t>
            </m:r>
          </m:e>
          <m:sub>
            <m:r>
              <w:rPr>
                <w:rFonts w:ascii="Cambria Math" w:hAnsi="Cambria Math" w:cs="Times New Roman"/>
                <w:lang w:val="en-US"/>
              </w:rPr>
              <m:t>GT</m:t>
            </m:r>
          </m:sub>
        </m:sSub>
      </m:oMath>
      <w:r w:rsidRPr="009239F8">
        <w:rPr>
          <w:rFonts w:ascii="Times New Roman" w:hAnsi="Times New Roman" w:cs="Times New Roman"/>
          <w:lang w:val="en-US"/>
        </w:rPr>
        <w:t>, the apparent CV measured from the ground-truth activation maps; and </w:t>
      </w:r>
      <m:oMath>
        <m:r>
          <w:rPr>
            <w:rFonts w:ascii="Cambria Math" w:hAnsi="Cambria Math" w:cs="Times New Roman"/>
            <w:lang w:val="en-US"/>
          </w:rPr>
          <m:t>C</m:t>
        </m:r>
        <m:sSub>
          <m:sSubPr>
            <m:ctrlPr>
              <w:rPr>
                <w:rFonts w:ascii="Cambria Math" w:hAnsi="Cambria Math" w:cs="Times New Roman"/>
                <w:lang w:val="en-US"/>
              </w:rPr>
            </m:ctrlPr>
          </m:sSubPr>
          <m:e>
            <m:r>
              <w:rPr>
                <w:rFonts w:ascii="Cambria Math" w:hAnsi="Cambria Math" w:cs="Times New Roman"/>
                <w:lang w:val="en-US"/>
              </w:rPr>
              <m:t>V</m:t>
            </m:r>
          </m:e>
          <m:sub>
            <m:r>
              <w:rPr>
                <w:rFonts w:ascii="Cambria Math" w:hAnsi="Cambria Math" w:cs="Times New Roman"/>
                <w:lang w:val="en-US"/>
              </w:rPr>
              <m:t>in silico</m:t>
            </m:r>
          </m:sub>
        </m:sSub>
      </m:oMath>
      <w:r w:rsidRPr="009239F8">
        <w:rPr>
          <w:rFonts w:ascii="Times New Roman" w:hAnsi="Times New Roman" w:cs="Times New Roman"/>
          <w:lang w:val="en-US"/>
        </w:rPr>
        <w:t>, the apparent CV obtained from the estimated activation maps. Activation sequences followed two strategies — Durrer-based</w:t>
      </w:r>
      <w:r w:rsidR="009F5B45" w:rsidRPr="009239F8">
        <w:rPr>
          <w:rFonts w:ascii="Times New Roman" w:hAnsi="Times New Roman" w:cs="Times New Roman"/>
          <w:kern w:val="0"/>
          <w:vertAlign w:val="superscript"/>
        </w:rPr>
        <w:t>12</w:t>
      </w:r>
      <w:r w:rsidRPr="009239F8">
        <w:rPr>
          <w:rFonts w:ascii="Times New Roman" w:hAnsi="Times New Roman" w:cs="Times New Roman"/>
          <w:lang w:val="en-US"/>
        </w:rPr>
        <w:t xml:space="preserve"> and Purkinje-based PMJs</w:t>
      </w:r>
      <w:r w:rsidR="009F5B45" w:rsidRPr="009239F8">
        <w:rPr>
          <w:rFonts w:ascii="Times New Roman" w:hAnsi="Times New Roman" w:cs="Times New Roman"/>
          <w:kern w:val="0"/>
          <w:vertAlign w:val="superscript"/>
        </w:rPr>
        <w:t>13</w:t>
      </w:r>
      <w:r w:rsidRPr="009239F8">
        <w:rPr>
          <w:rFonts w:ascii="Times New Roman" w:hAnsi="Times New Roman" w:cs="Times New Roman"/>
          <w:lang w:val="en-US"/>
        </w:rPr>
        <w:t xml:space="preserve"> — and two repolarization spatial patterns were prescribed for both g</w:t>
      </w:r>
      <w:r w:rsidRPr="009239F8">
        <w:rPr>
          <w:rFonts w:ascii="Times New Roman" w:hAnsi="Times New Roman" w:cs="Times New Roman"/>
          <w:vertAlign w:val="subscript"/>
          <w:lang w:val="en-US"/>
        </w:rPr>
        <w:t>Ks</w:t>
      </w:r>
      <w:r w:rsidRPr="009239F8">
        <w:rPr>
          <w:rFonts w:ascii="Times New Roman" w:hAnsi="Times New Roman" w:cs="Times New Roman"/>
          <w:lang w:val="en-US"/>
        </w:rPr>
        <w:t xml:space="preserve"> and g</w:t>
      </w:r>
      <w:r w:rsidRPr="009239F8">
        <w:rPr>
          <w:rFonts w:ascii="Times New Roman" w:hAnsi="Times New Roman" w:cs="Times New Roman"/>
          <w:vertAlign w:val="subscript"/>
          <w:lang w:val="en-US"/>
        </w:rPr>
        <w:t>Kr</w:t>
      </w:r>
      <w:r w:rsidRPr="009239F8">
        <w:rPr>
          <w:rFonts w:ascii="Times New Roman" w:hAnsi="Times New Roman" w:cs="Times New Roman"/>
          <w:lang w:val="en-US"/>
        </w:rPr>
        <w:t>: an apex-to-base gradient</w:t>
      </w:r>
      <w:r w:rsidR="009F5B45" w:rsidRPr="009239F8">
        <w:rPr>
          <w:rFonts w:ascii="Times New Roman" w:hAnsi="Times New Roman" w:cs="Times New Roman"/>
          <w:kern w:val="0"/>
          <w:vertAlign w:val="superscript"/>
        </w:rPr>
        <w:t>14</w:t>
      </w:r>
      <w:r w:rsidRPr="009239F8">
        <w:rPr>
          <w:rFonts w:ascii="Times New Roman" w:hAnsi="Times New Roman" w:cs="Times New Roman"/>
          <w:lang w:val="en-US"/>
        </w:rPr>
        <w:t xml:space="preserve"> and a spatially heterogeneous Voronoi distribution. All test combinations are listed in </w:t>
      </w:r>
      <w:r w:rsidR="002F711D" w:rsidRPr="009239F8">
        <w:rPr>
          <w:rFonts w:ascii="Times New Roman" w:hAnsi="Times New Roman" w:cs="Times New Roman"/>
          <w:lang w:val="en-US"/>
        </w:rPr>
        <w:fldChar w:fldCharType="begin"/>
      </w:r>
      <w:r w:rsidR="002F711D" w:rsidRPr="009239F8">
        <w:rPr>
          <w:rFonts w:ascii="Times New Roman" w:hAnsi="Times New Roman" w:cs="Times New Roman"/>
          <w:lang w:val="en-US"/>
        </w:rPr>
        <w:instrText xml:space="preserve"> REF _Ref232624652 \h </w:instrText>
      </w:r>
      <w:r w:rsidR="00886597" w:rsidRPr="009239F8">
        <w:rPr>
          <w:rFonts w:ascii="Times New Roman" w:hAnsi="Times New Roman" w:cs="Times New Roman"/>
          <w:lang w:val="en-US"/>
        </w:rPr>
        <w:instrText xml:space="preserve"> \* MERGEFORMAT </w:instrText>
      </w:r>
      <w:r w:rsidR="002F711D" w:rsidRPr="009239F8">
        <w:rPr>
          <w:rFonts w:ascii="Times New Roman" w:hAnsi="Times New Roman" w:cs="Times New Roman"/>
          <w:lang w:val="en-US"/>
        </w:rPr>
      </w:r>
      <w:r w:rsidR="002F711D" w:rsidRPr="009239F8">
        <w:rPr>
          <w:rFonts w:ascii="Times New Roman" w:hAnsi="Times New Roman" w:cs="Times New Roman"/>
          <w:lang w:val="en-US"/>
        </w:rPr>
        <w:fldChar w:fldCharType="separate"/>
      </w:r>
      <w:r w:rsidR="00890076" w:rsidRPr="009239F8">
        <w:rPr>
          <w:rFonts w:ascii="Times New Roman" w:hAnsi="Times New Roman" w:cs="Times New Roman"/>
          <w:b/>
          <w:lang w:val="en-US"/>
        </w:rPr>
        <w:t xml:space="preserve">Table S </w:t>
      </w:r>
      <w:r w:rsidR="00890076" w:rsidRPr="009239F8">
        <w:rPr>
          <w:rFonts w:ascii="Times New Roman" w:hAnsi="Times New Roman" w:cs="Times New Roman"/>
          <w:b/>
          <w:noProof/>
          <w:lang w:val="en-US"/>
        </w:rPr>
        <w:t>13</w:t>
      </w:r>
      <w:r w:rsidR="002F711D" w:rsidRPr="009239F8">
        <w:rPr>
          <w:rFonts w:ascii="Times New Roman" w:hAnsi="Times New Roman" w:cs="Times New Roman"/>
          <w:lang w:val="en-US"/>
        </w:rPr>
        <w:fldChar w:fldCharType="end"/>
      </w:r>
      <w:r w:rsidRPr="009239F8">
        <w:rPr>
          <w:rFonts w:ascii="Times New Roman" w:hAnsi="Times New Roman" w:cs="Times New Roman"/>
          <w:lang w:val="en-US"/>
        </w:rPr>
        <w:t xml:space="preserve">. </w:t>
      </w:r>
    </w:p>
    <w:p w14:paraId="6CC5169B" w14:textId="2253C07F" w:rsidR="004A5731" w:rsidRPr="009239F8" w:rsidRDefault="004A5731" w:rsidP="009A5B48">
      <w:pPr>
        <w:pStyle w:val="Caption"/>
        <w:keepNext/>
        <w:spacing w:line="480" w:lineRule="auto"/>
        <w:jc w:val="both"/>
        <w:rPr>
          <w:rFonts w:cs="Times New Roman"/>
          <w:color w:val="auto"/>
          <w:lang w:val="en-US"/>
        </w:rPr>
      </w:pPr>
      <w:bookmarkStart w:id="26" w:name="_Ref232624652"/>
      <w:r w:rsidRPr="009239F8">
        <w:rPr>
          <w:rFonts w:cs="Times New Roman"/>
          <w:b/>
          <w:color w:val="auto"/>
          <w:lang w:val="en-US"/>
        </w:rPr>
        <w:t xml:space="preserve">Table S </w:t>
      </w:r>
      <w:r w:rsidRPr="009239F8">
        <w:rPr>
          <w:rFonts w:cs="Times New Roman"/>
          <w:b/>
          <w:color w:val="auto"/>
          <w:lang w:val="en-US"/>
        </w:rPr>
        <w:fldChar w:fldCharType="begin"/>
      </w:r>
      <w:r w:rsidRPr="009239F8">
        <w:rPr>
          <w:rFonts w:cs="Times New Roman"/>
          <w:b/>
          <w:color w:val="auto"/>
          <w:lang w:val="en-US"/>
        </w:rPr>
        <w:instrText xml:space="preserve"> SEQ Table_S \* ARABIC </w:instrText>
      </w:r>
      <w:r w:rsidRPr="009239F8">
        <w:rPr>
          <w:rFonts w:cs="Times New Roman"/>
          <w:b/>
          <w:color w:val="auto"/>
          <w:lang w:val="en-US"/>
        </w:rPr>
        <w:fldChar w:fldCharType="separate"/>
      </w:r>
      <w:r w:rsidR="00890076" w:rsidRPr="009239F8">
        <w:rPr>
          <w:rFonts w:cs="Times New Roman"/>
          <w:b/>
          <w:noProof/>
          <w:color w:val="auto"/>
          <w:lang w:val="en-US"/>
        </w:rPr>
        <w:t>13</w:t>
      </w:r>
      <w:r w:rsidRPr="009239F8">
        <w:rPr>
          <w:rFonts w:cs="Times New Roman"/>
          <w:b/>
          <w:color w:val="auto"/>
          <w:lang w:val="en-US"/>
        </w:rPr>
        <w:fldChar w:fldCharType="end"/>
      </w:r>
      <w:bookmarkEnd w:id="26"/>
      <w:r w:rsidRPr="009239F8">
        <w:rPr>
          <w:rFonts w:cs="Times New Roman"/>
          <w:b/>
          <w:color w:val="auto"/>
          <w:lang w:val="en-US"/>
        </w:rPr>
        <w:t>. List of verification tests</w:t>
      </w:r>
      <w:r w:rsidRPr="009239F8">
        <w:rPr>
          <w:rFonts w:cs="Times New Roman"/>
          <w:color w:val="auto"/>
          <w:lang w:val="en-US"/>
        </w:rPr>
        <w:t>. Durrer-based Purkinje-Myocardial Junctions</w:t>
      </w:r>
      <w:r w:rsidR="00B67E76" w:rsidRPr="009239F8">
        <w:rPr>
          <w:rFonts w:cs="Times New Roman"/>
          <w:color w:val="auto"/>
          <w:lang w:val="en-US"/>
        </w:rPr>
        <w:t xml:space="preserve"> </w:t>
      </w:r>
      <w:r w:rsidRPr="009239F8">
        <w:rPr>
          <w:rFonts w:cs="Times New Roman"/>
          <w:color w:val="auto"/>
          <w:lang w:val="en-US"/>
        </w:rPr>
        <w:t xml:space="preserve">(PMJs) refers to the use of early activation sites identified in </w:t>
      </w:r>
      <w:r w:rsidR="009F5B45" w:rsidRPr="009239F8">
        <w:rPr>
          <w:rFonts w:ascii="Aptos" w:hAnsi="Aptos" w:cs="Times New Roman"/>
          <w:color w:val="auto"/>
          <w:kern w:val="0"/>
          <w:vertAlign w:val="superscript"/>
        </w:rPr>
        <w:t>12</w:t>
      </w:r>
      <w:r w:rsidRPr="009239F8">
        <w:rPr>
          <w:rFonts w:cs="Times New Roman"/>
          <w:color w:val="auto"/>
          <w:lang w:val="en-US"/>
        </w:rPr>
        <w:t xml:space="preserve">.  Purkinje-based PMJs using artificial Purkinje network for the selection of PMJs. Repolarization property patterns include an apex-to-base gradient (A2B), and a heterogeneous random distribution generated using Voronoi sampling (Voronoi). </w:t>
      </w:r>
      <w:r w:rsidR="000B420A" w:rsidRPr="009239F8">
        <w:rPr>
          <w:rFonts w:cs="Times New Roman"/>
          <w:color w:val="auto"/>
          <w:lang w:val="en-US"/>
        </w:rPr>
        <w:t xml:space="preserve">AgR: aging repolarization; </w:t>
      </w:r>
      <w:r w:rsidRPr="009239F8">
        <w:rPr>
          <w:rFonts w:cs="Times New Roman"/>
          <w:color w:val="auto"/>
          <w:lang w:val="en-US"/>
        </w:rPr>
        <w:t>CV</w:t>
      </w:r>
      <w:r w:rsidRPr="009239F8">
        <w:rPr>
          <w:rFonts w:cs="Times New Roman"/>
          <w:color w:val="auto"/>
          <w:vertAlign w:val="subscript"/>
          <w:lang w:val="en-US"/>
        </w:rPr>
        <w:t>input</w:t>
      </w:r>
      <w:r w:rsidRPr="009239F8">
        <w:rPr>
          <w:rFonts w:cs="Times New Roman"/>
          <w:color w:val="auto"/>
          <w:lang w:val="en-US"/>
        </w:rPr>
        <w:t>: Input conduction velocity; g</w:t>
      </w:r>
      <w:r w:rsidRPr="009239F8">
        <w:rPr>
          <w:rFonts w:cs="Times New Roman"/>
          <w:color w:val="auto"/>
          <w:vertAlign w:val="subscript"/>
          <w:lang w:val="en-US"/>
        </w:rPr>
        <w:t>Ks</w:t>
      </w:r>
      <w:r w:rsidRPr="009239F8">
        <w:rPr>
          <w:rFonts w:cs="Times New Roman"/>
          <w:color w:val="auto"/>
          <w:lang w:val="en-US"/>
        </w:rPr>
        <w:t>: slow delayed rectifier potassium current conductance scaling factor.</w:t>
      </w:r>
    </w:p>
    <w:tbl>
      <w:tblPr>
        <w:tblStyle w:val="TableGrid"/>
        <w:tblW w:w="90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121"/>
        <w:gridCol w:w="1241"/>
        <w:gridCol w:w="2573"/>
        <w:gridCol w:w="2270"/>
        <w:gridCol w:w="2117"/>
      </w:tblGrid>
      <w:tr w:rsidR="004A5731" w:rsidRPr="009239F8" w14:paraId="2F9637EC" w14:textId="77777777" w:rsidTr="00B67E76">
        <w:trPr>
          <w:trHeight w:val="588"/>
          <w:jc w:val="center"/>
        </w:trPr>
        <w:tc>
          <w:tcPr>
            <w:tcW w:w="757" w:type="dxa"/>
            <w:tcBorders>
              <w:bottom w:val="single" w:sz="4" w:space="0" w:color="auto"/>
            </w:tcBorders>
            <w:vAlign w:val="center"/>
          </w:tcPr>
          <w:p w14:paraId="6001282D" w14:textId="77777777" w:rsidR="004A5731" w:rsidRPr="009239F8" w:rsidRDefault="004A5731" w:rsidP="009A5B48">
            <w:pPr>
              <w:spacing w:line="480" w:lineRule="auto"/>
              <w:rPr>
                <w:rFonts w:ascii="Times New Roman" w:hAnsi="Times New Roman" w:cs="Times New Roman"/>
                <w:b/>
                <w:bCs/>
                <w:lang w:val="en-US"/>
              </w:rPr>
            </w:pPr>
            <w:r w:rsidRPr="009239F8">
              <w:rPr>
                <w:rFonts w:ascii="Times New Roman" w:hAnsi="Times New Roman" w:cs="Times New Roman"/>
                <w:b/>
                <w:bCs/>
                <w:lang w:val="en-US"/>
              </w:rPr>
              <w:t>Test ID</w:t>
            </w:r>
          </w:p>
        </w:tc>
        <w:tc>
          <w:tcPr>
            <w:tcW w:w="1362" w:type="dxa"/>
            <w:gridSpan w:val="2"/>
            <w:tcBorders>
              <w:bottom w:val="single" w:sz="4" w:space="0" w:color="auto"/>
            </w:tcBorders>
            <w:vAlign w:val="center"/>
          </w:tcPr>
          <w:p w14:paraId="276F2788" w14:textId="77777777" w:rsidR="004A5731" w:rsidRPr="009239F8" w:rsidRDefault="004A5731" w:rsidP="009A5B48">
            <w:pPr>
              <w:spacing w:line="480" w:lineRule="auto"/>
              <w:jc w:val="center"/>
              <w:rPr>
                <w:rFonts w:ascii="Times New Roman" w:hAnsi="Times New Roman" w:cs="Times New Roman"/>
                <w:lang w:val="en-US"/>
              </w:rPr>
            </w:pPr>
            <m:oMath>
              <m:r>
                <w:rPr>
                  <w:rFonts w:ascii="Cambria Math" w:hAnsi="Cambria Math" w:cs="Times New Roman"/>
                  <w:lang w:val="en-US"/>
                </w:rPr>
                <m:t>C</m:t>
              </m:r>
              <m:sSub>
                <m:sSubPr>
                  <m:ctrlPr>
                    <w:rPr>
                      <w:rFonts w:ascii="Cambria Math" w:hAnsi="Cambria Math" w:cs="Times New Roman"/>
                      <w:lang w:val="en-US"/>
                    </w:rPr>
                  </m:ctrlPr>
                </m:sSubPr>
                <m:e>
                  <m:r>
                    <w:rPr>
                      <w:rFonts w:ascii="Cambria Math" w:hAnsi="Cambria Math" w:cs="Times New Roman"/>
                      <w:lang w:val="en-US"/>
                    </w:rPr>
                    <m:t>V</m:t>
                  </m:r>
                </m:e>
                <m:sub>
                  <m:r>
                    <w:rPr>
                      <w:rFonts w:ascii="Cambria Math" w:hAnsi="Cambria Math" w:cs="Times New Roman"/>
                      <w:lang w:val="en-US"/>
                    </w:rPr>
                    <m:t>input</m:t>
                  </m:r>
                </m:sub>
              </m:sSub>
            </m:oMath>
            <w:r w:rsidRPr="009239F8">
              <w:rPr>
                <w:rFonts w:ascii="Times New Roman" w:hAnsi="Times New Roman" w:cs="Times New Roman"/>
                <w:lang w:val="en-US"/>
              </w:rPr>
              <w:t xml:space="preserve"> [m/s]</w:t>
            </w:r>
          </w:p>
        </w:tc>
        <w:tc>
          <w:tcPr>
            <w:tcW w:w="2573" w:type="dxa"/>
            <w:tcBorders>
              <w:bottom w:val="single" w:sz="4" w:space="0" w:color="auto"/>
            </w:tcBorders>
            <w:vAlign w:val="center"/>
          </w:tcPr>
          <w:p w14:paraId="6E4C566F"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Activation sequence</w:t>
            </w:r>
          </w:p>
        </w:tc>
        <w:tc>
          <w:tcPr>
            <w:tcW w:w="2270" w:type="dxa"/>
            <w:tcBorders>
              <w:bottom w:val="single" w:sz="4" w:space="0" w:color="auto"/>
            </w:tcBorders>
          </w:tcPr>
          <w:p w14:paraId="019CCBDA"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Baseline repolarization (g</w:t>
            </w:r>
            <w:r w:rsidRPr="009239F8">
              <w:rPr>
                <w:rFonts w:ascii="Times New Roman" w:hAnsi="Times New Roman" w:cs="Times New Roman"/>
                <w:vertAlign w:val="subscript"/>
                <w:lang w:val="en-US"/>
              </w:rPr>
              <w:t>Ks</w:t>
            </w:r>
            <w:r w:rsidRPr="009239F8">
              <w:rPr>
                <w:rFonts w:ascii="Times New Roman" w:hAnsi="Times New Roman" w:cs="Times New Roman"/>
                <w:lang w:val="en-US"/>
              </w:rPr>
              <w:t>)</w:t>
            </w:r>
          </w:p>
        </w:tc>
        <w:tc>
          <w:tcPr>
            <w:tcW w:w="2117" w:type="dxa"/>
            <w:tcBorders>
              <w:bottom w:val="single" w:sz="4" w:space="0" w:color="auto"/>
            </w:tcBorders>
          </w:tcPr>
          <w:p w14:paraId="7745107B" w14:textId="4E8977D8" w:rsidR="004A5731" w:rsidRPr="009239F8" w:rsidRDefault="004A5731" w:rsidP="009A5B48">
            <w:pPr>
              <w:spacing w:line="480" w:lineRule="auto"/>
              <w:rPr>
                <w:rFonts w:ascii="Times New Roman" w:hAnsi="Times New Roman" w:cs="Times New Roman"/>
                <w:vertAlign w:val="subscript"/>
                <w:lang w:val="en-US"/>
              </w:rPr>
            </w:pPr>
            <w:r w:rsidRPr="009239F8">
              <w:rPr>
                <w:rFonts w:ascii="Times New Roman" w:hAnsi="Times New Roman" w:cs="Times New Roman"/>
                <w:lang w:val="en-US"/>
              </w:rPr>
              <w:t>Aging repolarization (</w:t>
            </w:r>
            <w:r w:rsidR="00B67E76" w:rsidRPr="009239F8">
              <w:rPr>
                <w:rFonts w:ascii="Times New Roman" w:hAnsi="Times New Roman" w:cs="Times New Roman"/>
                <w:lang w:val="en-US"/>
              </w:rPr>
              <w:t>AgR</w:t>
            </w:r>
            <w:r w:rsidRPr="009239F8">
              <w:rPr>
                <w:rFonts w:ascii="Times New Roman" w:hAnsi="Times New Roman" w:cs="Times New Roman"/>
                <w:lang w:val="en-US"/>
              </w:rPr>
              <w:t>)</w:t>
            </w:r>
          </w:p>
        </w:tc>
      </w:tr>
      <w:tr w:rsidR="004A5731" w:rsidRPr="009239F8" w14:paraId="39C77788" w14:textId="77777777" w:rsidTr="00B67E76">
        <w:trPr>
          <w:trHeight w:val="273"/>
          <w:jc w:val="center"/>
        </w:trPr>
        <w:tc>
          <w:tcPr>
            <w:tcW w:w="878" w:type="dxa"/>
            <w:gridSpan w:val="2"/>
            <w:tcBorders>
              <w:top w:val="single" w:sz="4" w:space="0" w:color="auto"/>
            </w:tcBorders>
            <w:vAlign w:val="center"/>
          </w:tcPr>
          <w:p w14:paraId="30EC13B4" w14:textId="77777777" w:rsidR="004A5731" w:rsidRPr="009239F8" w:rsidRDefault="004A5731" w:rsidP="009A5B48">
            <w:pPr>
              <w:spacing w:line="480" w:lineRule="auto"/>
              <w:rPr>
                <w:rFonts w:ascii="Times New Roman" w:hAnsi="Times New Roman" w:cs="Times New Roman"/>
                <w:i/>
                <w:iCs/>
                <w:lang w:val="en-US"/>
              </w:rPr>
            </w:pPr>
            <w:r w:rsidRPr="009239F8">
              <w:rPr>
                <w:rFonts w:ascii="Times New Roman" w:hAnsi="Times New Roman" w:cs="Times New Roman"/>
                <w:i/>
                <w:iCs/>
                <w:lang w:val="en-US"/>
              </w:rPr>
              <w:t>#1</w:t>
            </w:r>
          </w:p>
        </w:tc>
        <w:tc>
          <w:tcPr>
            <w:tcW w:w="1240" w:type="dxa"/>
            <w:tcBorders>
              <w:top w:val="single" w:sz="4" w:space="0" w:color="auto"/>
            </w:tcBorders>
          </w:tcPr>
          <w:p w14:paraId="6BBCB85B" w14:textId="77777777" w:rsidR="004A5731" w:rsidRPr="009239F8" w:rsidRDefault="004A573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0.867</w:t>
            </w:r>
          </w:p>
        </w:tc>
        <w:tc>
          <w:tcPr>
            <w:tcW w:w="2573" w:type="dxa"/>
            <w:tcBorders>
              <w:top w:val="single" w:sz="4" w:space="0" w:color="auto"/>
            </w:tcBorders>
            <w:vAlign w:val="center"/>
          </w:tcPr>
          <w:p w14:paraId="41F95E57"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Durrer-based PMJs</w:t>
            </w:r>
          </w:p>
        </w:tc>
        <w:tc>
          <w:tcPr>
            <w:tcW w:w="2270" w:type="dxa"/>
            <w:tcBorders>
              <w:top w:val="single" w:sz="4" w:space="0" w:color="auto"/>
            </w:tcBorders>
          </w:tcPr>
          <w:p w14:paraId="16A4FD02"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A2B</w:t>
            </w:r>
          </w:p>
        </w:tc>
        <w:tc>
          <w:tcPr>
            <w:tcW w:w="2117" w:type="dxa"/>
            <w:tcBorders>
              <w:top w:val="single" w:sz="4" w:space="0" w:color="auto"/>
            </w:tcBorders>
          </w:tcPr>
          <w:p w14:paraId="528B018E"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A2B</w:t>
            </w:r>
          </w:p>
        </w:tc>
      </w:tr>
      <w:tr w:rsidR="004A5731" w:rsidRPr="009239F8" w14:paraId="3635C28D" w14:textId="77777777" w:rsidTr="00B67E76">
        <w:trPr>
          <w:trHeight w:val="273"/>
          <w:jc w:val="center"/>
        </w:trPr>
        <w:tc>
          <w:tcPr>
            <w:tcW w:w="878" w:type="dxa"/>
            <w:gridSpan w:val="2"/>
            <w:vAlign w:val="center"/>
          </w:tcPr>
          <w:p w14:paraId="3441792B" w14:textId="77777777" w:rsidR="004A5731" w:rsidRPr="009239F8" w:rsidRDefault="004A5731" w:rsidP="009A5B48">
            <w:pPr>
              <w:spacing w:line="480" w:lineRule="auto"/>
              <w:rPr>
                <w:rFonts w:ascii="Times New Roman" w:hAnsi="Times New Roman" w:cs="Times New Roman"/>
                <w:i/>
                <w:iCs/>
                <w:lang w:val="en-US"/>
              </w:rPr>
            </w:pPr>
            <w:r w:rsidRPr="009239F8">
              <w:rPr>
                <w:rFonts w:ascii="Times New Roman" w:hAnsi="Times New Roman" w:cs="Times New Roman"/>
                <w:i/>
                <w:iCs/>
                <w:lang w:val="en-US"/>
              </w:rPr>
              <w:t>#2</w:t>
            </w:r>
          </w:p>
        </w:tc>
        <w:tc>
          <w:tcPr>
            <w:tcW w:w="1240" w:type="dxa"/>
          </w:tcPr>
          <w:p w14:paraId="4ED23B84" w14:textId="77777777" w:rsidR="004A5731" w:rsidRPr="009239F8" w:rsidRDefault="004A573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0.867</w:t>
            </w:r>
          </w:p>
        </w:tc>
        <w:tc>
          <w:tcPr>
            <w:tcW w:w="2573" w:type="dxa"/>
            <w:vAlign w:val="center"/>
          </w:tcPr>
          <w:p w14:paraId="72420912"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Purkinje based PMJs</w:t>
            </w:r>
          </w:p>
        </w:tc>
        <w:tc>
          <w:tcPr>
            <w:tcW w:w="2270" w:type="dxa"/>
          </w:tcPr>
          <w:p w14:paraId="6A62FABC"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Voronoi</w:t>
            </w:r>
          </w:p>
        </w:tc>
        <w:tc>
          <w:tcPr>
            <w:tcW w:w="2117" w:type="dxa"/>
          </w:tcPr>
          <w:p w14:paraId="723A0098"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Voronoi</w:t>
            </w:r>
          </w:p>
        </w:tc>
      </w:tr>
      <w:tr w:rsidR="004A5731" w:rsidRPr="009239F8" w14:paraId="26D2C5A4" w14:textId="77777777" w:rsidTr="00B67E76">
        <w:trPr>
          <w:trHeight w:val="273"/>
          <w:jc w:val="center"/>
        </w:trPr>
        <w:tc>
          <w:tcPr>
            <w:tcW w:w="878" w:type="dxa"/>
            <w:gridSpan w:val="2"/>
            <w:vAlign w:val="center"/>
          </w:tcPr>
          <w:p w14:paraId="47757476" w14:textId="77777777" w:rsidR="004A5731" w:rsidRPr="009239F8" w:rsidRDefault="004A5731" w:rsidP="009A5B48">
            <w:pPr>
              <w:spacing w:line="480" w:lineRule="auto"/>
              <w:rPr>
                <w:rFonts w:ascii="Times New Roman" w:hAnsi="Times New Roman" w:cs="Times New Roman"/>
                <w:i/>
                <w:iCs/>
                <w:lang w:val="en-US"/>
              </w:rPr>
            </w:pPr>
            <w:r w:rsidRPr="009239F8">
              <w:rPr>
                <w:rFonts w:ascii="Times New Roman" w:hAnsi="Times New Roman" w:cs="Times New Roman"/>
                <w:i/>
                <w:iCs/>
                <w:lang w:val="en-US"/>
              </w:rPr>
              <w:t>#3</w:t>
            </w:r>
          </w:p>
        </w:tc>
        <w:tc>
          <w:tcPr>
            <w:tcW w:w="1240" w:type="dxa"/>
          </w:tcPr>
          <w:p w14:paraId="0001B986" w14:textId="77777777" w:rsidR="004A5731" w:rsidRPr="009239F8" w:rsidRDefault="004A573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0.791</w:t>
            </w:r>
          </w:p>
        </w:tc>
        <w:tc>
          <w:tcPr>
            <w:tcW w:w="2573" w:type="dxa"/>
            <w:vAlign w:val="center"/>
          </w:tcPr>
          <w:p w14:paraId="5D36F74F" w14:textId="77777777" w:rsidR="004A5731" w:rsidRPr="009239F8" w:rsidRDefault="004A5731" w:rsidP="009A5B48">
            <w:pPr>
              <w:spacing w:line="480" w:lineRule="auto"/>
              <w:rPr>
                <w:rFonts w:ascii="Times New Roman" w:hAnsi="Times New Roman" w:cs="Times New Roman"/>
                <w:i/>
                <w:iCs/>
                <w:lang w:val="en-US"/>
              </w:rPr>
            </w:pPr>
            <w:r w:rsidRPr="009239F8">
              <w:rPr>
                <w:rFonts w:ascii="Times New Roman" w:hAnsi="Times New Roman" w:cs="Times New Roman"/>
                <w:lang w:val="en-US"/>
              </w:rPr>
              <w:t>Durrer-based PMJs</w:t>
            </w:r>
          </w:p>
        </w:tc>
        <w:tc>
          <w:tcPr>
            <w:tcW w:w="2270" w:type="dxa"/>
          </w:tcPr>
          <w:p w14:paraId="20BA834B"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Voronoi</w:t>
            </w:r>
          </w:p>
        </w:tc>
        <w:tc>
          <w:tcPr>
            <w:tcW w:w="2117" w:type="dxa"/>
          </w:tcPr>
          <w:p w14:paraId="2E4BA3AC"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A2B</w:t>
            </w:r>
          </w:p>
        </w:tc>
      </w:tr>
      <w:tr w:rsidR="004A5731" w:rsidRPr="009239F8" w14:paraId="53A7AB1A" w14:textId="77777777" w:rsidTr="00B67E76">
        <w:trPr>
          <w:trHeight w:val="87"/>
          <w:jc w:val="center"/>
        </w:trPr>
        <w:tc>
          <w:tcPr>
            <w:tcW w:w="878" w:type="dxa"/>
            <w:gridSpan w:val="2"/>
            <w:vAlign w:val="center"/>
          </w:tcPr>
          <w:p w14:paraId="7EF4FB57" w14:textId="77777777" w:rsidR="004A5731" w:rsidRPr="009239F8" w:rsidRDefault="004A5731" w:rsidP="009A5B48">
            <w:pPr>
              <w:spacing w:line="480" w:lineRule="auto"/>
              <w:rPr>
                <w:rFonts w:ascii="Times New Roman" w:hAnsi="Times New Roman" w:cs="Times New Roman"/>
                <w:i/>
                <w:iCs/>
                <w:lang w:val="en-US"/>
              </w:rPr>
            </w:pPr>
            <w:r w:rsidRPr="009239F8">
              <w:rPr>
                <w:rFonts w:ascii="Times New Roman" w:hAnsi="Times New Roman" w:cs="Times New Roman"/>
                <w:i/>
                <w:iCs/>
                <w:lang w:val="en-US"/>
              </w:rPr>
              <w:t>#4</w:t>
            </w:r>
          </w:p>
        </w:tc>
        <w:tc>
          <w:tcPr>
            <w:tcW w:w="1240" w:type="dxa"/>
          </w:tcPr>
          <w:p w14:paraId="175B45D9" w14:textId="77777777" w:rsidR="004A5731" w:rsidRPr="009239F8" w:rsidRDefault="004A573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0.791</w:t>
            </w:r>
          </w:p>
        </w:tc>
        <w:tc>
          <w:tcPr>
            <w:tcW w:w="2573" w:type="dxa"/>
            <w:vAlign w:val="center"/>
          </w:tcPr>
          <w:p w14:paraId="23935872"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Purkinje based PMJs</w:t>
            </w:r>
          </w:p>
        </w:tc>
        <w:tc>
          <w:tcPr>
            <w:tcW w:w="2270" w:type="dxa"/>
          </w:tcPr>
          <w:p w14:paraId="66B4D33F"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A2B</w:t>
            </w:r>
          </w:p>
        </w:tc>
        <w:tc>
          <w:tcPr>
            <w:tcW w:w="2117" w:type="dxa"/>
          </w:tcPr>
          <w:p w14:paraId="4218FCD1"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Voronoi</w:t>
            </w:r>
          </w:p>
        </w:tc>
      </w:tr>
      <w:tr w:rsidR="004A5731" w:rsidRPr="009239F8" w14:paraId="72EDAA0B" w14:textId="77777777" w:rsidTr="00B67E76">
        <w:trPr>
          <w:trHeight w:val="273"/>
          <w:jc w:val="center"/>
        </w:trPr>
        <w:tc>
          <w:tcPr>
            <w:tcW w:w="878" w:type="dxa"/>
            <w:gridSpan w:val="2"/>
            <w:vAlign w:val="center"/>
          </w:tcPr>
          <w:p w14:paraId="625BE1BB" w14:textId="77777777" w:rsidR="004A5731" w:rsidRPr="009239F8" w:rsidRDefault="004A5731" w:rsidP="009A5B48">
            <w:pPr>
              <w:spacing w:line="480" w:lineRule="auto"/>
              <w:rPr>
                <w:rFonts w:ascii="Times New Roman" w:hAnsi="Times New Roman" w:cs="Times New Roman"/>
                <w:i/>
                <w:iCs/>
                <w:lang w:val="en-US"/>
              </w:rPr>
            </w:pPr>
            <w:r w:rsidRPr="009239F8">
              <w:rPr>
                <w:rFonts w:ascii="Times New Roman" w:hAnsi="Times New Roman" w:cs="Times New Roman"/>
                <w:i/>
                <w:iCs/>
                <w:lang w:val="en-US"/>
              </w:rPr>
              <w:t>#5</w:t>
            </w:r>
          </w:p>
        </w:tc>
        <w:tc>
          <w:tcPr>
            <w:tcW w:w="1240" w:type="dxa"/>
          </w:tcPr>
          <w:p w14:paraId="79EFA23D" w14:textId="77777777" w:rsidR="004A5731" w:rsidRPr="009239F8" w:rsidRDefault="004A573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0.971</w:t>
            </w:r>
          </w:p>
        </w:tc>
        <w:tc>
          <w:tcPr>
            <w:tcW w:w="2573" w:type="dxa"/>
            <w:vAlign w:val="center"/>
          </w:tcPr>
          <w:p w14:paraId="79300028"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Durrer-based PMJs</w:t>
            </w:r>
          </w:p>
        </w:tc>
        <w:tc>
          <w:tcPr>
            <w:tcW w:w="2270" w:type="dxa"/>
          </w:tcPr>
          <w:p w14:paraId="4183046E"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Voronoi</w:t>
            </w:r>
          </w:p>
        </w:tc>
        <w:tc>
          <w:tcPr>
            <w:tcW w:w="2117" w:type="dxa"/>
          </w:tcPr>
          <w:p w14:paraId="5A4DBA37"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Voronoi</w:t>
            </w:r>
          </w:p>
        </w:tc>
      </w:tr>
      <w:tr w:rsidR="004A5731" w:rsidRPr="009239F8" w14:paraId="08FC5597" w14:textId="77777777" w:rsidTr="00B67E76">
        <w:trPr>
          <w:trHeight w:val="333"/>
          <w:jc w:val="center"/>
        </w:trPr>
        <w:tc>
          <w:tcPr>
            <w:tcW w:w="878" w:type="dxa"/>
            <w:gridSpan w:val="2"/>
            <w:tcBorders>
              <w:bottom w:val="single" w:sz="4" w:space="0" w:color="auto"/>
            </w:tcBorders>
            <w:vAlign w:val="center"/>
          </w:tcPr>
          <w:p w14:paraId="22A14E93" w14:textId="77777777" w:rsidR="004A5731" w:rsidRPr="009239F8" w:rsidRDefault="004A5731" w:rsidP="009A5B48">
            <w:pPr>
              <w:spacing w:line="480" w:lineRule="auto"/>
              <w:rPr>
                <w:rFonts w:ascii="Times New Roman" w:hAnsi="Times New Roman" w:cs="Times New Roman"/>
                <w:i/>
                <w:iCs/>
                <w:lang w:val="en-US"/>
              </w:rPr>
            </w:pPr>
            <w:r w:rsidRPr="009239F8">
              <w:rPr>
                <w:rFonts w:ascii="Times New Roman" w:hAnsi="Times New Roman" w:cs="Times New Roman"/>
                <w:i/>
                <w:iCs/>
                <w:lang w:val="en-US"/>
              </w:rPr>
              <w:t>#6</w:t>
            </w:r>
          </w:p>
        </w:tc>
        <w:tc>
          <w:tcPr>
            <w:tcW w:w="1240" w:type="dxa"/>
            <w:tcBorders>
              <w:bottom w:val="single" w:sz="4" w:space="0" w:color="auto"/>
            </w:tcBorders>
          </w:tcPr>
          <w:p w14:paraId="21502A81" w14:textId="77777777" w:rsidR="004A5731" w:rsidRPr="009239F8" w:rsidRDefault="004A5731" w:rsidP="009A5B48">
            <w:pPr>
              <w:spacing w:line="480" w:lineRule="auto"/>
              <w:jc w:val="center"/>
              <w:rPr>
                <w:rFonts w:ascii="Times New Roman" w:hAnsi="Times New Roman" w:cs="Times New Roman"/>
                <w:lang w:val="en-US"/>
              </w:rPr>
            </w:pPr>
            <w:r w:rsidRPr="009239F8">
              <w:rPr>
                <w:rFonts w:ascii="Times New Roman" w:hAnsi="Times New Roman" w:cs="Times New Roman"/>
                <w:lang w:val="en-US"/>
              </w:rPr>
              <w:t>0.971</w:t>
            </w:r>
          </w:p>
        </w:tc>
        <w:tc>
          <w:tcPr>
            <w:tcW w:w="2573" w:type="dxa"/>
            <w:tcBorders>
              <w:bottom w:val="single" w:sz="4" w:space="0" w:color="auto"/>
            </w:tcBorders>
            <w:vAlign w:val="center"/>
          </w:tcPr>
          <w:p w14:paraId="1B7B6D2F"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Purkinje based PMJs</w:t>
            </w:r>
          </w:p>
        </w:tc>
        <w:tc>
          <w:tcPr>
            <w:tcW w:w="2270" w:type="dxa"/>
            <w:tcBorders>
              <w:bottom w:val="single" w:sz="4" w:space="0" w:color="auto"/>
            </w:tcBorders>
          </w:tcPr>
          <w:p w14:paraId="69186123"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A2B</w:t>
            </w:r>
          </w:p>
        </w:tc>
        <w:tc>
          <w:tcPr>
            <w:tcW w:w="2117" w:type="dxa"/>
            <w:tcBorders>
              <w:bottom w:val="single" w:sz="4" w:space="0" w:color="auto"/>
            </w:tcBorders>
          </w:tcPr>
          <w:p w14:paraId="67537D57" w14:textId="77777777" w:rsidR="004A5731" w:rsidRPr="009239F8" w:rsidRDefault="004A5731" w:rsidP="009A5B48">
            <w:pPr>
              <w:spacing w:line="480" w:lineRule="auto"/>
              <w:rPr>
                <w:rFonts w:ascii="Times New Roman" w:hAnsi="Times New Roman" w:cs="Times New Roman"/>
                <w:lang w:val="en-US"/>
              </w:rPr>
            </w:pPr>
            <w:r w:rsidRPr="009239F8">
              <w:rPr>
                <w:rFonts w:ascii="Times New Roman" w:hAnsi="Times New Roman" w:cs="Times New Roman"/>
                <w:lang w:val="en-US"/>
              </w:rPr>
              <w:t>A2B</w:t>
            </w:r>
          </w:p>
        </w:tc>
      </w:tr>
    </w:tbl>
    <w:p w14:paraId="536C334F" w14:textId="77777777" w:rsidR="004A5731" w:rsidRPr="009239F8" w:rsidRDefault="004A5731" w:rsidP="009A5B48">
      <w:pPr>
        <w:spacing w:line="480" w:lineRule="auto"/>
        <w:jc w:val="both"/>
        <w:rPr>
          <w:rFonts w:ascii="Times New Roman" w:hAnsi="Times New Roman" w:cs="Times New Roman"/>
          <w:lang w:val="en-US"/>
        </w:rPr>
      </w:pPr>
    </w:p>
    <w:p w14:paraId="78F9330A" w14:textId="1BA20BD3" w:rsidR="004A5731" w:rsidRPr="009239F8" w:rsidRDefault="004A5731" w:rsidP="009A5B48">
      <w:pPr>
        <w:spacing w:line="480" w:lineRule="auto"/>
        <w:jc w:val="both"/>
        <w:rPr>
          <w:rFonts w:ascii="Times New Roman" w:hAnsi="Times New Roman" w:cs="Times New Roman"/>
          <w:lang w:val="en-US"/>
        </w:rPr>
      </w:pPr>
      <w:r w:rsidRPr="009239F8">
        <w:rPr>
          <w:rFonts w:ascii="Times New Roman" w:hAnsi="Times New Roman" w:cs="Times New Roman"/>
          <w:lang w:val="en-US"/>
        </w:rPr>
        <w:t xml:space="preserve">Pipeline reliability was quantified using the metrics summarized in </w:t>
      </w:r>
      <w:r w:rsidRPr="009239F8">
        <w:rPr>
          <w:rFonts w:ascii="Times New Roman" w:hAnsi="Times New Roman" w:cs="Times New Roman"/>
          <w:lang w:val="en-US"/>
        </w:rPr>
        <w:fldChar w:fldCharType="begin"/>
      </w:r>
      <w:r w:rsidRPr="009239F8">
        <w:rPr>
          <w:rFonts w:ascii="Times New Roman" w:hAnsi="Times New Roman" w:cs="Times New Roman"/>
          <w:lang w:val="en-US"/>
        </w:rPr>
        <w:instrText xml:space="preserve"> REF _Ref230259560 \h  \* MERGEFORMAT </w:instrText>
      </w:r>
      <w:r w:rsidRPr="009239F8">
        <w:rPr>
          <w:rFonts w:ascii="Times New Roman" w:hAnsi="Times New Roman" w:cs="Times New Roman"/>
          <w:lang w:val="en-US"/>
        </w:rPr>
      </w:r>
      <w:r w:rsidRPr="009239F8">
        <w:rPr>
          <w:rFonts w:ascii="Times New Roman" w:hAnsi="Times New Roman" w:cs="Times New Roman"/>
          <w:lang w:val="en-US"/>
        </w:rPr>
        <w:fldChar w:fldCharType="separate"/>
      </w:r>
      <w:r w:rsidR="00890076" w:rsidRPr="009239F8">
        <w:rPr>
          <w:rFonts w:ascii="Times New Roman" w:hAnsi="Times New Roman" w:cs="Times New Roman"/>
          <w:b/>
          <w:bCs/>
          <w:lang w:val="en-US"/>
        </w:rPr>
        <w:t xml:space="preserve">Table S </w:t>
      </w:r>
      <w:r w:rsidR="00890076" w:rsidRPr="009239F8">
        <w:rPr>
          <w:rFonts w:ascii="Times New Roman" w:hAnsi="Times New Roman" w:cs="Times New Roman"/>
          <w:b/>
          <w:bCs/>
          <w:noProof/>
          <w:lang w:val="en-US"/>
        </w:rPr>
        <w:t>14</w:t>
      </w:r>
      <w:r w:rsidRPr="009239F8">
        <w:rPr>
          <w:rFonts w:ascii="Times New Roman" w:hAnsi="Times New Roman" w:cs="Times New Roman"/>
          <w:lang w:val="en-US"/>
        </w:rPr>
        <w:fldChar w:fldCharType="end"/>
      </w:r>
      <w:r w:rsidRPr="009239F8">
        <w:rPr>
          <w:rFonts w:ascii="Times New Roman" w:hAnsi="Times New Roman" w:cs="Times New Roman"/>
          <w:lang w:val="en-US"/>
        </w:rPr>
        <w:t>. For PMJ evaluation, supplementary points located on endocardial mesh boundaries near regions lacking explicit activation data (e.g., the septum or basal areas) were excluded from spatial localization error (PMJ-DE) but retained for activation time error (PMJ-AE), as they act as active sources in the estimated simulations</w:t>
      </w:r>
    </w:p>
    <w:p w14:paraId="0B280291" w14:textId="08DA69F3" w:rsidR="004A5731" w:rsidRPr="009239F8" w:rsidRDefault="004A5731" w:rsidP="009A5B48">
      <w:pPr>
        <w:pStyle w:val="Caption"/>
        <w:spacing w:line="480" w:lineRule="auto"/>
        <w:jc w:val="both"/>
        <w:rPr>
          <w:rFonts w:cs="Times New Roman"/>
          <w:color w:val="auto"/>
          <w:lang w:val="en-US"/>
        </w:rPr>
      </w:pPr>
      <w:bookmarkStart w:id="27" w:name="_Ref230259560"/>
      <w:r w:rsidRPr="009239F8">
        <w:rPr>
          <w:rFonts w:cs="Times New Roman"/>
          <w:b/>
          <w:color w:val="auto"/>
          <w:lang w:val="en-US"/>
        </w:rPr>
        <w:t xml:space="preserve">Table S </w:t>
      </w:r>
      <w:r w:rsidRPr="009239F8">
        <w:rPr>
          <w:rFonts w:cs="Times New Roman"/>
          <w:b/>
          <w:color w:val="auto"/>
          <w:lang w:val="en-US"/>
        </w:rPr>
        <w:fldChar w:fldCharType="begin"/>
      </w:r>
      <w:r w:rsidRPr="009239F8">
        <w:rPr>
          <w:rFonts w:cs="Times New Roman"/>
          <w:b/>
          <w:bCs/>
          <w:color w:val="auto"/>
          <w:lang w:val="en-US"/>
        </w:rPr>
        <w:instrText xml:space="preserve"> SEQ Table_S \* ARABIC </w:instrText>
      </w:r>
      <w:r w:rsidRPr="009239F8">
        <w:rPr>
          <w:rFonts w:cs="Times New Roman"/>
          <w:b/>
          <w:color w:val="auto"/>
          <w:lang w:val="en-US"/>
        </w:rPr>
        <w:fldChar w:fldCharType="separate"/>
      </w:r>
      <w:r w:rsidR="00890076" w:rsidRPr="009239F8">
        <w:rPr>
          <w:rFonts w:cs="Times New Roman"/>
          <w:b/>
          <w:bCs/>
          <w:noProof/>
          <w:color w:val="auto"/>
          <w:lang w:val="en-US"/>
        </w:rPr>
        <w:t>14</w:t>
      </w:r>
      <w:r w:rsidRPr="009239F8">
        <w:rPr>
          <w:rFonts w:cs="Times New Roman"/>
          <w:b/>
          <w:color w:val="auto"/>
          <w:lang w:val="en-US"/>
        </w:rPr>
        <w:fldChar w:fldCharType="end"/>
      </w:r>
      <w:bookmarkEnd w:id="27"/>
      <w:r w:rsidRPr="009239F8">
        <w:rPr>
          <w:rFonts w:cs="Times New Roman"/>
          <w:b/>
          <w:color w:val="auto"/>
          <w:lang w:val="en-US"/>
        </w:rPr>
        <w:t>.</w:t>
      </w:r>
      <w:r w:rsidRPr="009239F8">
        <w:rPr>
          <w:rFonts w:cs="Times New Roman"/>
          <w:color w:val="auto"/>
          <w:lang w:val="en-US"/>
        </w:rPr>
        <w:t xml:space="preserve"> </w:t>
      </w:r>
      <w:r w:rsidRPr="009239F8">
        <w:rPr>
          <w:rFonts w:cs="Times New Roman"/>
          <w:b/>
          <w:color w:val="auto"/>
          <w:lang w:val="en-US"/>
        </w:rPr>
        <w:t>Verification metrics used to evaluate pipeline accuracy.</w:t>
      </w:r>
      <w:r w:rsidR="000B420A" w:rsidRPr="009239F8">
        <w:rPr>
          <w:rFonts w:cs="Times New Roman"/>
          <w:color w:val="auto"/>
          <w:lang w:val="en-US"/>
        </w:rPr>
        <w:t xml:space="preserve"> AgR-RMSE: root mean square error of the aging repolarization scaling factor;</w:t>
      </w:r>
      <w:r w:rsidRPr="009239F8">
        <w:rPr>
          <w:rFonts w:cs="Times New Roman"/>
          <w:color w:val="auto"/>
          <w:lang w:val="en-US"/>
        </w:rPr>
        <w:t xml:space="preserve"> CV: conduction velocity; CV-RE: conduction velocity relative error; PMJ: Purkinje-myocardial junction; PMJ-DE: PMJ detection error; PMJ-AE: PMJ activation-time error; AT-RMSE: root mean square error of activation times; RT-RMSE: root mean square error of repolarization times; g</w:t>
      </w:r>
      <w:r w:rsidRPr="009239F8">
        <w:rPr>
          <w:rFonts w:cs="Times New Roman"/>
          <w:color w:val="auto"/>
          <w:vertAlign w:val="subscript"/>
          <w:lang w:val="en-US"/>
        </w:rPr>
        <w:t>Ks</w:t>
      </w:r>
      <w:r w:rsidRPr="009239F8">
        <w:rPr>
          <w:rFonts w:cs="Times New Roman"/>
          <w:color w:val="auto"/>
          <w:lang w:val="en-US"/>
        </w:rPr>
        <w:t>-RMSE: root mean square error of the slow delayed rectifier potassium current conductance scaling factor.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941"/>
      </w:tblGrid>
      <w:tr w:rsidR="004A5731" w:rsidRPr="009239F8" w14:paraId="1E3D8601" w14:textId="77777777" w:rsidTr="000B420A">
        <w:tc>
          <w:tcPr>
            <w:tcW w:w="1418" w:type="dxa"/>
            <w:tcBorders>
              <w:bottom w:val="single" w:sz="4" w:space="0" w:color="auto"/>
            </w:tcBorders>
          </w:tcPr>
          <w:p w14:paraId="18F738F0" w14:textId="77777777" w:rsidR="004A5731" w:rsidRPr="009239F8" w:rsidRDefault="004A5731" w:rsidP="009A5B48">
            <w:pPr>
              <w:spacing w:line="480" w:lineRule="auto"/>
              <w:jc w:val="both"/>
              <w:rPr>
                <w:rFonts w:ascii="Times New Roman" w:hAnsi="Times New Roman" w:cs="Times New Roman"/>
                <w:b/>
                <w:lang w:val="en-US"/>
              </w:rPr>
            </w:pPr>
            <w:r w:rsidRPr="009239F8">
              <w:rPr>
                <w:rFonts w:ascii="Times New Roman" w:hAnsi="Times New Roman" w:cs="Times New Roman"/>
                <w:b/>
                <w:lang w:val="en-US"/>
              </w:rPr>
              <w:t>Metric</w:t>
            </w:r>
          </w:p>
        </w:tc>
        <w:tc>
          <w:tcPr>
            <w:tcW w:w="6941" w:type="dxa"/>
            <w:tcBorders>
              <w:bottom w:val="single" w:sz="4" w:space="0" w:color="auto"/>
            </w:tcBorders>
          </w:tcPr>
          <w:p w14:paraId="5F5014DF" w14:textId="77777777" w:rsidR="004A5731" w:rsidRPr="009239F8" w:rsidRDefault="004A5731" w:rsidP="009A5B48">
            <w:pPr>
              <w:spacing w:line="480" w:lineRule="auto"/>
              <w:jc w:val="both"/>
              <w:rPr>
                <w:rFonts w:ascii="Times New Roman" w:hAnsi="Times New Roman" w:cs="Times New Roman"/>
                <w:b/>
                <w:lang w:val="en-US"/>
              </w:rPr>
            </w:pPr>
            <w:r w:rsidRPr="009239F8">
              <w:rPr>
                <w:rFonts w:ascii="Times New Roman" w:hAnsi="Times New Roman" w:cs="Times New Roman"/>
                <w:b/>
                <w:lang w:val="en-US"/>
              </w:rPr>
              <w:t>Definition</w:t>
            </w:r>
          </w:p>
        </w:tc>
      </w:tr>
      <w:tr w:rsidR="004A5731" w:rsidRPr="009239F8" w14:paraId="06A55028" w14:textId="77777777" w:rsidTr="000B420A">
        <w:tc>
          <w:tcPr>
            <w:tcW w:w="1418" w:type="dxa"/>
            <w:tcBorders>
              <w:top w:val="single" w:sz="4" w:space="0" w:color="auto"/>
            </w:tcBorders>
          </w:tcPr>
          <w:p w14:paraId="394AA9C8"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CV-RE</w:t>
            </w:r>
          </w:p>
        </w:tc>
        <w:tc>
          <w:tcPr>
            <w:tcW w:w="6941" w:type="dxa"/>
            <w:tcBorders>
              <w:top w:val="single" w:sz="4" w:space="0" w:color="auto"/>
            </w:tcBorders>
          </w:tcPr>
          <w:p w14:paraId="00603A32"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Relative error between median ground-truth and estimated apparent CV.</w:t>
            </w:r>
          </w:p>
        </w:tc>
      </w:tr>
      <w:tr w:rsidR="004A5731" w:rsidRPr="009239F8" w14:paraId="2D5B5CDB" w14:textId="77777777" w:rsidTr="000B420A">
        <w:tc>
          <w:tcPr>
            <w:tcW w:w="1418" w:type="dxa"/>
          </w:tcPr>
          <w:p w14:paraId="0F00C6A8"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PMJ-DE</w:t>
            </w:r>
          </w:p>
        </w:tc>
        <w:tc>
          <w:tcPr>
            <w:tcW w:w="6941" w:type="dxa"/>
          </w:tcPr>
          <w:p w14:paraId="2BD1DEC1"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Mean distance between each estimated PMJ and its nearest ground-truth PMJ.</w:t>
            </w:r>
          </w:p>
        </w:tc>
      </w:tr>
      <w:tr w:rsidR="004A5731" w:rsidRPr="009239F8" w14:paraId="36D7D682" w14:textId="77777777" w:rsidTr="000B420A">
        <w:tc>
          <w:tcPr>
            <w:tcW w:w="1418" w:type="dxa"/>
          </w:tcPr>
          <w:p w14:paraId="25060B60"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PMJ-AE</w:t>
            </w:r>
          </w:p>
        </w:tc>
        <w:tc>
          <w:tcPr>
            <w:tcW w:w="6941" w:type="dxa"/>
          </w:tcPr>
          <w:p w14:paraId="73EF1A7B"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Mean absolute activation-time error between estimated and ground-truth PMJs.</w:t>
            </w:r>
          </w:p>
        </w:tc>
      </w:tr>
      <w:tr w:rsidR="004A5731" w:rsidRPr="009239F8" w14:paraId="2BCF32CA" w14:textId="77777777" w:rsidTr="000B420A">
        <w:tc>
          <w:tcPr>
            <w:tcW w:w="1418" w:type="dxa"/>
          </w:tcPr>
          <w:p w14:paraId="114D182A"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AT-RMSE</w:t>
            </w:r>
          </w:p>
        </w:tc>
        <w:tc>
          <w:tcPr>
            <w:tcW w:w="6941" w:type="dxa"/>
          </w:tcPr>
          <w:p w14:paraId="55A4BC0D"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Root mean square error of activation times. Used for epicardial and endocardial maps.</w:t>
            </w:r>
          </w:p>
        </w:tc>
      </w:tr>
      <w:tr w:rsidR="004A5731" w:rsidRPr="009239F8" w14:paraId="7D6EDD61" w14:textId="77777777" w:rsidTr="000B420A">
        <w:tc>
          <w:tcPr>
            <w:tcW w:w="1418" w:type="dxa"/>
          </w:tcPr>
          <w:p w14:paraId="46DC30B8"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RT-RMSE</w:t>
            </w:r>
          </w:p>
        </w:tc>
        <w:tc>
          <w:tcPr>
            <w:tcW w:w="6941" w:type="dxa"/>
          </w:tcPr>
          <w:p w14:paraId="0845EBAC"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Root mean square error of repolarization times.</w:t>
            </w:r>
          </w:p>
        </w:tc>
      </w:tr>
      <w:tr w:rsidR="004A5731" w:rsidRPr="009239F8" w14:paraId="0033043E" w14:textId="77777777" w:rsidTr="000B420A">
        <w:tc>
          <w:tcPr>
            <w:tcW w:w="1418" w:type="dxa"/>
          </w:tcPr>
          <w:p w14:paraId="212FBF69"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g</w:t>
            </w:r>
            <w:r w:rsidRPr="009239F8">
              <w:rPr>
                <w:rFonts w:ascii="Times New Roman" w:hAnsi="Times New Roman" w:cs="Times New Roman"/>
                <w:bCs/>
                <w:vertAlign w:val="subscript"/>
                <w:lang w:val="en-US"/>
              </w:rPr>
              <w:t>Ks</w:t>
            </w:r>
            <w:r w:rsidRPr="009239F8">
              <w:rPr>
                <w:rFonts w:ascii="Times New Roman" w:hAnsi="Times New Roman" w:cs="Times New Roman"/>
                <w:bCs/>
                <w:lang w:val="en-US"/>
              </w:rPr>
              <w:t>-RMSE</w:t>
            </w:r>
          </w:p>
        </w:tc>
        <w:tc>
          <w:tcPr>
            <w:tcW w:w="6941" w:type="dxa"/>
          </w:tcPr>
          <w:p w14:paraId="3FCEEBA6" w14:textId="77777777"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Root mean square error of g</w:t>
            </w:r>
            <w:r w:rsidRPr="009239F8">
              <w:rPr>
                <w:rFonts w:ascii="Times New Roman" w:hAnsi="Times New Roman" w:cs="Times New Roman"/>
                <w:bCs/>
                <w:vertAlign w:val="subscript"/>
                <w:lang w:val="en-US"/>
              </w:rPr>
              <w:t>Ks</w:t>
            </w:r>
            <w:r w:rsidRPr="009239F8">
              <w:rPr>
                <w:rFonts w:ascii="Times New Roman" w:hAnsi="Times New Roman" w:cs="Times New Roman"/>
                <w:bCs/>
                <w:lang w:val="en-US"/>
              </w:rPr>
              <w:t xml:space="preserve"> scaling factors.</w:t>
            </w:r>
          </w:p>
        </w:tc>
      </w:tr>
      <w:tr w:rsidR="004A5731" w:rsidRPr="009239F8" w14:paraId="20254724" w14:textId="77777777" w:rsidTr="000B420A">
        <w:tc>
          <w:tcPr>
            <w:tcW w:w="1418" w:type="dxa"/>
            <w:tcBorders>
              <w:bottom w:val="single" w:sz="4" w:space="0" w:color="auto"/>
            </w:tcBorders>
          </w:tcPr>
          <w:p w14:paraId="40367632" w14:textId="48E3A37E" w:rsidR="004A5731" w:rsidRPr="009239F8" w:rsidRDefault="000B420A"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AgR</w:t>
            </w:r>
            <w:r w:rsidR="004A5731" w:rsidRPr="009239F8">
              <w:rPr>
                <w:rFonts w:ascii="Times New Roman" w:hAnsi="Times New Roman" w:cs="Times New Roman"/>
                <w:bCs/>
                <w:lang w:val="en-US"/>
              </w:rPr>
              <w:t>-RMSE</w:t>
            </w:r>
          </w:p>
        </w:tc>
        <w:tc>
          <w:tcPr>
            <w:tcW w:w="6941" w:type="dxa"/>
            <w:tcBorders>
              <w:bottom w:val="single" w:sz="4" w:space="0" w:color="auto"/>
            </w:tcBorders>
          </w:tcPr>
          <w:p w14:paraId="0461346F" w14:textId="66C918C3" w:rsidR="004A5731" w:rsidRPr="009239F8" w:rsidRDefault="004A5731" w:rsidP="009A5B48">
            <w:pPr>
              <w:spacing w:line="480" w:lineRule="auto"/>
              <w:jc w:val="both"/>
              <w:rPr>
                <w:rFonts w:ascii="Times New Roman" w:hAnsi="Times New Roman" w:cs="Times New Roman"/>
                <w:bCs/>
                <w:lang w:val="en-US"/>
              </w:rPr>
            </w:pPr>
            <w:r w:rsidRPr="009239F8">
              <w:rPr>
                <w:rFonts w:ascii="Times New Roman" w:hAnsi="Times New Roman" w:cs="Times New Roman"/>
                <w:bCs/>
                <w:lang w:val="en-US"/>
              </w:rPr>
              <w:t xml:space="preserve">Root mean square error of </w:t>
            </w:r>
            <w:r w:rsidR="000B420A" w:rsidRPr="009239F8">
              <w:rPr>
                <w:rFonts w:ascii="Times New Roman" w:hAnsi="Times New Roman" w:cs="Times New Roman"/>
                <w:bCs/>
                <w:lang w:val="en-US"/>
              </w:rPr>
              <w:t>aging repolarization (AgR)</w:t>
            </w:r>
            <w:r w:rsidRPr="009239F8">
              <w:rPr>
                <w:rFonts w:ascii="Times New Roman" w:hAnsi="Times New Roman" w:cs="Times New Roman"/>
                <w:bCs/>
                <w:lang w:val="en-US"/>
              </w:rPr>
              <w:t xml:space="preserve"> scaling factors.</w:t>
            </w:r>
          </w:p>
        </w:tc>
      </w:tr>
    </w:tbl>
    <w:p w14:paraId="02A63587" w14:textId="77777777" w:rsidR="009F12AD" w:rsidRPr="009239F8" w:rsidRDefault="009F12AD" w:rsidP="009A5B48">
      <w:pPr>
        <w:spacing w:line="480" w:lineRule="auto"/>
        <w:rPr>
          <w:rFonts w:ascii="Times New Roman" w:hAnsi="Times New Roman" w:cs="Times New Roman"/>
          <w:lang w:val="en-US"/>
        </w:rPr>
      </w:pPr>
    </w:p>
    <w:p w14:paraId="6632D4B1" w14:textId="20E2C1A1" w:rsidR="00735C49" w:rsidRPr="009239F8" w:rsidRDefault="00735C49" w:rsidP="009A5B48">
      <w:pPr>
        <w:pStyle w:val="Heading1"/>
        <w:spacing w:line="480" w:lineRule="auto"/>
        <w:rPr>
          <w:rFonts w:ascii="Times New Roman" w:hAnsi="Times New Roman" w:cs="Times New Roman"/>
          <w:color w:val="auto"/>
        </w:rPr>
      </w:pPr>
      <w:r w:rsidRPr="009239F8">
        <w:rPr>
          <w:rFonts w:ascii="Times New Roman" w:hAnsi="Times New Roman" w:cs="Times New Roman"/>
          <w:color w:val="auto"/>
        </w:rPr>
        <w:t>References</w:t>
      </w:r>
    </w:p>
    <w:p w14:paraId="6E91FA8B" w14:textId="5BE9F269" w:rsidR="009F5B45" w:rsidRPr="00A343B2" w:rsidRDefault="009F5B45" w:rsidP="009A5B48">
      <w:pPr>
        <w:pStyle w:val="Bibliography"/>
        <w:rPr>
          <w:rFonts w:ascii="Times New Roman" w:hAnsi="Times New Roman" w:cs="Times New Roman"/>
        </w:rPr>
      </w:pPr>
      <w:r w:rsidRPr="009239F8">
        <w:t>1.</w:t>
      </w:r>
      <w:r w:rsidRPr="009239F8">
        <w:tab/>
      </w:r>
      <w:r w:rsidRPr="00A343B2">
        <w:rPr>
          <w:rFonts w:ascii="Times New Roman" w:hAnsi="Times New Roman" w:cs="Times New Roman"/>
        </w:rPr>
        <w:t xml:space="preserve">Barnette, A. R. </w:t>
      </w:r>
      <w:r w:rsidRPr="00A343B2">
        <w:rPr>
          <w:rFonts w:ascii="Times New Roman" w:hAnsi="Times New Roman" w:cs="Times New Roman"/>
          <w:i/>
          <w:iCs/>
        </w:rPr>
        <w:t>et al.</w:t>
      </w:r>
      <w:r w:rsidRPr="00A343B2">
        <w:rPr>
          <w:rFonts w:ascii="Times New Roman" w:hAnsi="Times New Roman" w:cs="Times New Roman"/>
        </w:rPr>
        <w:t xml:space="preserve"> Estimation of 3-D conduction velocity vector fields from cardiac mapping data. </w:t>
      </w:r>
      <w:r w:rsidRPr="00A343B2">
        <w:rPr>
          <w:rFonts w:ascii="Times New Roman" w:hAnsi="Times New Roman" w:cs="Times New Roman"/>
          <w:i/>
          <w:iCs/>
        </w:rPr>
        <w:t>IEEE Trans. Biomed. Eng.</w:t>
      </w:r>
      <w:r w:rsidRPr="00A343B2">
        <w:rPr>
          <w:rFonts w:ascii="Times New Roman" w:hAnsi="Times New Roman" w:cs="Times New Roman"/>
        </w:rPr>
        <w:t xml:space="preserve"> </w:t>
      </w:r>
      <w:r w:rsidRPr="00A343B2">
        <w:rPr>
          <w:rFonts w:ascii="Times New Roman" w:hAnsi="Times New Roman" w:cs="Times New Roman"/>
          <w:b/>
          <w:bCs/>
        </w:rPr>
        <w:t>47</w:t>
      </w:r>
      <w:r w:rsidRPr="00A343B2">
        <w:rPr>
          <w:rFonts w:ascii="Times New Roman" w:hAnsi="Times New Roman" w:cs="Times New Roman"/>
        </w:rPr>
        <w:t>, 1027–1035 (2000).</w:t>
      </w:r>
    </w:p>
    <w:p w14:paraId="714595FD"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2.</w:t>
      </w:r>
      <w:r w:rsidRPr="00A343B2">
        <w:rPr>
          <w:rFonts w:ascii="Times New Roman" w:hAnsi="Times New Roman" w:cs="Times New Roman"/>
        </w:rPr>
        <w:tab/>
        <w:t xml:space="preserve">Vázquez, M. </w:t>
      </w:r>
      <w:r w:rsidRPr="00A343B2">
        <w:rPr>
          <w:rFonts w:ascii="Times New Roman" w:hAnsi="Times New Roman" w:cs="Times New Roman"/>
          <w:i/>
          <w:iCs/>
        </w:rPr>
        <w:t>et al.</w:t>
      </w:r>
      <w:r w:rsidRPr="00A343B2">
        <w:rPr>
          <w:rFonts w:ascii="Times New Roman" w:hAnsi="Times New Roman" w:cs="Times New Roman"/>
        </w:rPr>
        <w:t xml:space="preserve"> A massively parallel computational electrophysiology model of the heart. </w:t>
      </w:r>
      <w:r w:rsidRPr="00A343B2">
        <w:rPr>
          <w:rFonts w:ascii="Times New Roman" w:hAnsi="Times New Roman" w:cs="Times New Roman"/>
          <w:i/>
          <w:iCs/>
        </w:rPr>
        <w:t>Int. J. Numer. Methods Biomed. Eng.</w:t>
      </w:r>
      <w:r w:rsidRPr="00A343B2">
        <w:rPr>
          <w:rFonts w:ascii="Times New Roman" w:hAnsi="Times New Roman" w:cs="Times New Roman"/>
        </w:rPr>
        <w:t xml:space="preserve"> </w:t>
      </w:r>
      <w:r w:rsidRPr="00A343B2">
        <w:rPr>
          <w:rFonts w:ascii="Times New Roman" w:hAnsi="Times New Roman" w:cs="Times New Roman"/>
          <w:b/>
          <w:bCs/>
        </w:rPr>
        <w:t>27</w:t>
      </w:r>
      <w:r w:rsidRPr="00A343B2">
        <w:rPr>
          <w:rFonts w:ascii="Times New Roman" w:hAnsi="Times New Roman" w:cs="Times New Roman"/>
        </w:rPr>
        <w:t>, 1911–1929 (2011).</w:t>
      </w:r>
    </w:p>
    <w:p w14:paraId="1597EF8B"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3.</w:t>
      </w:r>
      <w:r w:rsidRPr="00A343B2">
        <w:rPr>
          <w:rFonts w:ascii="Times New Roman" w:hAnsi="Times New Roman" w:cs="Times New Roman"/>
        </w:rPr>
        <w:tab/>
        <w:t xml:space="preserve">Niederer, S. A. </w:t>
      </w:r>
      <w:r w:rsidRPr="00A343B2">
        <w:rPr>
          <w:rFonts w:ascii="Times New Roman" w:hAnsi="Times New Roman" w:cs="Times New Roman"/>
          <w:i/>
          <w:iCs/>
        </w:rPr>
        <w:t>et al.</w:t>
      </w:r>
      <w:r w:rsidRPr="00A343B2">
        <w:rPr>
          <w:rFonts w:ascii="Times New Roman" w:hAnsi="Times New Roman" w:cs="Times New Roman"/>
        </w:rPr>
        <w:t xml:space="preserve"> Verification of cardiac tissue electrophysiology simulators using an N-version benchmark. </w:t>
      </w:r>
      <w:r w:rsidRPr="00A343B2">
        <w:rPr>
          <w:rFonts w:ascii="Times New Roman" w:hAnsi="Times New Roman" w:cs="Times New Roman"/>
          <w:i/>
          <w:iCs/>
        </w:rPr>
        <w:t>Philos. Trans. R. Soc. Math. Phys. Eng. Sci.</w:t>
      </w:r>
      <w:r w:rsidRPr="00A343B2">
        <w:rPr>
          <w:rFonts w:ascii="Times New Roman" w:hAnsi="Times New Roman" w:cs="Times New Roman"/>
        </w:rPr>
        <w:t xml:space="preserve"> </w:t>
      </w:r>
      <w:r w:rsidRPr="00A343B2">
        <w:rPr>
          <w:rFonts w:ascii="Times New Roman" w:hAnsi="Times New Roman" w:cs="Times New Roman"/>
          <w:b/>
          <w:bCs/>
        </w:rPr>
        <w:t>369</w:t>
      </w:r>
      <w:r w:rsidRPr="00A343B2">
        <w:rPr>
          <w:rFonts w:ascii="Times New Roman" w:hAnsi="Times New Roman" w:cs="Times New Roman"/>
        </w:rPr>
        <w:t>, 4331–4351 (2011).</w:t>
      </w:r>
    </w:p>
    <w:p w14:paraId="00CD58E1"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4.</w:t>
      </w:r>
      <w:r w:rsidRPr="00A343B2">
        <w:rPr>
          <w:rFonts w:ascii="Times New Roman" w:hAnsi="Times New Roman" w:cs="Times New Roman"/>
        </w:rPr>
        <w:tab/>
        <w:t xml:space="preserve">O’Hara, T., Virág, L., Varró, A. &amp; Rudy, Y. Simulation of the Undiseased Human Cardiac Ventricular Action Potential: Model Formulation and Experimental Validation. </w:t>
      </w:r>
      <w:r w:rsidRPr="00A343B2">
        <w:rPr>
          <w:rFonts w:ascii="Times New Roman" w:hAnsi="Times New Roman" w:cs="Times New Roman"/>
          <w:i/>
          <w:iCs/>
        </w:rPr>
        <w:t>PLOS Comput. Biol.</w:t>
      </w:r>
      <w:r w:rsidRPr="00A343B2">
        <w:rPr>
          <w:rFonts w:ascii="Times New Roman" w:hAnsi="Times New Roman" w:cs="Times New Roman"/>
        </w:rPr>
        <w:t xml:space="preserve"> </w:t>
      </w:r>
      <w:r w:rsidRPr="00A343B2">
        <w:rPr>
          <w:rFonts w:ascii="Times New Roman" w:hAnsi="Times New Roman" w:cs="Times New Roman"/>
          <w:b/>
          <w:bCs/>
        </w:rPr>
        <w:t>7</w:t>
      </w:r>
      <w:r w:rsidRPr="00A343B2">
        <w:rPr>
          <w:rFonts w:ascii="Times New Roman" w:hAnsi="Times New Roman" w:cs="Times New Roman"/>
        </w:rPr>
        <w:t>, e1002061 (2011).</w:t>
      </w:r>
    </w:p>
    <w:p w14:paraId="60D757C0"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5.</w:t>
      </w:r>
      <w:r w:rsidRPr="00A343B2">
        <w:rPr>
          <w:rFonts w:ascii="Times New Roman" w:hAnsi="Times New Roman" w:cs="Times New Roman"/>
        </w:rPr>
        <w:tab/>
        <w:t xml:space="preserve">Gaborit, N. </w:t>
      </w:r>
      <w:r w:rsidRPr="00A343B2">
        <w:rPr>
          <w:rFonts w:ascii="Times New Roman" w:hAnsi="Times New Roman" w:cs="Times New Roman"/>
          <w:i/>
          <w:iCs/>
        </w:rPr>
        <w:t>et al.</w:t>
      </w:r>
      <w:r w:rsidRPr="00A343B2">
        <w:rPr>
          <w:rFonts w:ascii="Times New Roman" w:hAnsi="Times New Roman" w:cs="Times New Roman"/>
        </w:rPr>
        <w:t xml:space="preserve"> Gender-related differences in ion-channel and transporter subunit expression in non-diseased human hearts. </w:t>
      </w:r>
      <w:r w:rsidRPr="00A343B2">
        <w:rPr>
          <w:rFonts w:ascii="Times New Roman" w:hAnsi="Times New Roman" w:cs="Times New Roman"/>
          <w:i/>
          <w:iCs/>
        </w:rPr>
        <w:t>J. Mol. Cell. Cardiol.</w:t>
      </w:r>
      <w:r w:rsidRPr="00A343B2">
        <w:rPr>
          <w:rFonts w:ascii="Times New Roman" w:hAnsi="Times New Roman" w:cs="Times New Roman"/>
        </w:rPr>
        <w:t xml:space="preserve"> </w:t>
      </w:r>
      <w:r w:rsidRPr="00A343B2">
        <w:rPr>
          <w:rFonts w:ascii="Times New Roman" w:hAnsi="Times New Roman" w:cs="Times New Roman"/>
          <w:b/>
          <w:bCs/>
        </w:rPr>
        <w:t>49</w:t>
      </w:r>
      <w:r w:rsidRPr="00A343B2">
        <w:rPr>
          <w:rFonts w:ascii="Times New Roman" w:hAnsi="Times New Roman" w:cs="Times New Roman"/>
        </w:rPr>
        <w:t>, 639–646 (2010).</w:t>
      </w:r>
    </w:p>
    <w:p w14:paraId="404E3A71"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6.</w:t>
      </w:r>
      <w:r w:rsidRPr="00A343B2">
        <w:rPr>
          <w:rFonts w:ascii="Times New Roman" w:hAnsi="Times New Roman" w:cs="Times New Roman"/>
        </w:rPr>
        <w:tab/>
        <w:t xml:space="preserve">Ambrosi, C. M., Yamada, K. A., Nerbonne, J. M. &amp; Efimov, I. R. Gender Differences in Electrophysiological Gene Expression in Failing and Non-Failing Human Hearts. </w:t>
      </w:r>
      <w:r w:rsidRPr="00A343B2">
        <w:rPr>
          <w:rFonts w:ascii="Times New Roman" w:hAnsi="Times New Roman" w:cs="Times New Roman"/>
          <w:i/>
          <w:iCs/>
        </w:rPr>
        <w:t>PLOS ONE</w:t>
      </w:r>
      <w:r w:rsidRPr="00A343B2">
        <w:rPr>
          <w:rFonts w:ascii="Times New Roman" w:hAnsi="Times New Roman" w:cs="Times New Roman"/>
        </w:rPr>
        <w:t xml:space="preserve"> </w:t>
      </w:r>
      <w:r w:rsidRPr="00A343B2">
        <w:rPr>
          <w:rFonts w:ascii="Times New Roman" w:hAnsi="Times New Roman" w:cs="Times New Roman"/>
          <w:b/>
          <w:bCs/>
        </w:rPr>
        <w:t>8</w:t>
      </w:r>
      <w:r w:rsidRPr="00A343B2">
        <w:rPr>
          <w:rFonts w:ascii="Times New Roman" w:hAnsi="Times New Roman" w:cs="Times New Roman"/>
        </w:rPr>
        <w:t>, e54635 (2013).</w:t>
      </w:r>
    </w:p>
    <w:p w14:paraId="1424D041"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7.</w:t>
      </w:r>
      <w:r w:rsidRPr="00A343B2">
        <w:rPr>
          <w:rFonts w:ascii="Times New Roman" w:hAnsi="Times New Roman" w:cs="Times New Roman"/>
        </w:rPr>
        <w:tab/>
        <w:t xml:space="preserve">Cicci, L. </w:t>
      </w:r>
      <w:r w:rsidRPr="00A343B2">
        <w:rPr>
          <w:rFonts w:ascii="Times New Roman" w:hAnsi="Times New Roman" w:cs="Times New Roman"/>
          <w:i/>
          <w:iCs/>
        </w:rPr>
        <w:t>et al.</w:t>
      </w:r>
      <w:r w:rsidRPr="00A343B2">
        <w:rPr>
          <w:rFonts w:ascii="Times New Roman" w:hAnsi="Times New Roman" w:cs="Times New Roman"/>
        </w:rPr>
        <w:t xml:space="preserve"> Personalising cardiac electrophysiology models from CT and ECG for 3D activation imaging and tissue characterisation. Preprint at https://doi.org/10.21203/rs.3.rs-8873590/v1 (2026).</w:t>
      </w:r>
    </w:p>
    <w:p w14:paraId="635600DD"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8.</w:t>
      </w:r>
      <w:r w:rsidRPr="00A343B2">
        <w:rPr>
          <w:rFonts w:ascii="Times New Roman" w:hAnsi="Times New Roman" w:cs="Times New Roman"/>
        </w:rPr>
        <w:tab/>
        <w:t xml:space="preserve">Mirza, M., Strunets, A., Shen, W.-K. &amp; Jahangir, A. Mechanisms of Arrhythmias and Conduction Disorders in Older Adults. </w:t>
      </w:r>
      <w:r w:rsidRPr="00A343B2">
        <w:rPr>
          <w:rFonts w:ascii="Times New Roman" w:hAnsi="Times New Roman" w:cs="Times New Roman"/>
          <w:i/>
          <w:iCs/>
        </w:rPr>
        <w:t>Clin. Geriatr. Med.</w:t>
      </w:r>
      <w:r w:rsidRPr="00A343B2">
        <w:rPr>
          <w:rFonts w:ascii="Times New Roman" w:hAnsi="Times New Roman" w:cs="Times New Roman"/>
        </w:rPr>
        <w:t xml:space="preserve"> </w:t>
      </w:r>
      <w:r w:rsidRPr="00A343B2">
        <w:rPr>
          <w:rFonts w:ascii="Times New Roman" w:hAnsi="Times New Roman" w:cs="Times New Roman"/>
          <w:b/>
          <w:bCs/>
        </w:rPr>
        <w:t>28</w:t>
      </w:r>
      <w:r w:rsidRPr="00A343B2">
        <w:rPr>
          <w:rFonts w:ascii="Times New Roman" w:hAnsi="Times New Roman" w:cs="Times New Roman"/>
        </w:rPr>
        <w:t>, 555–573 (2012).</w:t>
      </w:r>
    </w:p>
    <w:p w14:paraId="756C016A"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9.</w:t>
      </w:r>
      <w:r w:rsidRPr="00A343B2">
        <w:rPr>
          <w:rFonts w:ascii="Times New Roman" w:hAnsi="Times New Roman" w:cs="Times New Roman"/>
        </w:rPr>
        <w:tab/>
        <w:t xml:space="preserve">Lazzarini, E. </w:t>
      </w:r>
      <w:r w:rsidRPr="00A343B2">
        <w:rPr>
          <w:rFonts w:ascii="Times New Roman" w:hAnsi="Times New Roman" w:cs="Times New Roman"/>
          <w:i/>
          <w:iCs/>
        </w:rPr>
        <w:t>et al.</w:t>
      </w:r>
      <w:r w:rsidRPr="00A343B2">
        <w:rPr>
          <w:rFonts w:ascii="Times New Roman" w:hAnsi="Times New Roman" w:cs="Times New Roman"/>
        </w:rPr>
        <w:t xml:space="preserve"> Stress-induced premature senescence is associated with a prolonged QT interval and recapitulates features of cardiac aging. </w:t>
      </w:r>
      <w:r w:rsidRPr="00A343B2">
        <w:rPr>
          <w:rFonts w:ascii="Times New Roman" w:hAnsi="Times New Roman" w:cs="Times New Roman"/>
          <w:i/>
          <w:iCs/>
        </w:rPr>
        <w:t>Theranostics</w:t>
      </w:r>
      <w:r w:rsidRPr="00A343B2">
        <w:rPr>
          <w:rFonts w:ascii="Times New Roman" w:hAnsi="Times New Roman" w:cs="Times New Roman"/>
        </w:rPr>
        <w:t xml:space="preserve"> </w:t>
      </w:r>
      <w:r w:rsidRPr="00A343B2">
        <w:rPr>
          <w:rFonts w:ascii="Times New Roman" w:hAnsi="Times New Roman" w:cs="Times New Roman"/>
          <w:b/>
          <w:bCs/>
        </w:rPr>
        <w:t>12</w:t>
      </w:r>
      <w:r w:rsidRPr="00A343B2">
        <w:rPr>
          <w:rFonts w:ascii="Times New Roman" w:hAnsi="Times New Roman" w:cs="Times New Roman"/>
        </w:rPr>
        <w:t>, 5237–5257 (2022).</w:t>
      </w:r>
    </w:p>
    <w:p w14:paraId="4B7F2543"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10.</w:t>
      </w:r>
      <w:r w:rsidRPr="00A343B2">
        <w:rPr>
          <w:rFonts w:ascii="Times New Roman" w:hAnsi="Times New Roman" w:cs="Times New Roman"/>
        </w:rPr>
        <w:tab/>
        <w:t xml:space="preserve">Pham, T. V. &amp; Rosen, M. R. Sex, hormones, and repolarization. </w:t>
      </w:r>
      <w:r w:rsidRPr="00A343B2">
        <w:rPr>
          <w:rFonts w:ascii="Times New Roman" w:hAnsi="Times New Roman" w:cs="Times New Roman"/>
          <w:i/>
          <w:iCs/>
        </w:rPr>
        <w:t>Cardiovasc. Res.</w:t>
      </w:r>
      <w:r w:rsidRPr="00A343B2">
        <w:rPr>
          <w:rFonts w:ascii="Times New Roman" w:hAnsi="Times New Roman" w:cs="Times New Roman"/>
        </w:rPr>
        <w:t xml:space="preserve"> </w:t>
      </w:r>
      <w:r w:rsidRPr="00A343B2">
        <w:rPr>
          <w:rFonts w:ascii="Times New Roman" w:hAnsi="Times New Roman" w:cs="Times New Roman"/>
          <w:b/>
          <w:bCs/>
        </w:rPr>
        <w:t>53</w:t>
      </w:r>
      <w:r w:rsidRPr="00A343B2">
        <w:rPr>
          <w:rFonts w:ascii="Times New Roman" w:hAnsi="Times New Roman" w:cs="Times New Roman"/>
        </w:rPr>
        <w:t>, 740–751 (2002).</w:t>
      </w:r>
    </w:p>
    <w:p w14:paraId="67C54897"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11.</w:t>
      </w:r>
      <w:r w:rsidRPr="00A343B2">
        <w:rPr>
          <w:rFonts w:ascii="Times New Roman" w:hAnsi="Times New Roman" w:cs="Times New Roman"/>
        </w:rPr>
        <w:tab/>
        <w:t xml:space="preserve">Altomare, C. </w:t>
      </w:r>
      <w:r w:rsidRPr="00A343B2">
        <w:rPr>
          <w:rFonts w:ascii="Times New Roman" w:hAnsi="Times New Roman" w:cs="Times New Roman"/>
          <w:i/>
          <w:iCs/>
        </w:rPr>
        <w:t>et al.</w:t>
      </w:r>
      <w:r w:rsidRPr="00A343B2">
        <w:rPr>
          <w:rFonts w:ascii="Times New Roman" w:hAnsi="Times New Roman" w:cs="Times New Roman"/>
        </w:rPr>
        <w:t xml:space="preserve"> IKr Impact on Repolarization and Its Variability Assessed by Dynamic Clamp. </w:t>
      </w:r>
      <w:r w:rsidRPr="00A343B2">
        <w:rPr>
          <w:rFonts w:ascii="Times New Roman" w:hAnsi="Times New Roman" w:cs="Times New Roman"/>
          <w:i/>
          <w:iCs/>
        </w:rPr>
        <w:t>Circ. Arrhythm. Electrophysiol.</w:t>
      </w:r>
      <w:r w:rsidRPr="00A343B2">
        <w:rPr>
          <w:rFonts w:ascii="Times New Roman" w:hAnsi="Times New Roman" w:cs="Times New Roman"/>
        </w:rPr>
        <w:t xml:space="preserve"> </w:t>
      </w:r>
      <w:r w:rsidRPr="00A343B2">
        <w:rPr>
          <w:rFonts w:ascii="Times New Roman" w:hAnsi="Times New Roman" w:cs="Times New Roman"/>
          <w:b/>
          <w:bCs/>
        </w:rPr>
        <w:t>8</w:t>
      </w:r>
      <w:r w:rsidRPr="00A343B2">
        <w:rPr>
          <w:rFonts w:ascii="Times New Roman" w:hAnsi="Times New Roman" w:cs="Times New Roman"/>
        </w:rPr>
        <w:t>, 1265–1275 (2015).</w:t>
      </w:r>
    </w:p>
    <w:p w14:paraId="167EAD1D"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12.</w:t>
      </w:r>
      <w:r w:rsidRPr="00A343B2">
        <w:rPr>
          <w:rFonts w:ascii="Times New Roman" w:hAnsi="Times New Roman" w:cs="Times New Roman"/>
        </w:rPr>
        <w:tab/>
        <w:t xml:space="preserve">Durrer, D. </w:t>
      </w:r>
      <w:r w:rsidRPr="00A343B2">
        <w:rPr>
          <w:rFonts w:ascii="Times New Roman" w:hAnsi="Times New Roman" w:cs="Times New Roman"/>
          <w:i/>
          <w:iCs/>
        </w:rPr>
        <w:t>et al.</w:t>
      </w:r>
      <w:r w:rsidRPr="00A343B2">
        <w:rPr>
          <w:rFonts w:ascii="Times New Roman" w:hAnsi="Times New Roman" w:cs="Times New Roman"/>
        </w:rPr>
        <w:t xml:space="preserve"> Total Excitation of the Isolated Human Heart. </w:t>
      </w:r>
      <w:r w:rsidRPr="00A343B2">
        <w:rPr>
          <w:rFonts w:ascii="Times New Roman" w:hAnsi="Times New Roman" w:cs="Times New Roman"/>
          <w:i/>
          <w:iCs/>
        </w:rPr>
        <w:t>Circulation</w:t>
      </w:r>
      <w:r w:rsidRPr="00A343B2">
        <w:rPr>
          <w:rFonts w:ascii="Times New Roman" w:hAnsi="Times New Roman" w:cs="Times New Roman"/>
        </w:rPr>
        <w:t xml:space="preserve"> </w:t>
      </w:r>
      <w:r w:rsidRPr="00A343B2">
        <w:rPr>
          <w:rFonts w:ascii="Times New Roman" w:hAnsi="Times New Roman" w:cs="Times New Roman"/>
          <w:b/>
          <w:bCs/>
        </w:rPr>
        <w:t>41</w:t>
      </w:r>
      <w:r w:rsidRPr="00A343B2">
        <w:rPr>
          <w:rFonts w:ascii="Times New Roman" w:hAnsi="Times New Roman" w:cs="Times New Roman"/>
        </w:rPr>
        <w:t>, 899–912 (1970).</w:t>
      </w:r>
    </w:p>
    <w:p w14:paraId="14C3E65D" w14:textId="77777777" w:rsidR="009F5B45" w:rsidRPr="00A343B2" w:rsidRDefault="009F5B45" w:rsidP="009A5B48">
      <w:pPr>
        <w:pStyle w:val="Bibliography"/>
        <w:rPr>
          <w:rFonts w:ascii="Times New Roman" w:hAnsi="Times New Roman" w:cs="Times New Roman"/>
        </w:rPr>
      </w:pPr>
      <w:r w:rsidRPr="00A343B2">
        <w:rPr>
          <w:rFonts w:ascii="Times New Roman" w:hAnsi="Times New Roman" w:cs="Times New Roman"/>
        </w:rPr>
        <w:t>13.</w:t>
      </w:r>
      <w:r w:rsidRPr="00A343B2">
        <w:rPr>
          <w:rFonts w:ascii="Times New Roman" w:hAnsi="Times New Roman" w:cs="Times New Roman"/>
        </w:rPr>
        <w:tab/>
        <w:t xml:space="preserve">Gonzalez-Martin, P. </w:t>
      </w:r>
      <w:r w:rsidRPr="00A343B2">
        <w:rPr>
          <w:rFonts w:ascii="Times New Roman" w:hAnsi="Times New Roman" w:cs="Times New Roman"/>
          <w:i/>
          <w:iCs/>
        </w:rPr>
        <w:t>et al.</w:t>
      </w:r>
      <w:r w:rsidRPr="00A343B2">
        <w:rPr>
          <w:rFonts w:ascii="Times New Roman" w:hAnsi="Times New Roman" w:cs="Times New Roman"/>
        </w:rPr>
        <w:t xml:space="preserve"> Electromechanical evaluation of conduction system pacing techniques in a patient-specific virtual cohort: an in silico clinical trial. https://www.authorea.com/users/1023656/articles/1383560-electromechanical-evaluation-of-conduction-system-pacing-techniques-in-a-patient-specific-virtual-cohort-an-in-silico-clinical-trial (2026).</w:t>
      </w:r>
    </w:p>
    <w:p w14:paraId="148EF5A9" w14:textId="4F15CFA4" w:rsidR="00F456A7" w:rsidRPr="00A343B2" w:rsidRDefault="009F5B45" w:rsidP="009A5B48">
      <w:pPr>
        <w:pStyle w:val="Bibliography"/>
        <w:rPr>
          <w:rFonts w:ascii="Times New Roman" w:hAnsi="Times New Roman" w:cs="Times New Roman"/>
        </w:rPr>
      </w:pPr>
      <w:r w:rsidRPr="00A343B2">
        <w:rPr>
          <w:rFonts w:ascii="Times New Roman" w:hAnsi="Times New Roman" w:cs="Times New Roman"/>
        </w:rPr>
        <w:t>14.</w:t>
      </w:r>
      <w:r w:rsidRPr="00A343B2">
        <w:rPr>
          <w:rFonts w:ascii="Times New Roman" w:hAnsi="Times New Roman" w:cs="Times New Roman"/>
        </w:rPr>
        <w:tab/>
        <w:t xml:space="preserve">Szentadrassy, N. </w:t>
      </w:r>
      <w:r w:rsidRPr="00A343B2">
        <w:rPr>
          <w:rFonts w:ascii="Times New Roman" w:hAnsi="Times New Roman" w:cs="Times New Roman"/>
          <w:i/>
          <w:iCs/>
        </w:rPr>
        <w:t>et al.</w:t>
      </w:r>
      <w:r w:rsidRPr="00A343B2">
        <w:rPr>
          <w:rFonts w:ascii="Times New Roman" w:hAnsi="Times New Roman" w:cs="Times New Roman"/>
        </w:rPr>
        <w:t xml:space="preserve"> Apico–basal inhomogeneity in distribution of ion channels in canine and human ventricular myocardium. </w:t>
      </w:r>
      <w:r w:rsidRPr="00A343B2">
        <w:rPr>
          <w:rFonts w:ascii="Times New Roman" w:hAnsi="Times New Roman" w:cs="Times New Roman"/>
          <w:i/>
          <w:iCs/>
        </w:rPr>
        <w:t>Cardiovasc. Res.</w:t>
      </w:r>
      <w:r w:rsidRPr="00A343B2">
        <w:rPr>
          <w:rFonts w:ascii="Times New Roman" w:hAnsi="Times New Roman" w:cs="Times New Roman"/>
        </w:rPr>
        <w:t xml:space="preserve"> </w:t>
      </w:r>
      <w:r w:rsidRPr="00A343B2">
        <w:rPr>
          <w:rFonts w:ascii="Times New Roman" w:hAnsi="Times New Roman" w:cs="Times New Roman"/>
          <w:b/>
          <w:bCs/>
        </w:rPr>
        <w:t>65</w:t>
      </w:r>
      <w:r w:rsidRPr="00A343B2">
        <w:rPr>
          <w:rFonts w:ascii="Times New Roman" w:hAnsi="Times New Roman" w:cs="Times New Roman"/>
        </w:rPr>
        <w:t>, 851–860 (2005).</w:t>
      </w:r>
    </w:p>
    <w:sectPr w:rsidR="00F456A7" w:rsidRPr="00A343B2">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1CF60" w14:textId="77777777" w:rsidR="001A5E20" w:rsidRDefault="001A5E20" w:rsidP="008770A3">
      <w:pPr>
        <w:spacing w:after="0" w:line="240" w:lineRule="auto"/>
      </w:pPr>
      <w:r>
        <w:separator/>
      </w:r>
    </w:p>
  </w:endnote>
  <w:endnote w:type="continuationSeparator" w:id="0">
    <w:p w14:paraId="5A3784BC" w14:textId="77777777" w:rsidR="001A5E20" w:rsidRDefault="001A5E20" w:rsidP="0087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D8D2" w14:textId="77777777" w:rsidR="003A1DF6" w:rsidRDefault="003A1D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FF75" w14:textId="77777777" w:rsidR="003A1DF6" w:rsidRDefault="003A1D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853B" w14:textId="77777777" w:rsidR="003A1DF6" w:rsidRDefault="003A1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30DA1" w14:textId="77777777" w:rsidR="001A5E20" w:rsidRDefault="001A5E20" w:rsidP="008770A3">
      <w:pPr>
        <w:spacing w:after="0" w:line="240" w:lineRule="auto"/>
      </w:pPr>
      <w:r>
        <w:separator/>
      </w:r>
    </w:p>
  </w:footnote>
  <w:footnote w:type="continuationSeparator" w:id="0">
    <w:p w14:paraId="76B0A307" w14:textId="77777777" w:rsidR="001A5E20" w:rsidRDefault="001A5E20" w:rsidP="00877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E5B0D" w14:textId="77777777" w:rsidR="003A1DF6" w:rsidRDefault="003A1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A738" w14:textId="77777777" w:rsidR="003A1DF6" w:rsidRDefault="003A1D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1C28" w14:textId="77777777" w:rsidR="003A1DF6" w:rsidRDefault="003A1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02973"/>
    <w:multiLevelType w:val="multilevel"/>
    <w:tmpl w:val="942E25BC"/>
    <w:lvl w:ilvl="0">
      <w:start w:val="1"/>
      <w:numFmt w:val="decimal"/>
      <w:lvlText w:val="%1."/>
      <w:lvlJc w:val="left"/>
      <w:pPr>
        <w:ind w:left="360" w:hanging="360"/>
      </w:p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sz w:val="28"/>
        <w:szCs w:val="28"/>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DFA101D"/>
    <w:multiLevelType w:val="hybridMultilevel"/>
    <w:tmpl w:val="BDAAB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9693191">
    <w:abstractNumId w:val="0"/>
  </w:num>
  <w:num w:numId="2" w16cid:durableId="786197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9EC"/>
    <w:rsid w:val="00000CDD"/>
    <w:rsid w:val="00001A45"/>
    <w:rsid w:val="000024B1"/>
    <w:rsid w:val="00004DF6"/>
    <w:rsid w:val="00005911"/>
    <w:rsid w:val="00005BBD"/>
    <w:rsid w:val="0000680D"/>
    <w:rsid w:val="00010D06"/>
    <w:rsid w:val="000137CC"/>
    <w:rsid w:val="00022ADC"/>
    <w:rsid w:val="00025481"/>
    <w:rsid w:val="000264BC"/>
    <w:rsid w:val="00026982"/>
    <w:rsid w:val="000275C0"/>
    <w:rsid w:val="00030248"/>
    <w:rsid w:val="000306DF"/>
    <w:rsid w:val="00031D76"/>
    <w:rsid w:val="00031DC3"/>
    <w:rsid w:val="00033653"/>
    <w:rsid w:val="00034F3A"/>
    <w:rsid w:val="000356C3"/>
    <w:rsid w:val="00035B4D"/>
    <w:rsid w:val="000423CD"/>
    <w:rsid w:val="00042B15"/>
    <w:rsid w:val="0004461D"/>
    <w:rsid w:val="00045616"/>
    <w:rsid w:val="0004567B"/>
    <w:rsid w:val="0004666F"/>
    <w:rsid w:val="0005032C"/>
    <w:rsid w:val="000540EE"/>
    <w:rsid w:val="000558C8"/>
    <w:rsid w:val="00057847"/>
    <w:rsid w:val="00061DA1"/>
    <w:rsid w:val="00063A67"/>
    <w:rsid w:val="00067126"/>
    <w:rsid w:val="00067EBB"/>
    <w:rsid w:val="00070804"/>
    <w:rsid w:val="000710A6"/>
    <w:rsid w:val="0007258B"/>
    <w:rsid w:val="000749D9"/>
    <w:rsid w:val="00075A0E"/>
    <w:rsid w:val="0007614F"/>
    <w:rsid w:val="00076212"/>
    <w:rsid w:val="00080524"/>
    <w:rsid w:val="00080E63"/>
    <w:rsid w:val="000821A9"/>
    <w:rsid w:val="00083027"/>
    <w:rsid w:val="00084F56"/>
    <w:rsid w:val="0008557B"/>
    <w:rsid w:val="00085760"/>
    <w:rsid w:val="00085763"/>
    <w:rsid w:val="00085AB5"/>
    <w:rsid w:val="00086880"/>
    <w:rsid w:val="00090408"/>
    <w:rsid w:val="000943BA"/>
    <w:rsid w:val="00094CCF"/>
    <w:rsid w:val="000966B0"/>
    <w:rsid w:val="00096A8F"/>
    <w:rsid w:val="00097387"/>
    <w:rsid w:val="00097A91"/>
    <w:rsid w:val="000A07D4"/>
    <w:rsid w:val="000A221C"/>
    <w:rsid w:val="000A49BA"/>
    <w:rsid w:val="000A5597"/>
    <w:rsid w:val="000A59A8"/>
    <w:rsid w:val="000A61CB"/>
    <w:rsid w:val="000A6E47"/>
    <w:rsid w:val="000A71D1"/>
    <w:rsid w:val="000B08D5"/>
    <w:rsid w:val="000B1C01"/>
    <w:rsid w:val="000B20ED"/>
    <w:rsid w:val="000B2E7E"/>
    <w:rsid w:val="000B358F"/>
    <w:rsid w:val="000B420A"/>
    <w:rsid w:val="000C19C5"/>
    <w:rsid w:val="000C2742"/>
    <w:rsid w:val="000C29C5"/>
    <w:rsid w:val="000C38E3"/>
    <w:rsid w:val="000C3936"/>
    <w:rsid w:val="000C40D3"/>
    <w:rsid w:val="000C4963"/>
    <w:rsid w:val="000C4CB1"/>
    <w:rsid w:val="000C5AEF"/>
    <w:rsid w:val="000C7FDC"/>
    <w:rsid w:val="000D5F75"/>
    <w:rsid w:val="000D718D"/>
    <w:rsid w:val="000E0424"/>
    <w:rsid w:val="000E1096"/>
    <w:rsid w:val="000E35C1"/>
    <w:rsid w:val="000E44B5"/>
    <w:rsid w:val="000E58B2"/>
    <w:rsid w:val="000E5D21"/>
    <w:rsid w:val="000E6E54"/>
    <w:rsid w:val="000F6EB8"/>
    <w:rsid w:val="000F7C1D"/>
    <w:rsid w:val="00103426"/>
    <w:rsid w:val="0011058A"/>
    <w:rsid w:val="00111091"/>
    <w:rsid w:val="001133A5"/>
    <w:rsid w:val="00113AE4"/>
    <w:rsid w:val="00115933"/>
    <w:rsid w:val="00116C2D"/>
    <w:rsid w:val="001205BB"/>
    <w:rsid w:val="00120C87"/>
    <w:rsid w:val="00123453"/>
    <w:rsid w:val="00123AE8"/>
    <w:rsid w:val="00124142"/>
    <w:rsid w:val="001253B7"/>
    <w:rsid w:val="00125481"/>
    <w:rsid w:val="00126F73"/>
    <w:rsid w:val="00132949"/>
    <w:rsid w:val="00133D90"/>
    <w:rsid w:val="00133E66"/>
    <w:rsid w:val="0013418E"/>
    <w:rsid w:val="001361AF"/>
    <w:rsid w:val="00136204"/>
    <w:rsid w:val="001379D5"/>
    <w:rsid w:val="00144490"/>
    <w:rsid w:val="001446A1"/>
    <w:rsid w:val="00146A4B"/>
    <w:rsid w:val="0014710A"/>
    <w:rsid w:val="00147257"/>
    <w:rsid w:val="00147C31"/>
    <w:rsid w:val="001508E1"/>
    <w:rsid w:val="00150DFA"/>
    <w:rsid w:val="00151143"/>
    <w:rsid w:val="00151A49"/>
    <w:rsid w:val="001521B9"/>
    <w:rsid w:val="00154B24"/>
    <w:rsid w:val="00155C99"/>
    <w:rsid w:val="00156B37"/>
    <w:rsid w:val="001572F3"/>
    <w:rsid w:val="001600D8"/>
    <w:rsid w:val="00160D2B"/>
    <w:rsid w:val="00160DE5"/>
    <w:rsid w:val="00162571"/>
    <w:rsid w:val="00165026"/>
    <w:rsid w:val="001654F3"/>
    <w:rsid w:val="001655E8"/>
    <w:rsid w:val="00166947"/>
    <w:rsid w:val="001726D3"/>
    <w:rsid w:val="001735A8"/>
    <w:rsid w:val="00173B58"/>
    <w:rsid w:val="00174258"/>
    <w:rsid w:val="00175223"/>
    <w:rsid w:val="001768A1"/>
    <w:rsid w:val="00177690"/>
    <w:rsid w:val="00181C9F"/>
    <w:rsid w:val="00185BC2"/>
    <w:rsid w:val="001867AB"/>
    <w:rsid w:val="00190313"/>
    <w:rsid w:val="0019174C"/>
    <w:rsid w:val="00191AD0"/>
    <w:rsid w:val="0019251E"/>
    <w:rsid w:val="00193133"/>
    <w:rsid w:val="00194108"/>
    <w:rsid w:val="00194FA1"/>
    <w:rsid w:val="001955D1"/>
    <w:rsid w:val="00195B41"/>
    <w:rsid w:val="00195ED0"/>
    <w:rsid w:val="00195ED9"/>
    <w:rsid w:val="00197FEB"/>
    <w:rsid w:val="001A058F"/>
    <w:rsid w:val="001A0CF3"/>
    <w:rsid w:val="001A148C"/>
    <w:rsid w:val="001A172D"/>
    <w:rsid w:val="001A2541"/>
    <w:rsid w:val="001A2F20"/>
    <w:rsid w:val="001A4582"/>
    <w:rsid w:val="001A4B2F"/>
    <w:rsid w:val="001A5B50"/>
    <w:rsid w:val="001A5E20"/>
    <w:rsid w:val="001A76F8"/>
    <w:rsid w:val="001A7C29"/>
    <w:rsid w:val="001B162E"/>
    <w:rsid w:val="001B29FF"/>
    <w:rsid w:val="001B3A8C"/>
    <w:rsid w:val="001B3AD0"/>
    <w:rsid w:val="001B46FB"/>
    <w:rsid w:val="001B6254"/>
    <w:rsid w:val="001C0E85"/>
    <w:rsid w:val="001C1678"/>
    <w:rsid w:val="001C1A49"/>
    <w:rsid w:val="001C2AAB"/>
    <w:rsid w:val="001C3C89"/>
    <w:rsid w:val="001C40B5"/>
    <w:rsid w:val="001C595A"/>
    <w:rsid w:val="001C68D5"/>
    <w:rsid w:val="001C72AC"/>
    <w:rsid w:val="001C7F81"/>
    <w:rsid w:val="001D0493"/>
    <w:rsid w:val="001D3A4D"/>
    <w:rsid w:val="001D4A56"/>
    <w:rsid w:val="001D4D85"/>
    <w:rsid w:val="001D54D7"/>
    <w:rsid w:val="001D699F"/>
    <w:rsid w:val="001D6D98"/>
    <w:rsid w:val="001D6F79"/>
    <w:rsid w:val="001E2E85"/>
    <w:rsid w:val="001E404E"/>
    <w:rsid w:val="001E4A38"/>
    <w:rsid w:val="001E4F77"/>
    <w:rsid w:val="001E527A"/>
    <w:rsid w:val="001E5809"/>
    <w:rsid w:val="001F0BBC"/>
    <w:rsid w:val="001F2491"/>
    <w:rsid w:val="001F271A"/>
    <w:rsid w:val="001F29CB"/>
    <w:rsid w:val="001F35E9"/>
    <w:rsid w:val="00203B69"/>
    <w:rsid w:val="00203F56"/>
    <w:rsid w:val="00204787"/>
    <w:rsid w:val="00205446"/>
    <w:rsid w:val="00206805"/>
    <w:rsid w:val="002071D0"/>
    <w:rsid w:val="00207445"/>
    <w:rsid w:val="00213490"/>
    <w:rsid w:val="00213A26"/>
    <w:rsid w:val="0021435D"/>
    <w:rsid w:val="00214644"/>
    <w:rsid w:val="00215871"/>
    <w:rsid w:val="002159E0"/>
    <w:rsid w:val="0022051A"/>
    <w:rsid w:val="002215E9"/>
    <w:rsid w:val="00222405"/>
    <w:rsid w:val="0022279A"/>
    <w:rsid w:val="00222B12"/>
    <w:rsid w:val="002248D0"/>
    <w:rsid w:val="00224CCA"/>
    <w:rsid w:val="0022500A"/>
    <w:rsid w:val="002254EA"/>
    <w:rsid w:val="00226BD5"/>
    <w:rsid w:val="002271A2"/>
    <w:rsid w:val="00227481"/>
    <w:rsid w:val="002309A0"/>
    <w:rsid w:val="0023184C"/>
    <w:rsid w:val="0023201A"/>
    <w:rsid w:val="00232F48"/>
    <w:rsid w:val="00233A23"/>
    <w:rsid w:val="00234CE3"/>
    <w:rsid w:val="00235B5A"/>
    <w:rsid w:val="00236B4A"/>
    <w:rsid w:val="00236DE0"/>
    <w:rsid w:val="00241456"/>
    <w:rsid w:val="002414CC"/>
    <w:rsid w:val="00242C03"/>
    <w:rsid w:val="0024509E"/>
    <w:rsid w:val="00245176"/>
    <w:rsid w:val="00245412"/>
    <w:rsid w:val="00247FE6"/>
    <w:rsid w:val="00250A74"/>
    <w:rsid w:val="0025218B"/>
    <w:rsid w:val="00252B5C"/>
    <w:rsid w:val="0025493C"/>
    <w:rsid w:val="00255D4F"/>
    <w:rsid w:val="00256387"/>
    <w:rsid w:val="002569E4"/>
    <w:rsid w:val="002576DC"/>
    <w:rsid w:val="00257989"/>
    <w:rsid w:val="00257F7F"/>
    <w:rsid w:val="0026120E"/>
    <w:rsid w:val="00263BA6"/>
    <w:rsid w:val="00264BD5"/>
    <w:rsid w:val="0026661E"/>
    <w:rsid w:val="002670EC"/>
    <w:rsid w:val="002672C8"/>
    <w:rsid w:val="0027242F"/>
    <w:rsid w:val="002725CA"/>
    <w:rsid w:val="00272899"/>
    <w:rsid w:val="002735AA"/>
    <w:rsid w:val="0027418D"/>
    <w:rsid w:val="00274737"/>
    <w:rsid w:val="00275549"/>
    <w:rsid w:val="00276648"/>
    <w:rsid w:val="002815A0"/>
    <w:rsid w:val="002834CA"/>
    <w:rsid w:val="00287A0D"/>
    <w:rsid w:val="0029321D"/>
    <w:rsid w:val="00293A8D"/>
    <w:rsid w:val="00293E62"/>
    <w:rsid w:val="0029424E"/>
    <w:rsid w:val="00294337"/>
    <w:rsid w:val="00294C3E"/>
    <w:rsid w:val="0029530A"/>
    <w:rsid w:val="00296A7D"/>
    <w:rsid w:val="00297F3C"/>
    <w:rsid w:val="002A087D"/>
    <w:rsid w:val="002A1492"/>
    <w:rsid w:val="002A469A"/>
    <w:rsid w:val="002B0B0B"/>
    <w:rsid w:val="002B167E"/>
    <w:rsid w:val="002B1F41"/>
    <w:rsid w:val="002B2530"/>
    <w:rsid w:val="002B2B09"/>
    <w:rsid w:val="002B2B8F"/>
    <w:rsid w:val="002B4FEB"/>
    <w:rsid w:val="002B5E58"/>
    <w:rsid w:val="002B68F7"/>
    <w:rsid w:val="002C34DC"/>
    <w:rsid w:val="002C6CD0"/>
    <w:rsid w:val="002D394B"/>
    <w:rsid w:val="002D69D3"/>
    <w:rsid w:val="002E1C3C"/>
    <w:rsid w:val="002E3CA2"/>
    <w:rsid w:val="002E42EE"/>
    <w:rsid w:val="002E5A8A"/>
    <w:rsid w:val="002E5BCB"/>
    <w:rsid w:val="002E6615"/>
    <w:rsid w:val="002E6E6A"/>
    <w:rsid w:val="002E7790"/>
    <w:rsid w:val="002F1289"/>
    <w:rsid w:val="002F2536"/>
    <w:rsid w:val="002F256B"/>
    <w:rsid w:val="002F2593"/>
    <w:rsid w:val="002F3CCF"/>
    <w:rsid w:val="002F4B8B"/>
    <w:rsid w:val="002F711D"/>
    <w:rsid w:val="002F71E3"/>
    <w:rsid w:val="003035FE"/>
    <w:rsid w:val="00303671"/>
    <w:rsid w:val="00303931"/>
    <w:rsid w:val="0030663C"/>
    <w:rsid w:val="0031020A"/>
    <w:rsid w:val="00312A45"/>
    <w:rsid w:val="00313900"/>
    <w:rsid w:val="0031740F"/>
    <w:rsid w:val="00317A8F"/>
    <w:rsid w:val="00317C3E"/>
    <w:rsid w:val="00321C9B"/>
    <w:rsid w:val="00324A1A"/>
    <w:rsid w:val="00325FDE"/>
    <w:rsid w:val="00332855"/>
    <w:rsid w:val="00332DC5"/>
    <w:rsid w:val="0033552C"/>
    <w:rsid w:val="00340EA2"/>
    <w:rsid w:val="00341C89"/>
    <w:rsid w:val="00342793"/>
    <w:rsid w:val="00343498"/>
    <w:rsid w:val="00343834"/>
    <w:rsid w:val="00343A21"/>
    <w:rsid w:val="00343C3F"/>
    <w:rsid w:val="00344CE5"/>
    <w:rsid w:val="003469CE"/>
    <w:rsid w:val="00347750"/>
    <w:rsid w:val="003503DD"/>
    <w:rsid w:val="0035122D"/>
    <w:rsid w:val="00352292"/>
    <w:rsid w:val="00355EC2"/>
    <w:rsid w:val="00357790"/>
    <w:rsid w:val="003644A2"/>
    <w:rsid w:val="00364CFD"/>
    <w:rsid w:val="00367591"/>
    <w:rsid w:val="00370762"/>
    <w:rsid w:val="00370E4D"/>
    <w:rsid w:val="0037457E"/>
    <w:rsid w:val="003746DB"/>
    <w:rsid w:val="00375156"/>
    <w:rsid w:val="0037640D"/>
    <w:rsid w:val="003767F2"/>
    <w:rsid w:val="00376EFF"/>
    <w:rsid w:val="00377928"/>
    <w:rsid w:val="00380952"/>
    <w:rsid w:val="00380F53"/>
    <w:rsid w:val="003811D8"/>
    <w:rsid w:val="00381598"/>
    <w:rsid w:val="00381C47"/>
    <w:rsid w:val="00383EE1"/>
    <w:rsid w:val="00383F4A"/>
    <w:rsid w:val="00384CD9"/>
    <w:rsid w:val="003859B4"/>
    <w:rsid w:val="003876B3"/>
    <w:rsid w:val="0039059B"/>
    <w:rsid w:val="00390AAE"/>
    <w:rsid w:val="00392152"/>
    <w:rsid w:val="0039266D"/>
    <w:rsid w:val="00394137"/>
    <w:rsid w:val="00394AE1"/>
    <w:rsid w:val="0039789F"/>
    <w:rsid w:val="003A01A3"/>
    <w:rsid w:val="003A0502"/>
    <w:rsid w:val="003A1167"/>
    <w:rsid w:val="003A1194"/>
    <w:rsid w:val="003A1DF6"/>
    <w:rsid w:val="003A3B58"/>
    <w:rsid w:val="003A4B14"/>
    <w:rsid w:val="003A4D34"/>
    <w:rsid w:val="003A738C"/>
    <w:rsid w:val="003A73E6"/>
    <w:rsid w:val="003B054E"/>
    <w:rsid w:val="003B1631"/>
    <w:rsid w:val="003B20D1"/>
    <w:rsid w:val="003B2E01"/>
    <w:rsid w:val="003B3464"/>
    <w:rsid w:val="003B4AA5"/>
    <w:rsid w:val="003B4CD7"/>
    <w:rsid w:val="003B70B4"/>
    <w:rsid w:val="003B7518"/>
    <w:rsid w:val="003C0091"/>
    <w:rsid w:val="003C1163"/>
    <w:rsid w:val="003C1E87"/>
    <w:rsid w:val="003C1FFE"/>
    <w:rsid w:val="003C510B"/>
    <w:rsid w:val="003D030B"/>
    <w:rsid w:val="003D104A"/>
    <w:rsid w:val="003D35D1"/>
    <w:rsid w:val="003D4721"/>
    <w:rsid w:val="003D5907"/>
    <w:rsid w:val="003E2173"/>
    <w:rsid w:val="003E3EE6"/>
    <w:rsid w:val="003E5362"/>
    <w:rsid w:val="003E5B7A"/>
    <w:rsid w:val="003E6B0E"/>
    <w:rsid w:val="003E75D9"/>
    <w:rsid w:val="003F00B1"/>
    <w:rsid w:val="003F2ED2"/>
    <w:rsid w:val="003F3FF7"/>
    <w:rsid w:val="003F40FD"/>
    <w:rsid w:val="003F51EC"/>
    <w:rsid w:val="003F64A0"/>
    <w:rsid w:val="00403357"/>
    <w:rsid w:val="0040479D"/>
    <w:rsid w:val="004057E8"/>
    <w:rsid w:val="00407B6D"/>
    <w:rsid w:val="004109CF"/>
    <w:rsid w:val="00411B92"/>
    <w:rsid w:val="00413660"/>
    <w:rsid w:val="00413FF5"/>
    <w:rsid w:val="0041421B"/>
    <w:rsid w:val="00415068"/>
    <w:rsid w:val="004200D4"/>
    <w:rsid w:val="00422476"/>
    <w:rsid w:val="00422CD8"/>
    <w:rsid w:val="00422D32"/>
    <w:rsid w:val="004236C0"/>
    <w:rsid w:val="0042390C"/>
    <w:rsid w:val="004239DC"/>
    <w:rsid w:val="004253E2"/>
    <w:rsid w:val="0042754D"/>
    <w:rsid w:val="00431486"/>
    <w:rsid w:val="00431D15"/>
    <w:rsid w:val="00432B04"/>
    <w:rsid w:val="00436627"/>
    <w:rsid w:val="0043672E"/>
    <w:rsid w:val="004412F8"/>
    <w:rsid w:val="00443172"/>
    <w:rsid w:val="00443C32"/>
    <w:rsid w:val="00446078"/>
    <w:rsid w:val="00454B7C"/>
    <w:rsid w:val="00454D9B"/>
    <w:rsid w:val="004554CC"/>
    <w:rsid w:val="00456256"/>
    <w:rsid w:val="004566E1"/>
    <w:rsid w:val="004602A2"/>
    <w:rsid w:val="00461750"/>
    <w:rsid w:val="00461E62"/>
    <w:rsid w:val="0046227E"/>
    <w:rsid w:val="004626B4"/>
    <w:rsid w:val="00463B1C"/>
    <w:rsid w:val="00465F3C"/>
    <w:rsid w:val="0047166E"/>
    <w:rsid w:val="0047199F"/>
    <w:rsid w:val="00472125"/>
    <w:rsid w:val="00472732"/>
    <w:rsid w:val="00472E0A"/>
    <w:rsid w:val="00473612"/>
    <w:rsid w:val="004737F4"/>
    <w:rsid w:val="00474AE1"/>
    <w:rsid w:val="00477B49"/>
    <w:rsid w:val="004806FC"/>
    <w:rsid w:val="0048401D"/>
    <w:rsid w:val="004846C8"/>
    <w:rsid w:val="00485CCE"/>
    <w:rsid w:val="0049161D"/>
    <w:rsid w:val="00492E53"/>
    <w:rsid w:val="004931CF"/>
    <w:rsid w:val="004955CD"/>
    <w:rsid w:val="00495CA6"/>
    <w:rsid w:val="00495CC2"/>
    <w:rsid w:val="004966E5"/>
    <w:rsid w:val="004A35B6"/>
    <w:rsid w:val="004A5731"/>
    <w:rsid w:val="004A5842"/>
    <w:rsid w:val="004A6FC9"/>
    <w:rsid w:val="004B2BDC"/>
    <w:rsid w:val="004B502B"/>
    <w:rsid w:val="004B65BF"/>
    <w:rsid w:val="004B697B"/>
    <w:rsid w:val="004B6EDE"/>
    <w:rsid w:val="004B7053"/>
    <w:rsid w:val="004B7EF5"/>
    <w:rsid w:val="004C095B"/>
    <w:rsid w:val="004C0BFF"/>
    <w:rsid w:val="004C2417"/>
    <w:rsid w:val="004C2952"/>
    <w:rsid w:val="004C5463"/>
    <w:rsid w:val="004C56D3"/>
    <w:rsid w:val="004C66D4"/>
    <w:rsid w:val="004C6738"/>
    <w:rsid w:val="004D3C17"/>
    <w:rsid w:val="004D599D"/>
    <w:rsid w:val="004D6DB8"/>
    <w:rsid w:val="004E1F94"/>
    <w:rsid w:val="004E229D"/>
    <w:rsid w:val="004E2E98"/>
    <w:rsid w:val="004E39B1"/>
    <w:rsid w:val="004E7818"/>
    <w:rsid w:val="004E79F6"/>
    <w:rsid w:val="004E7A9D"/>
    <w:rsid w:val="004F6710"/>
    <w:rsid w:val="004F67C0"/>
    <w:rsid w:val="004F67DB"/>
    <w:rsid w:val="004F6AFC"/>
    <w:rsid w:val="004F6DB4"/>
    <w:rsid w:val="004F7357"/>
    <w:rsid w:val="00500780"/>
    <w:rsid w:val="005011BA"/>
    <w:rsid w:val="00506C81"/>
    <w:rsid w:val="00507145"/>
    <w:rsid w:val="005073DE"/>
    <w:rsid w:val="00511FA2"/>
    <w:rsid w:val="0051220C"/>
    <w:rsid w:val="00512536"/>
    <w:rsid w:val="0051494A"/>
    <w:rsid w:val="00517EE6"/>
    <w:rsid w:val="00520071"/>
    <w:rsid w:val="00522E64"/>
    <w:rsid w:val="00522F9E"/>
    <w:rsid w:val="0052313F"/>
    <w:rsid w:val="00525253"/>
    <w:rsid w:val="00530193"/>
    <w:rsid w:val="00531FBE"/>
    <w:rsid w:val="00532755"/>
    <w:rsid w:val="0053647A"/>
    <w:rsid w:val="0054011C"/>
    <w:rsid w:val="005440C1"/>
    <w:rsid w:val="00545B7A"/>
    <w:rsid w:val="00546502"/>
    <w:rsid w:val="00552A10"/>
    <w:rsid w:val="0055320B"/>
    <w:rsid w:val="00554B72"/>
    <w:rsid w:val="00554F5D"/>
    <w:rsid w:val="00555A02"/>
    <w:rsid w:val="005574FA"/>
    <w:rsid w:val="00560B5A"/>
    <w:rsid w:val="00560EE1"/>
    <w:rsid w:val="00561AA8"/>
    <w:rsid w:val="0056394E"/>
    <w:rsid w:val="005648D9"/>
    <w:rsid w:val="00564E32"/>
    <w:rsid w:val="00564E5B"/>
    <w:rsid w:val="0056500F"/>
    <w:rsid w:val="0056672B"/>
    <w:rsid w:val="00570795"/>
    <w:rsid w:val="00571C55"/>
    <w:rsid w:val="00573875"/>
    <w:rsid w:val="005749A9"/>
    <w:rsid w:val="00575429"/>
    <w:rsid w:val="00577363"/>
    <w:rsid w:val="00577A92"/>
    <w:rsid w:val="005800D0"/>
    <w:rsid w:val="005815A5"/>
    <w:rsid w:val="00582115"/>
    <w:rsid w:val="005845D8"/>
    <w:rsid w:val="00584EB5"/>
    <w:rsid w:val="00585C17"/>
    <w:rsid w:val="005862F5"/>
    <w:rsid w:val="0058710B"/>
    <w:rsid w:val="005905AC"/>
    <w:rsid w:val="00591F9E"/>
    <w:rsid w:val="005929C5"/>
    <w:rsid w:val="00592FDC"/>
    <w:rsid w:val="00595334"/>
    <w:rsid w:val="005969F0"/>
    <w:rsid w:val="00596DB4"/>
    <w:rsid w:val="00597118"/>
    <w:rsid w:val="005A1504"/>
    <w:rsid w:val="005A2B1A"/>
    <w:rsid w:val="005A310F"/>
    <w:rsid w:val="005A3419"/>
    <w:rsid w:val="005A372E"/>
    <w:rsid w:val="005A393B"/>
    <w:rsid w:val="005A3A5B"/>
    <w:rsid w:val="005A4135"/>
    <w:rsid w:val="005A65E9"/>
    <w:rsid w:val="005A7DC3"/>
    <w:rsid w:val="005B0328"/>
    <w:rsid w:val="005B2158"/>
    <w:rsid w:val="005B335A"/>
    <w:rsid w:val="005B3E1C"/>
    <w:rsid w:val="005B49FD"/>
    <w:rsid w:val="005B4B92"/>
    <w:rsid w:val="005C073C"/>
    <w:rsid w:val="005C0771"/>
    <w:rsid w:val="005C1C39"/>
    <w:rsid w:val="005C276C"/>
    <w:rsid w:val="005C36DB"/>
    <w:rsid w:val="005C4F3B"/>
    <w:rsid w:val="005C6326"/>
    <w:rsid w:val="005C6C29"/>
    <w:rsid w:val="005C77B7"/>
    <w:rsid w:val="005C7A10"/>
    <w:rsid w:val="005C7C25"/>
    <w:rsid w:val="005D04AD"/>
    <w:rsid w:val="005D0996"/>
    <w:rsid w:val="005D1A60"/>
    <w:rsid w:val="005D2CF3"/>
    <w:rsid w:val="005D4B02"/>
    <w:rsid w:val="005D59D4"/>
    <w:rsid w:val="005F0B2D"/>
    <w:rsid w:val="005F138B"/>
    <w:rsid w:val="005F610C"/>
    <w:rsid w:val="005F62C9"/>
    <w:rsid w:val="005F6315"/>
    <w:rsid w:val="005F670C"/>
    <w:rsid w:val="005F68F8"/>
    <w:rsid w:val="00600657"/>
    <w:rsid w:val="006007C5"/>
    <w:rsid w:val="0060221E"/>
    <w:rsid w:val="00610257"/>
    <w:rsid w:val="006128F9"/>
    <w:rsid w:val="006129A2"/>
    <w:rsid w:val="00614550"/>
    <w:rsid w:val="00622C80"/>
    <w:rsid w:val="00623755"/>
    <w:rsid w:val="0062493A"/>
    <w:rsid w:val="00626153"/>
    <w:rsid w:val="00626469"/>
    <w:rsid w:val="0062680A"/>
    <w:rsid w:val="00627BBC"/>
    <w:rsid w:val="00630603"/>
    <w:rsid w:val="0063094B"/>
    <w:rsid w:val="00630A03"/>
    <w:rsid w:val="00632D93"/>
    <w:rsid w:val="006336C1"/>
    <w:rsid w:val="00634AD0"/>
    <w:rsid w:val="00634F2B"/>
    <w:rsid w:val="006354C6"/>
    <w:rsid w:val="006373F9"/>
    <w:rsid w:val="006427F2"/>
    <w:rsid w:val="00643C81"/>
    <w:rsid w:val="006458F7"/>
    <w:rsid w:val="00645E34"/>
    <w:rsid w:val="00646A0F"/>
    <w:rsid w:val="006470D5"/>
    <w:rsid w:val="00653460"/>
    <w:rsid w:val="006541DC"/>
    <w:rsid w:val="00655FB0"/>
    <w:rsid w:val="00661BA7"/>
    <w:rsid w:val="00662162"/>
    <w:rsid w:val="00663238"/>
    <w:rsid w:val="0066352E"/>
    <w:rsid w:val="0066634A"/>
    <w:rsid w:val="00667403"/>
    <w:rsid w:val="006708E9"/>
    <w:rsid w:val="0067143E"/>
    <w:rsid w:val="006719B0"/>
    <w:rsid w:val="006727B5"/>
    <w:rsid w:val="00673D3E"/>
    <w:rsid w:val="00675105"/>
    <w:rsid w:val="00676D8E"/>
    <w:rsid w:val="0067789D"/>
    <w:rsid w:val="00681CA6"/>
    <w:rsid w:val="00682F5A"/>
    <w:rsid w:val="00683CBF"/>
    <w:rsid w:val="00686041"/>
    <w:rsid w:val="006901EE"/>
    <w:rsid w:val="00690621"/>
    <w:rsid w:val="00691E27"/>
    <w:rsid w:val="0069428A"/>
    <w:rsid w:val="00694A22"/>
    <w:rsid w:val="00697183"/>
    <w:rsid w:val="00697E6F"/>
    <w:rsid w:val="006A0C43"/>
    <w:rsid w:val="006A13EE"/>
    <w:rsid w:val="006A3FDC"/>
    <w:rsid w:val="006A497E"/>
    <w:rsid w:val="006A5C00"/>
    <w:rsid w:val="006A668C"/>
    <w:rsid w:val="006B16D2"/>
    <w:rsid w:val="006B324D"/>
    <w:rsid w:val="006B3D03"/>
    <w:rsid w:val="006B620C"/>
    <w:rsid w:val="006B6244"/>
    <w:rsid w:val="006C0701"/>
    <w:rsid w:val="006C08D8"/>
    <w:rsid w:val="006C643C"/>
    <w:rsid w:val="006D0345"/>
    <w:rsid w:val="006D036D"/>
    <w:rsid w:val="006D1829"/>
    <w:rsid w:val="006D394D"/>
    <w:rsid w:val="006D3AC2"/>
    <w:rsid w:val="006D4A0C"/>
    <w:rsid w:val="006D4D5A"/>
    <w:rsid w:val="006D5650"/>
    <w:rsid w:val="006D5672"/>
    <w:rsid w:val="006D631E"/>
    <w:rsid w:val="006E12CE"/>
    <w:rsid w:val="006E7D88"/>
    <w:rsid w:val="006F0082"/>
    <w:rsid w:val="006F01E8"/>
    <w:rsid w:val="006F1DD8"/>
    <w:rsid w:val="006F2C29"/>
    <w:rsid w:val="006F2F60"/>
    <w:rsid w:val="006F674B"/>
    <w:rsid w:val="006F67B7"/>
    <w:rsid w:val="00701F97"/>
    <w:rsid w:val="007032DA"/>
    <w:rsid w:val="007035B4"/>
    <w:rsid w:val="0070422C"/>
    <w:rsid w:val="00710777"/>
    <w:rsid w:val="00710C12"/>
    <w:rsid w:val="007120F7"/>
    <w:rsid w:val="00712959"/>
    <w:rsid w:val="00712FC6"/>
    <w:rsid w:val="00714A7F"/>
    <w:rsid w:val="007159CB"/>
    <w:rsid w:val="00716800"/>
    <w:rsid w:val="00724839"/>
    <w:rsid w:val="0072631C"/>
    <w:rsid w:val="007265A3"/>
    <w:rsid w:val="00726B2C"/>
    <w:rsid w:val="00726DD3"/>
    <w:rsid w:val="00727C6D"/>
    <w:rsid w:val="00727D74"/>
    <w:rsid w:val="00730A45"/>
    <w:rsid w:val="00734297"/>
    <w:rsid w:val="00735C49"/>
    <w:rsid w:val="007377AD"/>
    <w:rsid w:val="0073781A"/>
    <w:rsid w:val="0074065E"/>
    <w:rsid w:val="00740D80"/>
    <w:rsid w:val="007415E8"/>
    <w:rsid w:val="00742643"/>
    <w:rsid w:val="00742A94"/>
    <w:rsid w:val="00744488"/>
    <w:rsid w:val="0074451B"/>
    <w:rsid w:val="00744EF3"/>
    <w:rsid w:val="007452B9"/>
    <w:rsid w:val="007460B4"/>
    <w:rsid w:val="0075030A"/>
    <w:rsid w:val="00753CC2"/>
    <w:rsid w:val="0075611A"/>
    <w:rsid w:val="0075725D"/>
    <w:rsid w:val="00760B73"/>
    <w:rsid w:val="00761A2E"/>
    <w:rsid w:val="0076200D"/>
    <w:rsid w:val="00763811"/>
    <w:rsid w:val="00763C39"/>
    <w:rsid w:val="00764C97"/>
    <w:rsid w:val="00765216"/>
    <w:rsid w:val="00765654"/>
    <w:rsid w:val="007665D6"/>
    <w:rsid w:val="00766611"/>
    <w:rsid w:val="00766AEA"/>
    <w:rsid w:val="00767FB0"/>
    <w:rsid w:val="007713A4"/>
    <w:rsid w:val="007732F8"/>
    <w:rsid w:val="00776079"/>
    <w:rsid w:val="0077661B"/>
    <w:rsid w:val="0078194F"/>
    <w:rsid w:val="007848EA"/>
    <w:rsid w:val="00785703"/>
    <w:rsid w:val="00785F62"/>
    <w:rsid w:val="00785FF3"/>
    <w:rsid w:val="007866BA"/>
    <w:rsid w:val="007867B2"/>
    <w:rsid w:val="0079290E"/>
    <w:rsid w:val="00793CD7"/>
    <w:rsid w:val="00795119"/>
    <w:rsid w:val="00795FE5"/>
    <w:rsid w:val="00796A66"/>
    <w:rsid w:val="007A01AE"/>
    <w:rsid w:val="007A14B1"/>
    <w:rsid w:val="007A1AFF"/>
    <w:rsid w:val="007A2EA3"/>
    <w:rsid w:val="007A369E"/>
    <w:rsid w:val="007A4F47"/>
    <w:rsid w:val="007A56F0"/>
    <w:rsid w:val="007A6577"/>
    <w:rsid w:val="007A76CD"/>
    <w:rsid w:val="007A77B6"/>
    <w:rsid w:val="007A77D6"/>
    <w:rsid w:val="007B0594"/>
    <w:rsid w:val="007B1B0C"/>
    <w:rsid w:val="007B1EBF"/>
    <w:rsid w:val="007B2B03"/>
    <w:rsid w:val="007B2C91"/>
    <w:rsid w:val="007B4210"/>
    <w:rsid w:val="007B4B8E"/>
    <w:rsid w:val="007B5C6C"/>
    <w:rsid w:val="007C0A19"/>
    <w:rsid w:val="007C4D07"/>
    <w:rsid w:val="007C6FCE"/>
    <w:rsid w:val="007C73DF"/>
    <w:rsid w:val="007D0A7A"/>
    <w:rsid w:val="007D16E4"/>
    <w:rsid w:val="007D30E6"/>
    <w:rsid w:val="007D3824"/>
    <w:rsid w:val="007D3FFE"/>
    <w:rsid w:val="007D4499"/>
    <w:rsid w:val="007D5850"/>
    <w:rsid w:val="007D6367"/>
    <w:rsid w:val="007E1640"/>
    <w:rsid w:val="007E3F31"/>
    <w:rsid w:val="007E4678"/>
    <w:rsid w:val="007E4C86"/>
    <w:rsid w:val="007E67B1"/>
    <w:rsid w:val="007E74EE"/>
    <w:rsid w:val="007E7B92"/>
    <w:rsid w:val="007F0456"/>
    <w:rsid w:val="007F2091"/>
    <w:rsid w:val="007F34CD"/>
    <w:rsid w:val="007F367D"/>
    <w:rsid w:val="007F3B84"/>
    <w:rsid w:val="007F58E6"/>
    <w:rsid w:val="007F60F8"/>
    <w:rsid w:val="007F628F"/>
    <w:rsid w:val="007F6477"/>
    <w:rsid w:val="008046C5"/>
    <w:rsid w:val="00805D82"/>
    <w:rsid w:val="0080609B"/>
    <w:rsid w:val="00806F35"/>
    <w:rsid w:val="00807795"/>
    <w:rsid w:val="0081095F"/>
    <w:rsid w:val="00810E6F"/>
    <w:rsid w:val="00812A37"/>
    <w:rsid w:val="00813266"/>
    <w:rsid w:val="008159E2"/>
    <w:rsid w:val="0081611A"/>
    <w:rsid w:val="008214C8"/>
    <w:rsid w:val="00822B63"/>
    <w:rsid w:val="00822E35"/>
    <w:rsid w:val="00822E5B"/>
    <w:rsid w:val="00823AFC"/>
    <w:rsid w:val="00825CA5"/>
    <w:rsid w:val="00831140"/>
    <w:rsid w:val="008312C7"/>
    <w:rsid w:val="00832B83"/>
    <w:rsid w:val="008338F9"/>
    <w:rsid w:val="00835221"/>
    <w:rsid w:val="008370BF"/>
    <w:rsid w:val="00837787"/>
    <w:rsid w:val="00837FD0"/>
    <w:rsid w:val="00841ECE"/>
    <w:rsid w:val="00842B65"/>
    <w:rsid w:val="008439E5"/>
    <w:rsid w:val="0084424D"/>
    <w:rsid w:val="00847C1B"/>
    <w:rsid w:val="00847D22"/>
    <w:rsid w:val="008501C7"/>
    <w:rsid w:val="00850705"/>
    <w:rsid w:val="0085277D"/>
    <w:rsid w:val="008551DB"/>
    <w:rsid w:val="0085588B"/>
    <w:rsid w:val="00857893"/>
    <w:rsid w:val="008614F1"/>
    <w:rsid w:val="00861B56"/>
    <w:rsid w:val="00863163"/>
    <w:rsid w:val="00863E1F"/>
    <w:rsid w:val="008659D8"/>
    <w:rsid w:val="00866279"/>
    <w:rsid w:val="00870EC9"/>
    <w:rsid w:val="008729D3"/>
    <w:rsid w:val="00872D1D"/>
    <w:rsid w:val="008755E9"/>
    <w:rsid w:val="0087656E"/>
    <w:rsid w:val="00877076"/>
    <w:rsid w:val="008770A3"/>
    <w:rsid w:val="00880580"/>
    <w:rsid w:val="00881C2A"/>
    <w:rsid w:val="00882D06"/>
    <w:rsid w:val="00884C7C"/>
    <w:rsid w:val="00884CFE"/>
    <w:rsid w:val="00886597"/>
    <w:rsid w:val="00890076"/>
    <w:rsid w:val="008935C1"/>
    <w:rsid w:val="00893E9A"/>
    <w:rsid w:val="008941EB"/>
    <w:rsid w:val="008948B8"/>
    <w:rsid w:val="00896342"/>
    <w:rsid w:val="008A388F"/>
    <w:rsid w:val="008A4F18"/>
    <w:rsid w:val="008A5536"/>
    <w:rsid w:val="008B0DBC"/>
    <w:rsid w:val="008B0E7F"/>
    <w:rsid w:val="008B164A"/>
    <w:rsid w:val="008B2BF0"/>
    <w:rsid w:val="008B3651"/>
    <w:rsid w:val="008B367E"/>
    <w:rsid w:val="008B4CBD"/>
    <w:rsid w:val="008B62B2"/>
    <w:rsid w:val="008B77B6"/>
    <w:rsid w:val="008B7E59"/>
    <w:rsid w:val="008C2CB7"/>
    <w:rsid w:val="008C58B5"/>
    <w:rsid w:val="008C686B"/>
    <w:rsid w:val="008C73B4"/>
    <w:rsid w:val="008C7B45"/>
    <w:rsid w:val="008D0F2B"/>
    <w:rsid w:val="008D28BD"/>
    <w:rsid w:val="008D2B4A"/>
    <w:rsid w:val="008D3867"/>
    <w:rsid w:val="008D4378"/>
    <w:rsid w:val="008D5405"/>
    <w:rsid w:val="008E1304"/>
    <w:rsid w:val="008E2ACC"/>
    <w:rsid w:val="008E4A67"/>
    <w:rsid w:val="008E5394"/>
    <w:rsid w:val="008E64E3"/>
    <w:rsid w:val="008E669F"/>
    <w:rsid w:val="008E6F94"/>
    <w:rsid w:val="008E7AC7"/>
    <w:rsid w:val="008F0C7F"/>
    <w:rsid w:val="008F267A"/>
    <w:rsid w:val="008F34EE"/>
    <w:rsid w:val="008F4983"/>
    <w:rsid w:val="008F703C"/>
    <w:rsid w:val="008F7290"/>
    <w:rsid w:val="008F7CBA"/>
    <w:rsid w:val="00901317"/>
    <w:rsid w:val="009027AB"/>
    <w:rsid w:val="0090377B"/>
    <w:rsid w:val="009041AA"/>
    <w:rsid w:val="00905352"/>
    <w:rsid w:val="009074AA"/>
    <w:rsid w:val="009105A8"/>
    <w:rsid w:val="00911281"/>
    <w:rsid w:val="00911E44"/>
    <w:rsid w:val="009128AF"/>
    <w:rsid w:val="009133ED"/>
    <w:rsid w:val="009135A5"/>
    <w:rsid w:val="00913C3C"/>
    <w:rsid w:val="009155F8"/>
    <w:rsid w:val="00915740"/>
    <w:rsid w:val="00915DFD"/>
    <w:rsid w:val="009165FF"/>
    <w:rsid w:val="0091734D"/>
    <w:rsid w:val="0091768A"/>
    <w:rsid w:val="009203AE"/>
    <w:rsid w:val="00920539"/>
    <w:rsid w:val="009210FF"/>
    <w:rsid w:val="009213B3"/>
    <w:rsid w:val="009239F8"/>
    <w:rsid w:val="009242C4"/>
    <w:rsid w:val="00924C4F"/>
    <w:rsid w:val="0093598E"/>
    <w:rsid w:val="00937EE5"/>
    <w:rsid w:val="0094006B"/>
    <w:rsid w:val="0094025C"/>
    <w:rsid w:val="009421D8"/>
    <w:rsid w:val="0094352A"/>
    <w:rsid w:val="009443C5"/>
    <w:rsid w:val="00945690"/>
    <w:rsid w:val="009457CE"/>
    <w:rsid w:val="009457FA"/>
    <w:rsid w:val="00946AB7"/>
    <w:rsid w:val="009472DF"/>
    <w:rsid w:val="00947A17"/>
    <w:rsid w:val="0095225E"/>
    <w:rsid w:val="0095501E"/>
    <w:rsid w:val="00955B82"/>
    <w:rsid w:val="00955E7F"/>
    <w:rsid w:val="009563F1"/>
    <w:rsid w:val="009565F3"/>
    <w:rsid w:val="0095678D"/>
    <w:rsid w:val="00960C0F"/>
    <w:rsid w:val="0096152E"/>
    <w:rsid w:val="009625D3"/>
    <w:rsid w:val="009633EA"/>
    <w:rsid w:val="00964244"/>
    <w:rsid w:val="00965E1D"/>
    <w:rsid w:val="00966102"/>
    <w:rsid w:val="0096673B"/>
    <w:rsid w:val="00966F0C"/>
    <w:rsid w:val="0097522F"/>
    <w:rsid w:val="00975CBD"/>
    <w:rsid w:val="00975D97"/>
    <w:rsid w:val="00975DC2"/>
    <w:rsid w:val="00977139"/>
    <w:rsid w:val="00981025"/>
    <w:rsid w:val="009834A3"/>
    <w:rsid w:val="00983E68"/>
    <w:rsid w:val="0098597E"/>
    <w:rsid w:val="00985F76"/>
    <w:rsid w:val="009869EE"/>
    <w:rsid w:val="00987587"/>
    <w:rsid w:val="00987DD6"/>
    <w:rsid w:val="00987F9E"/>
    <w:rsid w:val="00991D4F"/>
    <w:rsid w:val="00992A3B"/>
    <w:rsid w:val="00995660"/>
    <w:rsid w:val="0099655C"/>
    <w:rsid w:val="009A5B18"/>
    <w:rsid w:val="009A5B48"/>
    <w:rsid w:val="009A78A4"/>
    <w:rsid w:val="009B06F7"/>
    <w:rsid w:val="009B0ADA"/>
    <w:rsid w:val="009B247F"/>
    <w:rsid w:val="009B2CC4"/>
    <w:rsid w:val="009B3D6B"/>
    <w:rsid w:val="009B48CF"/>
    <w:rsid w:val="009B4AAF"/>
    <w:rsid w:val="009B6219"/>
    <w:rsid w:val="009B62FC"/>
    <w:rsid w:val="009B748A"/>
    <w:rsid w:val="009B7AF7"/>
    <w:rsid w:val="009C25C9"/>
    <w:rsid w:val="009C4332"/>
    <w:rsid w:val="009D0A32"/>
    <w:rsid w:val="009D33C3"/>
    <w:rsid w:val="009D3A4B"/>
    <w:rsid w:val="009D3B28"/>
    <w:rsid w:val="009D49C9"/>
    <w:rsid w:val="009D4E87"/>
    <w:rsid w:val="009D5F63"/>
    <w:rsid w:val="009E1278"/>
    <w:rsid w:val="009E175B"/>
    <w:rsid w:val="009E3267"/>
    <w:rsid w:val="009E4388"/>
    <w:rsid w:val="009E5345"/>
    <w:rsid w:val="009E55A6"/>
    <w:rsid w:val="009E712D"/>
    <w:rsid w:val="009E7A5D"/>
    <w:rsid w:val="009F0912"/>
    <w:rsid w:val="009F0E46"/>
    <w:rsid w:val="009F12AD"/>
    <w:rsid w:val="009F2C72"/>
    <w:rsid w:val="009F381E"/>
    <w:rsid w:val="009F480F"/>
    <w:rsid w:val="009F487D"/>
    <w:rsid w:val="009F54CE"/>
    <w:rsid w:val="009F556F"/>
    <w:rsid w:val="009F5B45"/>
    <w:rsid w:val="009F7EC2"/>
    <w:rsid w:val="00A025E2"/>
    <w:rsid w:val="00A02B01"/>
    <w:rsid w:val="00A02C86"/>
    <w:rsid w:val="00A04C9F"/>
    <w:rsid w:val="00A0552A"/>
    <w:rsid w:val="00A07762"/>
    <w:rsid w:val="00A1044D"/>
    <w:rsid w:val="00A15955"/>
    <w:rsid w:val="00A1665C"/>
    <w:rsid w:val="00A22BE9"/>
    <w:rsid w:val="00A22D3B"/>
    <w:rsid w:val="00A252FF"/>
    <w:rsid w:val="00A26633"/>
    <w:rsid w:val="00A343B2"/>
    <w:rsid w:val="00A35AB4"/>
    <w:rsid w:val="00A36DCF"/>
    <w:rsid w:val="00A37565"/>
    <w:rsid w:val="00A40F70"/>
    <w:rsid w:val="00A42005"/>
    <w:rsid w:val="00A421AA"/>
    <w:rsid w:val="00A46391"/>
    <w:rsid w:val="00A47517"/>
    <w:rsid w:val="00A47B63"/>
    <w:rsid w:val="00A53B64"/>
    <w:rsid w:val="00A53FF3"/>
    <w:rsid w:val="00A571E3"/>
    <w:rsid w:val="00A578AE"/>
    <w:rsid w:val="00A578DB"/>
    <w:rsid w:val="00A6090C"/>
    <w:rsid w:val="00A639F7"/>
    <w:rsid w:val="00A65DD2"/>
    <w:rsid w:val="00A67649"/>
    <w:rsid w:val="00A67C99"/>
    <w:rsid w:val="00A72AA9"/>
    <w:rsid w:val="00A73110"/>
    <w:rsid w:val="00A75D2A"/>
    <w:rsid w:val="00A7740F"/>
    <w:rsid w:val="00A77706"/>
    <w:rsid w:val="00A80233"/>
    <w:rsid w:val="00A826E9"/>
    <w:rsid w:val="00A8555F"/>
    <w:rsid w:val="00A86C5A"/>
    <w:rsid w:val="00A876C8"/>
    <w:rsid w:val="00A87E03"/>
    <w:rsid w:val="00A913E6"/>
    <w:rsid w:val="00A91C88"/>
    <w:rsid w:val="00A94694"/>
    <w:rsid w:val="00A95143"/>
    <w:rsid w:val="00A95ECF"/>
    <w:rsid w:val="00A97C7C"/>
    <w:rsid w:val="00AA1D80"/>
    <w:rsid w:val="00AA2D91"/>
    <w:rsid w:val="00AA64BB"/>
    <w:rsid w:val="00AB2EE8"/>
    <w:rsid w:val="00AB3125"/>
    <w:rsid w:val="00AB3132"/>
    <w:rsid w:val="00AB347F"/>
    <w:rsid w:val="00AB48D6"/>
    <w:rsid w:val="00AB5549"/>
    <w:rsid w:val="00AB56A3"/>
    <w:rsid w:val="00AB6D2E"/>
    <w:rsid w:val="00AB6D63"/>
    <w:rsid w:val="00AB6E79"/>
    <w:rsid w:val="00AC1DC1"/>
    <w:rsid w:val="00AC2A04"/>
    <w:rsid w:val="00AC2D02"/>
    <w:rsid w:val="00AC428E"/>
    <w:rsid w:val="00AC4D11"/>
    <w:rsid w:val="00AC4D86"/>
    <w:rsid w:val="00AC5F5C"/>
    <w:rsid w:val="00AC608A"/>
    <w:rsid w:val="00AD0B3D"/>
    <w:rsid w:val="00AD1533"/>
    <w:rsid w:val="00AD1F90"/>
    <w:rsid w:val="00AD249B"/>
    <w:rsid w:val="00AD25FE"/>
    <w:rsid w:val="00AD74BC"/>
    <w:rsid w:val="00AE0AA5"/>
    <w:rsid w:val="00AE0ED6"/>
    <w:rsid w:val="00AE105C"/>
    <w:rsid w:val="00AE4337"/>
    <w:rsid w:val="00AF0E77"/>
    <w:rsid w:val="00AF1384"/>
    <w:rsid w:val="00AF1727"/>
    <w:rsid w:val="00AF31E2"/>
    <w:rsid w:val="00AF31F6"/>
    <w:rsid w:val="00AF5A5E"/>
    <w:rsid w:val="00AF5B8C"/>
    <w:rsid w:val="00AF6510"/>
    <w:rsid w:val="00AF69D3"/>
    <w:rsid w:val="00AF6A50"/>
    <w:rsid w:val="00B00944"/>
    <w:rsid w:val="00B014D7"/>
    <w:rsid w:val="00B018B7"/>
    <w:rsid w:val="00B0218B"/>
    <w:rsid w:val="00B0282F"/>
    <w:rsid w:val="00B05203"/>
    <w:rsid w:val="00B059E0"/>
    <w:rsid w:val="00B05F79"/>
    <w:rsid w:val="00B0651E"/>
    <w:rsid w:val="00B07640"/>
    <w:rsid w:val="00B10CCA"/>
    <w:rsid w:val="00B13229"/>
    <w:rsid w:val="00B145E1"/>
    <w:rsid w:val="00B200DD"/>
    <w:rsid w:val="00B207AD"/>
    <w:rsid w:val="00B20F82"/>
    <w:rsid w:val="00B21EF8"/>
    <w:rsid w:val="00B26A70"/>
    <w:rsid w:val="00B27015"/>
    <w:rsid w:val="00B31352"/>
    <w:rsid w:val="00B31B4F"/>
    <w:rsid w:val="00B32F46"/>
    <w:rsid w:val="00B33600"/>
    <w:rsid w:val="00B35036"/>
    <w:rsid w:val="00B35CAE"/>
    <w:rsid w:val="00B40F96"/>
    <w:rsid w:val="00B41207"/>
    <w:rsid w:val="00B42DF6"/>
    <w:rsid w:val="00B42F86"/>
    <w:rsid w:val="00B44B86"/>
    <w:rsid w:val="00B44D29"/>
    <w:rsid w:val="00B44FE7"/>
    <w:rsid w:val="00B45182"/>
    <w:rsid w:val="00B454C2"/>
    <w:rsid w:val="00B46ED7"/>
    <w:rsid w:val="00B47806"/>
    <w:rsid w:val="00B5075C"/>
    <w:rsid w:val="00B53005"/>
    <w:rsid w:val="00B53EB0"/>
    <w:rsid w:val="00B5401D"/>
    <w:rsid w:val="00B5442B"/>
    <w:rsid w:val="00B554DC"/>
    <w:rsid w:val="00B55A66"/>
    <w:rsid w:val="00B575BE"/>
    <w:rsid w:val="00B620DF"/>
    <w:rsid w:val="00B627C8"/>
    <w:rsid w:val="00B62B74"/>
    <w:rsid w:val="00B62DC4"/>
    <w:rsid w:val="00B669F7"/>
    <w:rsid w:val="00B67291"/>
    <w:rsid w:val="00B67E76"/>
    <w:rsid w:val="00B71472"/>
    <w:rsid w:val="00B717CF"/>
    <w:rsid w:val="00B7293D"/>
    <w:rsid w:val="00B72F71"/>
    <w:rsid w:val="00B74E52"/>
    <w:rsid w:val="00B76FDB"/>
    <w:rsid w:val="00B773A4"/>
    <w:rsid w:val="00B77A11"/>
    <w:rsid w:val="00B8033C"/>
    <w:rsid w:val="00B80745"/>
    <w:rsid w:val="00B812FE"/>
    <w:rsid w:val="00B83EDD"/>
    <w:rsid w:val="00B859A6"/>
    <w:rsid w:val="00B868F4"/>
    <w:rsid w:val="00B87D93"/>
    <w:rsid w:val="00B9160B"/>
    <w:rsid w:val="00B94066"/>
    <w:rsid w:val="00B94FF4"/>
    <w:rsid w:val="00B9668E"/>
    <w:rsid w:val="00B97BD2"/>
    <w:rsid w:val="00BA308F"/>
    <w:rsid w:val="00BA5AAE"/>
    <w:rsid w:val="00BA6C5F"/>
    <w:rsid w:val="00BB1868"/>
    <w:rsid w:val="00BB2971"/>
    <w:rsid w:val="00BB3766"/>
    <w:rsid w:val="00BB3AB1"/>
    <w:rsid w:val="00BB3B1F"/>
    <w:rsid w:val="00BB506D"/>
    <w:rsid w:val="00BB6547"/>
    <w:rsid w:val="00BB67FE"/>
    <w:rsid w:val="00BC0174"/>
    <w:rsid w:val="00BC0876"/>
    <w:rsid w:val="00BC2503"/>
    <w:rsid w:val="00BC2774"/>
    <w:rsid w:val="00BC4772"/>
    <w:rsid w:val="00BC58A5"/>
    <w:rsid w:val="00BC596C"/>
    <w:rsid w:val="00BC5D76"/>
    <w:rsid w:val="00BC6AE6"/>
    <w:rsid w:val="00BC77E6"/>
    <w:rsid w:val="00BC7FBB"/>
    <w:rsid w:val="00BD1E7E"/>
    <w:rsid w:val="00BD28FF"/>
    <w:rsid w:val="00BD70EF"/>
    <w:rsid w:val="00BD766C"/>
    <w:rsid w:val="00BE068F"/>
    <w:rsid w:val="00BE102F"/>
    <w:rsid w:val="00BE10AD"/>
    <w:rsid w:val="00BE2AB7"/>
    <w:rsid w:val="00BE3971"/>
    <w:rsid w:val="00BE61B3"/>
    <w:rsid w:val="00BE6526"/>
    <w:rsid w:val="00BE6A14"/>
    <w:rsid w:val="00BF1DFE"/>
    <w:rsid w:val="00BF3A29"/>
    <w:rsid w:val="00BF7E0C"/>
    <w:rsid w:val="00C03785"/>
    <w:rsid w:val="00C05A51"/>
    <w:rsid w:val="00C0614E"/>
    <w:rsid w:val="00C074A4"/>
    <w:rsid w:val="00C14ABF"/>
    <w:rsid w:val="00C15ADF"/>
    <w:rsid w:val="00C17A00"/>
    <w:rsid w:val="00C202AF"/>
    <w:rsid w:val="00C2119E"/>
    <w:rsid w:val="00C219FC"/>
    <w:rsid w:val="00C22689"/>
    <w:rsid w:val="00C23BEB"/>
    <w:rsid w:val="00C2418E"/>
    <w:rsid w:val="00C2522F"/>
    <w:rsid w:val="00C259F6"/>
    <w:rsid w:val="00C25DA9"/>
    <w:rsid w:val="00C2672F"/>
    <w:rsid w:val="00C269A9"/>
    <w:rsid w:val="00C3012F"/>
    <w:rsid w:val="00C324DC"/>
    <w:rsid w:val="00C33805"/>
    <w:rsid w:val="00C34430"/>
    <w:rsid w:val="00C35D69"/>
    <w:rsid w:val="00C363B5"/>
    <w:rsid w:val="00C363C4"/>
    <w:rsid w:val="00C36E5E"/>
    <w:rsid w:val="00C43681"/>
    <w:rsid w:val="00C461D9"/>
    <w:rsid w:val="00C4655D"/>
    <w:rsid w:val="00C470BD"/>
    <w:rsid w:val="00C472A9"/>
    <w:rsid w:val="00C50095"/>
    <w:rsid w:val="00C50FCE"/>
    <w:rsid w:val="00C51700"/>
    <w:rsid w:val="00C54FC2"/>
    <w:rsid w:val="00C567A6"/>
    <w:rsid w:val="00C60E4A"/>
    <w:rsid w:val="00C62287"/>
    <w:rsid w:val="00C63217"/>
    <w:rsid w:val="00C6557E"/>
    <w:rsid w:val="00C65FA9"/>
    <w:rsid w:val="00C6769D"/>
    <w:rsid w:val="00C6799F"/>
    <w:rsid w:val="00C67D11"/>
    <w:rsid w:val="00C705A8"/>
    <w:rsid w:val="00C70D7F"/>
    <w:rsid w:val="00C72718"/>
    <w:rsid w:val="00C727D6"/>
    <w:rsid w:val="00C73FD1"/>
    <w:rsid w:val="00C74776"/>
    <w:rsid w:val="00C74EE5"/>
    <w:rsid w:val="00C76F71"/>
    <w:rsid w:val="00C771C8"/>
    <w:rsid w:val="00C779E2"/>
    <w:rsid w:val="00C77C7C"/>
    <w:rsid w:val="00C806AB"/>
    <w:rsid w:val="00C81DE2"/>
    <w:rsid w:val="00C83C94"/>
    <w:rsid w:val="00C83EB5"/>
    <w:rsid w:val="00C84052"/>
    <w:rsid w:val="00C84922"/>
    <w:rsid w:val="00C8565D"/>
    <w:rsid w:val="00C859C3"/>
    <w:rsid w:val="00C8794B"/>
    <w:rsid w:val="00C879F9"/>
    <w:rsid w:val="00C90B0B"/>
    <w:rsid w:val="00C90F51"/>
    <w:rsid w:val="00C915A5"/>
    <w:rsid w:val="00C918B3"/>
    <w:rsid w:val="00C9548E"/>
    <w:rsid w:val="00C96A62"/>
    <w:rsid w:val="00C96CB6"/>
    <w:rsid w:val="00C97BA3"/>
    <w:rsid w:val="00CA1BE7"/>
    <w:rsid w:val="00CA21ED"/>
    <w:rsid w:val="00CA2DC5"/>
    <w:rsid w:val="00CA55AE"/>
    <w:rsid w:val="00CA6607"/>
    <w:rsid w:val="00CA70D0"/>
    <w:rsid w:val="00CB0BB7"/>
    <w:rsid w:val="00CB3006"/>
    <w:rsid w:val="00CB41E3"/>
    <w:rsid w:val="00CB41F0"/>
    <w:rsid w:val="00CB64AD"/>
    <w:rsid w:val="00CC6B75"/>
    <w:rsid w:val="00CC7681"/>
    <w:rsid w:val="00CD0832"/>
    <w:rsid w:val="00CD0E35"/>
    <w:rsid w:val="00CD1A29"/>
    <w:rsid w:val="00CD2E26"/>
    <w:rsid w:val="00CD300D"/>
    <w:rsid w:val="00CE0842"/>
    <w:rsid w:val="00CE1641"/>
    <w:rsid w:val="00CE203E"/>
    <w:rsid w:val="00CE239B"/>
    <w:rsid w:val="00CE6173"/>
    <w:rsid w:val="00CE7037"/>
    <w:rsid w:val="00CF2A8E"/>
    <w:rsid w:val="00CF3046"/>
    <w:rsid w:val="00CF4DA1"/>
    <w:rsid w:val="00CF630B"/>
    <w:rsid w:val="00CF6583"/>
    <w:rsid w:val="00CF6F3A"/>
    <w:rsid w:val="00CF76AC"/>
    <w:rsid w:val="00CF7E51"/>
    <w:rsid w:val="00D0084C"/>
    <w:rsid w:val="00D01C16"/>
    <w:rsid w:val="00D0233C"/>
    <w:rsid w:val="00D03733"/>
    <w:rsid w:val="00D0496E"/>
    <w:rsid w:val="00D05167"/>
    <w:rsid w:val="00D07253"/>
    <w:rsid w:val="00D079F5"/>
    <w:rsid w:val="00D07BC6"/>
    <w:rsid w:val="00D12F0F"/>
    <w:rsid w:val="00D13305"/>
    <w:rsid w:val="00D1673E"/>
    <w:rsid w:val="00D22696"/>
    <w:rsid w:val="00D2293A"/>
    <w:rsid w:val="00D23F52"/>
    <w:rsid w:val="00D2416B"/>
    <w:rsid w:val="00D256D6"/>
    <w:rsid w:val="00D25F56"/>
    <w:rsid w:val="00D2674D"/>
    <w:rsid w:val="00D27A32"/>
    <w:rsid w:val="00D30A7A"/>
    <w:rsid w:val="00D30A9B"/>
    <w:rsid w:val="00D31664"/>
    <w:rsid w:val="00D31C37"/>
    <w:rsid w:val="00D334EB"/>
    <w:rsid w:val="00D35C3E"/>
    <w:rsid w:val="00D37122"/>
    <w:rsid w:val="00D409E6"/>
    <w:rsid w:val="00D43E94"/>
    <w:rsid w:val="00D477D1"/>
    <w:rsid w:val="00D47876"/>
    <w:rsid w:val="00D53171"/>
    <w:rsid w:val="00D54E14"/>
    <w:rsid w:val="00D557E8"/>
    <w:rsid w:val="00D55940"/>
    <w:rsid w:val="00D55A63"/>
    <w:rsid w:val="00D61ADE"/>
    <w:rsid w:val="00D62BBE"/>
    <w:rsid w:val="00D63549"/>
    <w:rsid w:val="00D636DE"/>
    <w:rsid w:val="00D70F47"/>
    <w:rsid w:val="00D71264"/>
    <w:rsid w:val="00D71331"/>
    <w:rsid w:val="00D71711"/>
    <w:rsid w:val="00D71E11"/>
    <w:rsid w:val="00D72EA2"/>
    <w:rsid w:val="00D7369B"/>
    <w:rsid w:val="00D73BAD"/>
    <w:rsid w:val="00D73D92"/>
    <w:rsid w:val="00D74192"/>
    <w:rsid w:val="00D74A0B"/>
    <w:rsid w:val="00D75D7B"/>
    <w:rsid w:val="00D80E0E"/>
    <w:rsid w:val="00D812A9"/>
    <w:rsid w:val="00D8564D"/>
    <w:rsid w:val="00D87FDA"/>
    <w:rsid w:val="00D909C1"/>
    <w:rsid w:val="00D90C6B"/>
    <w:rsid w:val="00D917F1"/>
    <w:rsid w:val="00D91B21"/>
    <w:rsid w:val="00D91DBA"/>
    <w:rsid w:val="00D9273C"/>
    <w:rsid w:val="00D94A96"/>
    <w:rsid w:val="00D96420"/>
    <w:rsid w:val="00D9669E"/>
    <w:rsid w:val="00D96960"/>
    <w:rsid w:val="00DA01B4"/>
    <w:rsid w:val="00DA10E3"/>
    <w:rsid w:val="00DA143A"/>
    <w:rsid w:val="00DA2B4F"/>
    <w:rsid w:val="00DA350F"/>
    <w:rsid w:val="00DA392B"/>
    <w:rsid w:val="00DA39B0"/>
    <w:rsid w:val="00DA3FFA"/>
    <w:rsid w:val="00DA4231"/>
    <w:rsid w:val="00DA6D97"/>
    <w:rsid w:val="00DA7D1E"/>
    <w:rsid w:val="00DB0E27"/>
    <w:rsid w:val="00DB27F7"/>
    <w:rsid w:val="00DB3A95"/>
    <w:rsid w:val="00DB516A"/>
    <w:rsid w:val="00DB6727"/>
    <w:rsid w:val="00DC1ED2"/>
    <w:rsid w:val="00DC277E"/>
    <w:rsid w:val="00DC45FA"/>
    <w:rsid w:val="00DC5B36"/>
    <w:rsid w:val="00DC66CA"/>
    <w:rsid w:val="00DC68CB"/>
    <w:rsid w:val="00DC68E5"/>
    <w:rsid w:val="00DD1592"/>
    <w:rsid w:val="00DD37FD"/>
    <w:rsid w:val="00DD44FF"/>
    <w:rsid w:val="00DD5A1D"/>
    <w:rsid w:val="00DD5B4C"/>
    <w:rsid w:val="00DD695E"/>
    <w:rsid w:val="00DD7AB8"/>
    <w:rsid w:val="00DE2DEB"/>
    <w:rsid w:val="00DE3078"/>
    <w:rsid w:val="00DE64DA"/>
    <w:rsid w:val="00DE713F"/>
    <w:rsid w:val="00DF04DB"/>
    <w:rsid w:val="00DF0BDE"/>
    <w:rsid w:val="00DF188C"/>
    <w:rsid w:val="00DF3B15"/>
    <w:rsid w:val="00DF49EC"/>
    <w:rsid w:val="00DF63CD"/>
    <w:rsid w:val="00DF6613"/>
    <w:rsid w:val="00E00F81"/>
    <w:rsid w:val="00E01653"/>
    <w:rsid w:val="00E01FB9"/>
    <w:rsid w:val="00E0326C"/>
    <w:rsid w:val="00E042D3"/>
    <w:rsid w:val="00E04C17"/>
    <w:rsid w:val="00E067FB"/>
    <w:rsid w:val="00E06DFF"/>
    <w:rsid w:val="00E07D52"/>
    <w:rsid w:val="00E10011"/>
    <w:rsid w:val="00E10DC2"/>
    <w:rsid w:val="00E13AB2"/>
    <w:rsid w:val="00E13BF1"/>
    <w:rsid w:val="00E15CA9"/>
    <w:rsid w:val="00E1674A"/>
    <w:rsid w:val="00E2210B"/>
    <w:rsid w:val="00E242BD"/>
    <w:rsid w:val="00E24C2C"/>
    <w:rsid w:val="00E25F48"/>
    <w:rsid w:val="00E25FAC"/>
    <w:rsid w:val="00E323F3"/>
    <w:rsid w:val="00E32A63"/>
    <w:rsid w:val="00E33088"/>
    <w:rsid w:val="00E34355"/>
    <w:rsid w:val="00E34781"/>
    <w:rsid w:val="00E37291"/>
    <w:rsid w:val="00E37B57"/>
    <w:rsid w:val="00E40017"/>
    <w:rsid w:val="00E40E6A"/>
    <w:rsid w:val="00E42049"/>
    <w:rsid w:val="00E45485"/>
    <w:rsid w:val="00E45B1C"/>
    <w:rsid w:val="00E45CF0"/>
    <w:rsid w:val="00E5033B"/>
    <w:rsid w:val="00E51A58"/>
    <w:rsid w:val="00E51C40"/>
    <w:rsid w:val="00E52CB7"/>
    <w:rsid w:val="00E535EC"/>
    <w:rsid w:val="00E5615F"/>
    <w:rsid w:val="00E56397"/>
    <w:rsid w:val="00E56A28"/>
    <w:rsid w:val="00E6267C"/>
    <w:rsid w:val="00E62715"/>
    <w:rsid w:val="00E62AD1"/>
    <w:rsid w:val="00E64781"/>
    <w:rsid w:val="00E660B4"/>
    <w:rsid w:val="00E670EE"/>
    <w:rsid w:val="00E7087B"/>
    <w:rsid w:val="00E725BF"/>
    <w:rsid w:val="00E74A68"/>
    <w:rsid w:val="00E76780"/>
    <w:rsid w:val="00E7726E"/>
    <w:rsid w:val="00E77798"/>
    <w:rsid w:val="00E80B3B"/>
    <w:rsid w:val="00E820BD"/>
    <w:rsid w:val="00E821E5"/>
    <w:rsid w:val="00E82A7F"/>
    <w:rsid w:val="00E83AA5"/>
    <w:rsid w:val="00E83C58"/>
    <w:rsid w:val="00E848BC"/>
    <w:rsid w:val="00E84C4D"/>
    <w:rsid w:val="00E90476"/>
    <w:rsid w:val="00E9050A"/>
    <w:rsid w:val="00E90556"/>
    <w:rsid w:val="00E91898"/>
    <w:rsid w:val="00E92C44"/>
    <w:rsid w:val="00E95FD2"/>
    <w:rsid w:val="00EA1E4F"/>
    <w:rsid w:val="00EA30A7"/>
    <w:rsid w:val="00EA3D53"/>
    <w:rsid w:val="00EA6AE0"/>
    <w:rsid w:val="00EA7127"/>
    <w:rsid w:val="00EA7CEB"/>
    <w:rsid w:val="00EB1BD2"/>
    <w:rsid w:val="00EB32D3"/>
    <w:rsid w:val="00EB35A3"/>
    <w:rsid w:val="00EB3B34"/>
    <w:rsid w:val="00EB79FB"/>
    <w:rsid w:val="00EC02DB"/>
    <w:rsid w:val="00EC058D"/>
    <w:rsid w:val="00EC1238"/>
    <w:rsid w:val="00EC17BD"/>
    <w:rsid w:val="00EC19E2"/>
    <w:rsid w:val="00EC30C2"/>
    <w:rsid w:val="00EC3E5C"/>
    <w:rsid w:val="00EC6462"/>
    <w:rsid w:val="00EC6913"/>
    <w:rsid w:val="00EC75B0"/>
    <w:rsid w:val="00EC7D72"/>
    <w:rsid w:val="00ED09F9"/>
    <w:rsid w:val="00ED19F7"/>
    <w:rsid w:val="00ED4840"/>
    <w:rsid w:val="00ED4F36"/>
    <w:rsid w:val="00ED5251"/>
    <w:rsid w:val="00ED60A2"/>
    <w:rsid w:val="00EE063C"/>
    <w:rsid w:val="00EE1B76"/>
    <w:rsid w:val="00EE5359"/>
    <w:rsid w:val="00EE5DA4"/>
    <w:rsid w:val="00EF034B"/>
    <w:rsid w:val="00EF1625"/>
    <w:rsid w:val="00EF2C44"/>
    <w:rsid w:val="00EF32CD"/>
    <w:rsid w:val="00EF385D"/>
    <w:rsid w:val="00EF3A06"/>
    <w:rsid w:val="00EF49AD"/>
    <w:rsid w:val="00EF51BB"/>
    <w:rsid w:val="00EF542A"/>
    <w:rsid w:val="00EF5FBE"/>
    <w:rsid w:val="00EF7177"/>
    <w:rsid w:val="00F00B58"/>
    <w:rsid w:val="00F00EF0"/>
    <w:rsid w:val="00F053F7"/>
    <w:rsid w:val="00F05FC4"/>
    <w:rsid w:val="00F06250"/>
    <w:rsid w:val="00F07FEC"/>
    <w:rsid w:val="00F1007E"/>
    <w:rsid w:val="00F10535"/>
    <w:rsid w:val="00F10B22"/>
    <w:rsid w:val="00F11684"/>
    <w:rsid w:val="00F12090"/>
    <w:rsid w:val="00F12DAC"/>
    <w:rsid w:val="00F13401"/>
    <w:rsid w:val="00F136F0"/>
    <w:rsid w:val="00F13857"/>
    <w:rsid w:val="00F160E4"/>
    <w:rsid w:val="00F16B1A"/>
    <w:rsid w:val="00F1759C"/>
    <w:rsid w:val="00F175B0"/>
    <w:rsid w:val="00F220FE"/>
    <w:rsid w:val="00F24B9E"/>
    <w:rsid w:val="00F2574C"/>
    <w:rsid w:val="00F31FC2"/>
    <w:rsid w:val="00F3236C"/>
    <w:rsid w:val="00F32849"/>
    <w:rsid w:val="00F34A16"/>
    <w:rsid w:val="00F34F3A"/>
    <w:rsid w:val="00F358D1"/>
    <w:rsid w:val="00F3599E"/>
    <w:rsid w:val="00F3643D"/>
    <w:rsid w:val="00F367CF"/>
    <w:rsid w:val="00F36D71"/>
    <w:rsid w:val="00F376AD"/>
    <w:rsid w:val="00F37F1F"/>
    <w:rsid w:val="00F41922"/>
    <w:rsid w:val="00F4227E"/>
    <w:rsid w:val="00F4262F"/>
    <w:rsid w:val="00F43935"/>
    <w:rsid w:val="00F43A15"/>
    <w:rsid w:val="00F43BFB"/>
    <w:rsid w:val="00F456A7"/>
    <w:rsid w:val="00F46D09"/>
    <w:rsid w:val="00F47E16"/>
    <w:rsid w:val="00F51CF3"/>
    <w:rsid w:val="00F52DBF"/>
    <w:rsid w:val="00F54282"/>
    <w:rsid w:val="00F54F65"/>
    <w:rsid w:val="00F56427"/>
    <w:rsid w:val="00F56FD9"/>
    <w:rsid w:val="00F576DF"/>
    <w:rsid w:val="00F647D8"/>
    <w:rsid w:val="00F64969"/>
    <w:rsid w:val="00F6535A"/>
    <w:rsid w:val="00F65701"/>
    <w:rsid w:val="00F661F7"/>
    <w:rsid w:val="00F673CB"/>
    <w:rsid w:val="00F715AC"/>
    <w:rsid w:val="00F72916"/>
    <w:rsid w:val="00F731BD"/>
    <w:rsid w:val="00F7386B"/>
    <w:rsid w:val="00F763F4"/>
    <w:rsid w:val="00F809B8"/>
    <w:rsid w:val="00F80F73"/>
    <w:rsid w:val="00F813EB"/>
    <w:rsid w:val="00F81F88"/>
    <w:rsid w:val="00F82C1E"/>
    <w:rsid w:val="00F85CBC"/>
    <w:rsid w:val="00F86123"/>
    <w:rsid w:val="00FA15AC"/>
    <w:rsid w:val="00FA3F70"/>
    <w:rsid w:val="00FA58CE"/>
    <w:rsid w:val="00FA7A3B"/>
    <w:rsid w:val="00FB0A64"/>
    <w:rsid w:val="00FB1086"/>
    <w:rsid w:val="00FB22DB"/>
    <w:rsid w:val="00FB3087"/>
    <w:rsid w:val="00FB30F9"/>
    <w:rsid w:val="00FB3897"/>
    <w:rsid w:val="00FC0861"/>
    <w:rsid w:val="00FC09FD"/>
    <w:rsid w:val="00FC0A17"/>
    <w:rsid w:val="00FC36A1"/>
    <w:rsid w:val="00FC3D94"/>
    <w:rsid w:val="00FC4EF9"/>
    <w:rsid w:val="00FC6329"/>
    <w:rsid w:val="00FC7A63"/>
    <w:rsid w:val="00FD0DAF"/>
    <w:rsid w:val="00FD152B"/>
    <w:rsid w:val="00FD3FBC"/>
    <w:rsid w:val="00FD5719"/>
    <w:rsid w:val="00FD69AF"/>
    <w:rsid w:val="00FD6A49"/>
    <w:rsid w:val="00FD6B1D"/>
    <w:rsid w:val="00FD6E20"/>
    <w:rsid w:val="00FE0271"/>
    <w:rsid w:val="00FE0875"/>
    <w:rsid w:val="00FE1497"/>
    <w:rsid w:val="00FE2035"/>
    <w:rsid w:val="00FE4E37"/>
    <w:rsid w:val="00FE5989"/>
    <w:rsid w:val="00FF26F8"/>
    <w:rsid w:val="00FF3E89"/>
    <w:rsid w:val="00FF509A"/>
    <w:rsid w:val="00FF710E"/>
    <w:rsid w:val="00FF7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6D7D"/>
  <w15:chartTrackingRefBased/>
  <w15:docId w15:val="{26D8662D-1EE3-4CAC-9D67-91111F13E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7CE"/>
    <w:pPr>
      <w:spacing w:line="360" w:lineRule="auto"/>
    </w:pPr>
    <w:rPr>
      <w:sz w:val="22"/>
      <w:szCs w:val="22"/>
    </w:rPr>
  </w:style>
  <w:style w:type="paragraph" w:styleId="Heading1">
    <w:name w:val="heading 1"/>
    <w:basedOn w:val="Normal"/>
    <w:next w:val="Normal"/>
    <w:link w:val="Heading1Char"/>
    <w:uiPriority w:val="9"/>
    <w:qFormat/>
    <w:rsid w:val="00DF49E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49E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49E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49EC"/>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F49EC"/>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F49EC"/>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F49EC"/>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F49EC"/>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F49EC"/>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4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4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4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4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4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4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4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49EC"/>
    <w:rPr>
      <w:rFonts w:eastAsiaTheme="majorEastAsia" w:cstheme="majorBidi"/>
      <w:color w:val="272727" w:themeColor="text1" w:themeTint="D8"/>
    </w:rPr>
  </w:style>
  <w:style w:type="paragraph" w:styleId="Title">
    <w:name w:val="Title"/>
    <w:basedOn w:val="Normal"/>
    <w:next w:val="Normal"/>
    <w:link w:val="TitleChar"/>
    <w:uiPriority w:val="10"/>
    <w:qFormat/>
    <w:rsid w:val="00DF4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4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49E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4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49EC"/>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F49EC"/>
    <w:rPr>
      <w:i/>
      <w:iCs/>
      <w:color w:val="404040" w:themeColor="text1" w:themeTint="BF"/>
    </w:rPr>
  </w:style>
  <w:style w:type="paragraph" w:styleId="ListParagraph">
    <w:name w:val="List Paragraph"/>
    <w:basedOn w:val="Normal"/>
    <w:uiPriority w:val="34"/>
    <w:qFormat/>
    <w:rsid w:val="00DF49EC"/>
    <w:pPr>
      <w:spacing w:line="278" w:lineRule="auto"/>
      <w:ind w:left="720"/>
      <w:contextualSpacing/>
    </w:pPr>
    <w:rPr>
      <w:sz w:val="24"/>
      <w:szCs w:val="24"/>
    </w:rPr>
  </w:style>
  <w:style w:type="character" w:styleId="IntenseEmphasis">
    <w:name w:val="Intense Emphasis"/>
    <w:basedOn w:val="DefaultParagraphFont"/>
    <w:uiPriority w:val="21"/>
    <w:qFormat/>
    <w:rsid w:val="00DF49EC"/>
    <w:rPr>
      <w:i/>
      <w:iCs/>
      <w:color w:val="0F4761" w:themeColor="accent1" w:themeShade="BF"/>
    </w:rPr>
  </w:style>
  <w:style w:type="paragraph" w:styleId="IntenseQuote">
    <w:name w:val="Intense Quote"/>
    <w:basedOn w:val="Normal"/>
    <w:next w:val="Normal"/>
    <w:link w:val="IntenseQuoteChar"/>
    <w:uiPriority w:val="30"/>
    <w:qFormat/>
    <w:rsid w:val="00DF49E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F49EC"/>
    <w:rPr>
      <w:i/>
      <w:iCs/>
      <w:color w:val="0F4761" w:themeColor="accent1" w:themeShade="BF"/>
    </w:rPr>
  </w:style>
  <w:style w:type="character" w:styleId="IntenseReference">
    <w:name w:val="Intense Reference"/>
    <w:basedOn w:val="DefaultParagraphFont"/>
    <w:uiPriority w:val="32"/>
    <w:qFormat/>
    <w:rsid w:val="00DF49EC"/>
    <w:rPr>
      <w:b/>
      <w:bCs/>
      <w:smallCaps/>
      <w:color w:val="0F4761" w:themeColor="accent1" w:themeShade="BF"/>
      <w:spacing w:val="5"/>
    </w:rPr>
  </w:style>
  <w:style w:type="paragraph" w:styleId="Caption">
    <w:name w:val="caption"/>
    <w:basedOn w:val="Normal"/>
    <w:next w:val="Normal"/>
    <w:uiPriority w:val="35"/>
    <w:unhideWhenUsed/>
    <w:qFormat/>
    <w:rsid w:val="009E55A6"/>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9E55A6"/>
    <w:rPr>
      <w:sz w:val="16"/>
      <w:szCs w:val="16"/>
    </w:rPr>
  </w:style>
  <w:style w:type="paragraph" w:styleId="CommentText">
    <w:name w:val="annotation text"/>
    <w:basedOn w:val="Normal"/>
    <w:link w:val="CommentTextChar"/>
    <w:uiPriority w:val="99"/>
    <w:unhideWhenUsed/>
    <w:rsid w:val="009E55A6"/>
    <w:pPr>
      <w:spacing w:line="240" w:lineRule="auto"/>
    </w:pPr>
    <w:rPr>
      <w:sz w:val="20"/>
      <w:szCs w:val="20"/>
    </w:rPr>
  </w:style>
  <w:style w:type="character" w:customStyle="1" w:styleId="CommentTextChar">
    <w:name w:val="Comment Text Char"/>
    <w:basedOn w:val="DefaultParagraphFont"/>
    <w:link w:val="CommentText"/>
    <w:uiPriority w:val="99"/>
    <w:rsid w:val="009E55A6"/>
    <w:rPr>
      <w:sz w:val="20"/>
      <w:szCs w:val="20"/>
    </w:rPr>
  </w:style>
  <w:style w:type="character" w:styleId="Mention">
    <w:name w:val="Mention"/>
    <w:basedOn w:val="DefaultParagraphFont"/>
    <w:uiPriority w:val="99"/>
    <w:unhideWhenUsed/>
    <w:rsid w:val="009E55A6"/>
    <w:rPr>
      <w:color w:val="2B579A"/>
      <w:shd w:val="clear" w:color="auto" w:fill="E1DFDD"/>
    </w:rPr>
  </w:style>
  <w:style w:type="table" w:styleId="TableGrid">
    <w:name w:val="Table Grid"/>
    <w:basedOn w:val="TableNormal"/>
    <w:uiPriority w:val="59"/>
    <w:rsid w:val="009213B3"/>
    <w:pPr>
      <w:spacing w:after="0" w:line="240" w:lineRule="auto"/>
    </w:pPr>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C0A19"/>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styleId="Header">
    <w:name w:val="header"/>
    <w:basedOn w:val="Normal"/>
    <w:link w:val="HeaderChar"/>
    <w:uiPriority w:val="99"/>
    <w:unhideWhenUsed/>
    <w:rsid w:val="008770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70A3"/>
    <w:rPr>
      <w:sz w:val="22"/>
      <w:szCs w:val="22"/>
    </w:rPr>
  </w:style>
  <w:style w:type="paragraph" w:styleId="Footer">
    <w:name w:val="footer"/>
    <w:basedOn w:val="Normal"/>
    <w:link w:val="FooterChar"/>
    <w:uiPriority w:val="99"/>
    <w:unhideWhenUsed/>
    <w:rsid w:val="008770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0A3"/>
    <w:rPr>
      <w:sz w:val="22"/>
      <w:szCs w:val="22"/>
    </w:rPr>
  </w:style>
  <w:style w:type="paragraph" w:styleId="Bibliography">
    <w:name w:val="Bibliography"/>
    <w:basedOn w:val="Normal"/>
    <w:next w:val="Normal"/>
    <w:uiPriority w:val="37"/>
    <w:unhideWhenUsed/>
    <w:rsid w:val="00735C49"/>
    <w:pPr>
      <w:tabs>
        <w:tab w:val="left" w:pos="384"/>
      </w:tabs>
      <w:spacing w:after="0" w:line="480" w:lineRule="auto"/>
      <w:ind w:left="384" w:hanging="384"/>
    </w:pPr>
  </w:style>
  <w:style w:type="character" w:styleId="PlaceholderText">
    <w:name w:val="Placeholder Text"/>
    <w:basedOn w:val="DefaultParagraphFont"/>
    <w:uiPriority w:val="99"/>
    <w:semiHidden/>
    <w:rsid w:val="00C76F71"/>
    <w:rPr>
      <w:color w:val="666666"/>
    </w:rPr>
  </w:style>
  <w:style w:type="paragraph" w:styleId="CommentSubject">
    <w:name w:val="annotation subject"/>
    <w:basedOn w:val="CommentText"/>
    <w:next w:val="CommentText"/>
    <w:link w:val="CommentSubjectChar"/>
    <w:uiPriority w:val="99"/>
    <w:semiHidden/>
    <w:unhideWhenUsed/>
    <w:rsid w:val="00AF0E77"/>
    <w:rPr>
      <w:b/>
      <w:bCs/>
    </w:rPr>
  </w:style>
  <w:style w:type="character" w:customStyle="1" w:styleId="CommentSubjectChar">
    <w:name w:val="Comment Subject Char"/>
    <w:basedOn w:val="CommentTextChar"/>
    <w:link w:val="CommentSubject"/>
    <w:uiPriority w:val="99"/>
    <w:semiHidden/>
    <w:rsid w:val="00AF0E77"/>
    <w:rPr>
      <w:b/>
      <w:bCs/>
      <w:sz w:val="20"/>
      <w:szCs w:val="20"/>
    </w:rPr>
  </w:style>
  <w:style w:type="table" w:styleId="PlainTable2">
    <w:name w:val="Plain Table 2"/>
    <w:basedOn w:val="TableNormal"/>
    <w:uiPriority w:val="42"/>
    <w:rsid w:val="000275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59"/>
    <w:rsid w:val="00BC58A5"/>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CA97B0-1792-4E3A-B1AB-4B924DCBB4EB}">
  <we:reference id="WA200010453" version="1.0.0.1" store="Omex" storeType="OMEX"/>
  <we:alternateReferences>
    <we:reference id="WA200010453" version="1.0.0.1" store="WA200010453" storeType="OMEX"/>
  </we:alternateReferences>
  <we:properties>
    <we:property name="claude.fileId" value="&quot;82490491-2492-47e4-be4f-6762a4b36c9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2F4EE-346F-4C21-AD82-914B2EF9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7970</TotalTime>
  <Pages>4</Pages>
  <Words>7913</Words>
  <Characters>45107</Characters>
  <Application>Microsoft Office Word</Application>
  <DocSecurity>0</DocSecurity>
  <Lines>375</Lines>
  <Paragraphs>105</Paragraphs>
  <ScaleCrop>false</ScaleCrop>
  <Company/>
  <LinksUpToDate>false</LinksUpToDate>
  <CharactersWithSpaces>52915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Gonzalez</dc:creator>
  <cp:keywords/>
  <dc:description/>
  <cp:lastModifiedBy>Pablo Gonzalez</cp:lastModifiedBy>
  <cp:revision>978</cp:revision>
  <dcterms:created xsi:type="dcterms:W3CDTF">2026-05-22T23:39:00Z</dcterms:created>
  <dcterms:modified xsi:type="dcterms:W3CDTF">2026-07-07T07:27:00Z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id="KsFZErGh"/&gt;&lt;style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ies>
</file>