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2.xml" ContentType="application/vnd.openxmlformats-officedocument.wordprocessingml.document.main+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xmlns:aink="http://schemas.microsoft.com/office/drawing/2016/ink" xmlns:dgm="http://schemas.openxmlformats.org/drawingml/2006/diagram" mc:Ignorable="w14 wp14 ">
  <w:body>
    <w:p w14:paraId="00000001">
      <w:pPr>
        <w:pStyle w:val="Normal"/>
        <w:spacing w:before="0" w:after="160" w:line="240" w:lineRule="auto"/>
        <w:jc w:val="both"/>
        <w:rPr>
          <w:rFonts w:ascii="Book Antiqua" w:cs="Book Antiqua" w:eastAsia="Book Antiqua" w:hAnsi="Book Antiqua"/>
          <w:b/>
          <w:bCs/>
          <w:sz w:val="22"/>
          <w:szCs w:val="22"/>
        </w:rPr>
      </w:pPr>
    </w:p>
    <w:p w14:paraId="00000002">
      <w:pPr>
        <w:pStyle w:val="Normal"/>
        <w:spacing w:before="0" w:after="160" w:line="240" w:lineRule="auto"/>
        <w:jc w:val="both"/>
        <w:rPr>
          <w:rFonts w:ascii="Book Antiqua" w:cs="Book Antiqua" w:eastAsia="Book Antiqua" w:hAnsi="Book Antiqua"/>
          <w:b/>
          <w:bCs/>
          <w:sz w:val="22"/>
          <w:szCs w:val="22"/>
        </w:rPr>
      </w:pPr>
    </w:p>
    <w:p w14:paraId="00000003">
      <w:pPr>
        <w:pStyle w:val="Normal"/>
        <w:spacing w:before="0" w:after="160" w:line="240" w:lineRule="auto"/>
        <w:jc w:val="both"/>
        <w:rPr>
          <w:rFonts w:ascii="Book Antiqua" w:cs="Book Antiqua" w:eastAsia="Book Antiqua" w:hAnsi="Book Antiqua"/>
          <w:b/>
          <w:bCs/>
          <w:sz w:val="22"/>
          <w:szCs w:val="22"/>
        </w:rPr>
      </w:pPr>
      <w:r>
        <w:rPr>
          <w:rFonts w:ascii="Book Antiqua" w:cs="Book Antiqua" w:hAnsi="Book Antiqua"/>
          <w:sz w:val="22"/>
          <w:szCs w:val="22"/>
        </w:rPr>
        <w:drawing xmlns:mc="http://schemas.openxmlformats.org/markup-compatibility/2006">
          <wp:inline distT="0" distB="0" distL="0" distR="0">
            <wp:extent cx="5724525" cy="4943475"/>
            <wp:effectExtent l="0" t="0" r="0" b="0"/>
            <wp:docPr id="21283410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41003" name="drawing"/>
                    <pic:cNvPicPr/>
                  </pic:nvPicPr>
                  <pic:blipFill>
                    <a:blip r:embed="rId2029819386"/>
                    <a:srcRect/>
                    <a:stretch>
                      <a:fillRect/>
                    </a:stretch>
                  </pic:blipFill>
                  <pic:spPr>
                    <a:xfrm>
                      <a:off x="0" y="0"/>
                      <a:ext cx="5724525" cy="4943475"/>
                    </a:xfrm>
                    <a:prstGeom prst="rect">
                      <a:avLst/>
                    </a:prstGeom>
                  </pic:spPr>
                </pic:pic>
              </a:graphicData>
            </a:graphic>
          </wp:inline>
        </w:drawing>
      </w:r>
    </w:p>
    <w:p w14:paraId="00000004">
      <w:pPr>
        <w:pStyle w:val="Normal"/>
        <w:spacing w:before="0" w:after="160" w:line="240" w:lineRule="auto"/>
        <w:jc w:val="both"/>
        <w:rPr>
          <w:rFonts w:ascii="Book Antiqua" w:cs="Book Antiqua" w:eastAsia="Book Antiqua" w:hAnsi="Book Antiqua"/>
          <w:b/>
          <w:bCs/>
          <w:sz w:val="22"/>
          <w:szCs w:val="22"/>
        </w:rPr>
      </w:pPr>
      <w:r>
        <w:rPr>
          <w:rFonts w:ascii="Book Antiqua" w:cs="Book Antiqua" w:eastAsia="Book Antiqua" w:hAnsi="Book Antiqua"/>
          <w:b/>
          <w:bCs/>
          <w:sz w:val="22"/>
          <w:szCs w:val="22"/>
        </w:rPr>
        <w:br w:type="page"/>
      </w:r>
    </w:p>
    <w:p w14:paraId="00000005">
      <w:pPr>
        <w:pStyle w:val="Normal"/>
        <w:spacing w:before="0" w:after="160" w:line="240" w:lineRule="auto"/>
        <w:jc w:val="both"/>
        <w:rPr>
          <w:rFonts w:ascii="Book Antiqua" w:cs="Book Antiqua" w:eastAsia="Book Antiqua" w:hAnsi="Book Antiqua"/>
          <w:b/>
          <w:bCs/>
          <w:sz w:val="22"/>
          <w:szCs w:val="22"/>
        </w:rPr>
      </w:pPr>
      <w:r>
        <w:rPr/>
        <w:drawing xmlns:mc="http://schemas.openxmlformats.org/markup-compatibility/2006">
          <wp:inline distT="0" distB="0" distL="0" distR="0">
            <wp:extent cx="5541252" cy="8863330"/>
            <wp:effectExtent l="0" t="0" r="0" b="0"/>
            <wp:docPr id="2128341017" name="Picture 212834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41004" name="Picture 2128340871"/>
                    <pic:cNvPicPr>
                      <a:picLocks noChangeAspect="1"/>
                    </pic:cNvPicPr>
                  </pic:nvPicPr>
                  <pic:blipFill>
                    <a:blip r:embed="rId2029819387"/>
                    <a:srcRect/>
                    <a:stretch>
                      <a:fillRect/>
                    </a:stretch>
                  </pic:blipFill>
                  <pic:spPr>
                    <a:xfrm>
                      <a:off x="0" y="0"/>
                      <a:ext cx="5541252" cy="8863330"/>
                    </a:xfrm>
                    <a:prstGeom prst="rect">
                      <a:avLst/>
                    </a:prstGeom>
                  </pic:spPr>
                </pic:pic>
              </a:graphicData>
            </a:graphic>
          </wp:inline>
        </w:drawing>
      </w:r>
      <w:r>
        <w:rPr>
          <w:rFonts w:ascii="Book Antiqua" w:cs="Book Antiqua" w:eastAsia="Book Antiqua" w:hAnsi="Book Antiqua"/>
          <w:b/>
          <w:bCs/>
          <w:sz w:val="22"/>
          <w:szCs w:val="22"/>
        </w:rPr>
        <w:br w:type="page"/>
      </w:r>
    </w:p>
    <w:p w14:paraId="00000006">
      <w:pPr>
        <w:pStyle w:val="Normal"/>
        <w:spacing w:before="0" w:after="160" w:line="240" w:lineRule="auto"/>
        <w:jc w:val="both"/>
        <w:rPr>
          <w:rFonts w:ascii="Book Antiqua" w:cs="Book Antiqua" w:eastAsia="Book Antiqua" w:hAnsi="Book Antiqua"/>
          <w:b/>
          <w:bCs/>
          <w:sz w:val="22"/>
          <w:szCs w:val="22"/>
        </w:rPr>
      </w:pPr>
    </w:p>
    <w:p w14:paraId="00000007">
      <w:pPr>
        <w:pStyle w:val="Normal"/>
        <w:spacing w:before="0" w:after="160" w:line="240" w:lineRule="auto"/>
        <w:jc w:val="both"/>
        <w:rPr/>
      </w:pPr>
      <w:r>
        <w:rPr/>
        <w:drawing xmlns:mc="http://schemas.openxmlformats.org/markup-compatibility/2006">
          <wp:inline distT="0" distB="0" distL="0" distR="0">
            <wp:extent cx="5724525" cy="3120390"/>
            <wp:effectExtent l="0" t="0" r="0" b="0"/>
            <wp:docPr id="21283410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41005" name="drawing"/>
                    <pic:cNvPicPr/>
                  </pic:nvPicPr>
                  <pic:blipFill>
                    <a:blip r:embed="rId2029819388"/>
                    <a:srcRect/>
                    <a:stretch>
                      <a:fillRect/>
                    </a:stretch>
                  </pic:blipFill>
                  <pic:spPr>
                    <a:xfrm>
                      <a:off x="0" y="0"/>
                      <a:ext cx="5724525" cy="3120390"/>
                    </a:xfrm>
                    <a:prstGeom prst="rect">
                      <a:avLst/>
                    </a:prstGeom>
                  </pic:spPr>
                </pic:pic>
              </a:graphicData>
            </a:graphic>
          </wp:inline>
        </w:drawing>
      </w:r>
    </w:p>
    <w:p w14:paraId="00000008">
      <w:pPr>
        <w:spacing w:before="0" w:after="150" w:line="240" w:lineRule="auto"/>
        <w:jc w:val="both"/>
        <w:rPr>
          <w:rFonts w:ascii="Book Antiqua" w:cs="Book Antiqua" w:eastAsia="Book Antiqua" w:hAnsi="Book Antiqua"/>
          <w:b/>
          <w:bCs/>
          <w:i w:val="off"/>
          <w:iCs w:val="off"/>
          <w:sz w:val="22"/>
          <w:szCs w:val="22"/>
          <w:lang w:val="en-GB"/>
        </w:rPr>
      </w:pPr>
    </w:p>
    <w:p w14:paraId="00000009">
      <w:pPr>
        <w:spacing w:before="0" w:after="150" w:line="240"/>
        <w:jc w:val="both"/>
        <w:rPr>
          <w:rFonts w:ascii="Book Antiqua" w:cs="Book Antiqua" w:eastAsia="Book Antiqua" w:hAnsi="Book Antiqua"/>
          <w:b w:val="off"/>
          <w:bCs w:val="off"/>
          <w:i w:val="off"/>
          <w:iCs w:val="off"/>
          <w:sz w:val="22"/>
          <w:szCs w:val="22"/>
          <w:lang w:val="en-GB"/>
        </w:rPr>
      </w:pPr>
      <w:r>
        <w:rPr>
          <w:rFonts w:ascii="Book Antiqua" w:cs="Book Antiqua" w:eastAsia="Book Antiqua" w:hAnsi="Book Antiqua"/>
          <w:b/>
          <w:bCs/>
          <w:i w:val="off"/>
          <w:iCs w:val="off"/>
          <w:sz w:val="22"/>
          <w:szCs w:val="22"/>
          <w:lang w:val="en-GB"/>
        </w:rPr>
        <w:t xml:space="preserve">Figure 2a: ROC Curve (Model Performance): </w:t>
      </w:r>
      <w:r>
        <w:rPr>
          <w:rFonts w:ascii="Book Antiqua" w:cs="Book Antiqua" w:eastAsia="Book Antiqua" w:hAnsi="Book Antiqua"/>
          <w:b w:val="off"/>
          <w:bCs w:val="off"/>
          <w:i w:val="off"/>
          <w:iCs w:val="off"/>
          <w:sz w:val="22"/>
          <w:szCs w:val="22"/>
          <w:lang w:val="en-GB"/>
        </w:rPr>
        <w:t xml:space="preserve">ROC curve analysis evaluating the performance of machine learning models in classifying active versus inactive compounds. The Random Forest model achieved the highest predictive accuracy with an AUC of 0.923, followed by </w:t>
      </w:r>
      <w:r>
        <w:rPr>
          <w:rFonts w:ascii="Book Antiqua" w:cs="Book Antiqua" w:eastAsia="Book Antiqua" w:hAnsi="Book Antiqua"/>
          <w:b w:val="off"/>
          <w:bCs w:val="off"/>
          <w:i w:val="off"/>
          <w:iCs w:val="off"/>
          <w:sz w:val="22"/>
          <w:szCs w:val="22"/>
          <w:lang w:val="en-GB"/>
        </w:rPr>
        <w:t>XGBoost</w:t>
      </w:r>
      <w:r>
        <w:rPr>
          <w:rFonts w:ascii="Book Antiqua" w:cs="Book Antiqua" w:eastAsia="Book Antiqua" w:hAnsi="Book Antiqua"/>
          <w:b w:val="off"/>
          <w:bCs w:val="off"/>
          <w:i w:val="off"/>
          <w:iCs w:val="off"/>
          <w:sz w:val="22"/>
          <w:szCs w:val="22"/>
          <w:lang w:val="en-GB"/>
        </w:rPr>
        <w:t xml:space="preserve"> and Logistic Regression. These results </w:t>
      </w:r>
      <w:r>
        <w:rPr>
          <w:rFonts w:ascii="Book Antiqua" w:cs="Book Antiqua" w:eastAsia="Book Antiqua" w:hAnsi="Book Antiqua"/>
          <w:b w:val="off"/>
          <w:bCs w:val="off"/>
          <w:i w:val="off"/>
          <w:iCs w:val="off"/>
          <w:sz w:val="22"/>
          <w:szCs w:val="22"/>
          <w:lang w:val="en-GB"/>
        </w:rPr>
        <w:t>validate</w:t>
      </w:r>
      <w:r>
        <w:rPr>
          <w:rFonts w:ascii="Book Antiqua" w:cs="Book Antiqua" w:eastAsia="Book Antiqua" w:hAnsi="Book Antiqua"/>
          <w:b w:val="off"/>
          <w:bCs w:val="off"/>
          <w:i w:val="off"/>
          <w:iCs w:val="off"/>
          <w:sz w:val="22"/>
          <w:szCs w:val="22"/>
          <w:lang w:val="en-GB"/>
        </w:rPr>
        <w:t xml:space="preserve"> the robustness of the computational screening approach in </w:t>
      </w:r>
      <w:r>
        <w:rPr>
          <w:rFonts w:ascii="Book Antiqua" w:cs="Book Antiqua" w:eastAsia="Book Antiqua" w:hAnsi="Book Antiqua"/>
          <w:b w:val="off"/>
          <w:bCs w:val="off"/>
          <w:i w:val="off"/>
          <w:iCs w:val="off"/>
          <w:sz w:val="22"/>
          <w:szCs w:val="22"/>
          <w:lang w:val="en-GB"/>
        </w:rPr>
        <w:t>identifying</w:t>
      </w:r>
      <w:r>
        <w:rPr>
          <w:rFonts w:ascii="Book Antiqua" w:cs="Book Antiqua" w:eastAsia="Book Antiqua" w:hAnsi="Book Antiqua"/>
          <w:b w:val="off"/>
          <w:bCs w:val="off"/>
          <w:i w:val="off"/>
          <w:iCs w:val="off"/>
          <w:sz w:val="22"/>
          <w:szCs w:val="22"/>
          <w:lang w:val="en-GB"/>
        </w:rPr>
        <w:t xml:space="preserve"> potential lead candidates with high discriminatory power.</w:t>
      </w:r>
    </w:p>
    <w:p w14:paraId="0000000A">
      <w:pPr>
        <w:pStyle w:val="Normal"/>
        <w:spacing w:before="0" w:after="160" w:line="240" w:lineRule="auto"/>
        <w:jc w:val="both"/>
        <w:rPr>
          <w:rFonts w:ascii="Book Antiqua" w:cs="Book Antiqua" w:eastAsia="Book Antiqua" w:hAnsi="Book Antiqua"/>
          <w:sz w:val="22"/>
          <w:szCs w:val="22"/>
        </w:rPr>
      </w:pPr>
    </w:p>
    <w:p w14:paraId="0000000B">
      <w:pPr>
        <w:pStyle w:val="Normal"/>
        <w:spacing w:before="0" w:after="160" w:line="240" w:lineRule="auto"/>
        <w:jc w:val="both"/>
        <w:rPr/>
      </w:pPr>
    </w:p>
    <w:p w14:paraId="0000000C">
      <w:pPr>
        <w:spacing w:before="0" w:after="210" w:line="240" w:lineRule="auto"/>
        <w:jc w:val="both"/>
        <w:rPr>
          <w:rFonts w:ascii="Book Antiqua" w:cs="Book Antiqua" w:eastAsia="Book Antiqua" w:hAnsi="Book Antiqua"/>
          <w:b/>
          <w:bCs/>
          <w:i w:val="off"/>
          <w:iCs w:val="off"/>
          <w:sz w:val="22"/>
          <w:szCs w:val="22"/>
          <w:lang w:val="en-GB"/>
        </w:rPr>
      </w:pPr>
    </w:p>
    <w:p w14:paraId="0000000D">
      <w:pPr>
        <w:spacing w:before="0" w:after="210" w:line="240"/>
        <w:rPr/>
      </w:pPr>
      <w:r>
        <w:rPr/>
        <w:br w:type="page"/>
      </w:r>
    </w:p>
    <w:p w14:paraId="0000000E">
      <w:pPr>
        <w:pStyle w:val="Normal"/>
        <w:spacing w:before="0" w:after="210" w:line="240" w:lineRule="auto"/>
        <w:jc w:val="both"/>
        <w:rPr>
          <w:rFonts w:ascii="Book Antiqua" w:cs="Book Antiqua" w:eastAsia="Book Antiqua" w:hAnsi="Book Antiqua"/>
          <w:b w:val="off"/>
          <w:bCs w:val="off"/>
          <w:i w:val="off"/>
          <w:iCs w:val="off"/>
          <w:sz w:val="22"/>
          <w:szCs w:val="22"/>
          <w:lang w:val="en-GB"/>
        </w:rPr>
      </w:pPr>
      <w:r>
        <w:rPr/>
        <w:drawing xmlns:mc="http://schemas.openxmlformats.org/markup-compatibility/2006">
          <wp:inline distT="0" distB="0" distL="0" distR="0">
            <wp:extent cx="5277543" cy="5047509"/>
            <wp:effectExtent l="115017" t="0" r="0" b="230034"/>
            <wp:docPr id="21283410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41006" name="drawing"/>
                    <pic:cNvPicPr/>
                  </pic:nvPicPr>
                  <pic:blipFill>
                    <a:blip r:embed="rId2029819389"/>
                    <a:srcRect/>
                    <a:stretch>
                      <a:fillRect/>
                    </a:stretch>
                  </pic:blipFill>
                  <pic:spPr>
                    <a:xfrm rot="5400000">
                      <a:off x="0" y="0"/>
                      <a:ext cx="5277543" cy="5047509"/>
                    </a:xfrm>
                    <a:prstGeom prst="rect">
                      <a:avLst/>
                    </a:prstGeom>
                  </pic:spPr>
                </pic:pic>
              </a:graphicData>
            </a:graphic>
          </wp:inline>
        </w:drawing>
      </w:r>
    </w:p>
    <w:p w14:paraId="0000000F">
      <w:pPr>
        <w:pStyle w:val="Normal"/>
        <w:spacing w:before="0" w:after="210" w:line="240" w:lineRule="auto"/>
        <w:jc w:val="both"/>
        <w:rPr>
          <w:rFonts w:ascii="Book Antiqua" w:cs="Book Antiqua" w:eastAsia="Book Antiqua" w:hAnsi="Book Antiqua"/>
          <w:b/>
          <w:bCs/>
          <w:i w:val="off"/>
          <w:iCs w:val="off"/>
          <w:sz w:val="22"/>
          <w:szCs w:val="22"/>
          <w:lang w:val="en-GB"/>
        </w:rPr>
      </w:pPr>
    </w:p>
    <w:p w14:paraId="00000010">
      <w:pPr>
        <w:pStyle w:val="Normal"/>
        <w:spacing w:before="0" w:after="210" w:line="240" w:lineRule="auto"/>
        <w:jc w:val="both"/>
        <w:rPr>
          <w:rFonts w:ascii="Book Antiqua" w:cs="Book Antiqua" w:eastAsia="Book Antiqua" w:hAnsi="Book Antiqua"/>
          <w:b w:val="off"/>
          <w:bCs w:val="off"/>
          <w:i w:val="off"/>
          <w:iCs w:val="off"/>
          <w:sz w:val="22"/>
          <w:szCs w:val="22"/>
          <w:lang w:val="en-GB"/>
        </w:rPr>
      </w:pPr>
      <w:r>
        <w:rPr>
          <w:rFonts w:ascii="Book Antiqua" w:cs="Book Antiqua" w:eastAsia="Book Antiqua" w:hAnsi="Book Antiqua"/>
          <w:b/>
          <w:bCs/>
          <w:i w:val="off"/>
          <w:iCs w:val="off"/>
          <w:sz w:val="22"/>
          <w:szCs w:val="22"/>
          <w:lang w:val="en-GB"/>
        </w:rPr>
        <w:t xml:space="preserve">Figure </w:t>
      </w:r>
      <w:r>
        <w:rPr>
          <w:rFonts w:ascii="Book Antiqua" w:cs="Book Antiqua" w:eastAsia="Book Antiqua" w:hAnsi="Book Antiqua"/>
          <w:b/>
          <w:bCs/>
          <w:i w:val="off"/>
          <w:iCs w:val="off"/>
          <w:sz w:val="22"/>
          <w:szCs w:val="22"/>
          <w:lang w:val="en-GB"/>
        </w:rPr>
        <w:t xml:space="preserve">2b: Confusion Matrices (Model Classification): </w:t>
      </w:r>
      <w:r>
        <w:rPr>
          <w:rFonts w:ascii="Book Antiqua" w:cs="Book Antiqua" w:eastAsia="Book Antiqua" w:hAnsi="Book Antiqua"/>
          <w:b w:val="off"/>
          <w:bCs w:val="off"/>
          <w:i w:val="off"/>
          <w:iCs w:val="off"/>
          <w:sz w:val="22"/>
          <w:szCs w:val="22"/>
          <w:lang w:val="en-GB"/>
        </w:rPr>
        <w:t>Confusion matrices illustrating the classification performance of four machine learning models on the test dataset. The matrices display the distribution of true positives, true negatives, and misclassifications (false positives and false negatives) for active versus inactive compounds. Among the evaluated models, Random Forest</w:t>
      </w:r>
      <w:r>
        <w:rPr>
          <w:rFonts w:ascii="Book Antiqua" w:cs="Book Antiqua" w:eastAsia="Book Antiqua" w:hAnsi="Book Antiqua"/>
          <w:b w:val="off"/>
          <w:bCs w:val="off"/>
          <w:i w:val="off"/>
          <w:iCs w:val="off"/>
          <w:sz w:val="22"/>
          <w:szCs w:val="22"/>
          <w:lang w:val="en-GB"/>
        </w:rPr>
        <w:t xml:space="preserve"> </w:t>
      </w:r>
      <w:r>
        <w:rPr>
          <w:rFonts w:ascii="Book Antiqua" w:cs="Book Antiqua" w:eastAsia="Book Antiqua" w:hAnsi="Book Antiqua"/>
          <w:b w:val="off"/>
          <w:bCs w:val="off"/>
          <w:i w:val="off"/>
          <w:iCs w:val="off"/>
          <w:sz w:val="22"/>
          <w:szCs w:val="22"/>
          <w:lang w:val="en-GB"/>
        </w:rPr>
        <w:t>demonstrate</w:t>
      </w:r>
      <w:r>
        <w:rPr>
          <w:rFonts w:ascii="Book Antiqua" w:cs="Book Antiqua" w:eastAsia="Book Antiqua" w:hAnsi="Book Antiqua"/>
          <w:b w:val="off"/>
          <w:bCs w:val="off"/>
          <w:i w:val="off"/>
          <w:iCs w:val="off"/>
          <w:sz w:val="22"/>
          <w:szCs w:val="22"/>
          <w:lang w:val="en-GB"/>
        </w:rPr>
        <w:t>d</w:t>
      </w:r>
      <w:r>
        <w:rPr>
          <w:rFonts w:ascii="Book Antiqua" w:cs="Book Antiqua" w:eastAsia="Book Antiqua" w:hAnsi="Book Antiqua"/>
          <w:b w:val="off"/>
          <w:bCs w:val="off"/>
          <w:i w:val="off"/>
          <w:iCs w:val="off"/>
          <w:sz w:val="22"/>
          <w:szCs w:val="22"/>
          <w:lang w:val="en-GB"/>
        </w:rPr>
        <w:t xml:space="preserve"> superior predictive performance, characterized by the highest number of correct classifications and minimal prediction errors</w:t>
      </w:r>
    </w:p>
    <w:p w14:paraId="00000011">
      <w:pPr>
        <w:pStyle w:val="Normal"/>
        <w:jc w:val="both"/>
        <w:rPr>
          <w:rFonts w:ascii="Book Antiqua" w:cs="Book Antiqua" w:eastAsia="Book Antiqua" w:hAnsi="Book Antiqua"/>
          <w:b w:val="off"/>
          <w:bCs w:val="off"/>
          <w:i w:val="off"/>
          <w:iCs w:val="off"/>
          <w:sz w:val="22"/>
          <w:szCs w:val="22"/>
          <w:lang w:val="en-GB"/>
        </w:rPr>
        <w:sectPr>
          <w:type w:val="continuous"/>
          <w:pgSz w:w="11906" w:h="16838" w:orient="portrait"/>
          <w:pgMar w:top="1440" w:right="1440" w:bottom="1440" w:left="1440" w:header="720" w:footer="720" w:gutter="0"/>
          <w:cols w:space="720"/>
        </w:sectPr>
      </w:pPr>
      <w:r>
        <w:rPr/>
        <w:drawing xmlns:mc="http://schemas.openxmlformats.org/markup-compatibility/2006">
          <wp:inline distT="0" distB="0" distL="0" distR="0">
            <wp:extent cx="8365484" cy="5802064"/>
            <wp:effectExtent l="1281710" t="0" r="0" b="2563420"/>
            <wp:docPr id="21283410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41007" name="drawing"/>
                    <pic:cNvPicPr/>
                  </pic:nvPicPr>
                  <pic:blipFill>
                    <a:blip r:embed="rId2029819390"/>
                    <a:srcRect/>
                    <a:stretch>
                      <a:fillRect/>
                    </a:stretch>
                  </pic:blipFill>
                  <pic:spPr>
                    <a:xfrm rot="5400000">
                      <a:off x="0" y="0"/>
                      <a:ext cx="8365484" cy="5802064"/>
                    </a:xfrm>
                    <a:prstGeom prst="rect">
                      <a:avLst/>
                    </a:prstGeom>
                  </pic:spPr>
                </pic:pic>
              </a:graphicData>
            </a:graphic>
          </wp:inline>
        </w:drawing>
      </w:r>
      <w:r>
        <w:rPr>
          <w:rFonts w:ascii="Book Antiqua" w:cs="Book Antiqua" w:eastAsia="Book Antiqua" w:hAnsi="Book Antiqua"/>
          <w:b w:val="off"/>
          <w:bCs w:val="off"/>
          <w:i w:val="off"/>
          <w:iCs w:val="off"/>
          <w:sz w:val="22"/>
          <w:szCs w:val="22"/>
          <w:lang w:val="en-GB"/>
        </w:rPr>
        <w:br w:type="page"/>
      </w:r>
    </w:p>
    <w:p w14:paraId="00000012">
      <w:pPr>
        <w:pStyle w:val="Normal"/>
        <w:spacing w:before="0" w:after="180" w:line="240" w:lineRule="auto"/>
        <w:jc w:val="both"/>
        <w:rPr>
          <w:rFonts w:ascii="Book Antiqua" w:cs="Book Antiqua" w:eastAsia="Book Antiqua" w:hAnsi="Book Antiqua"/>
          <w:b w:val="off"/>
          <w:bCs w:val="off"/>
          <w:i w:val="off"/>
          <w:iCs w:val="off"/>
          <w:sz w:val="22"/>
          <w:szCs w:val="22"/>
          <w:lang w:val="en-GB"/>
        </w:rPr>
        <w:sectPr>
          <w:type w:val="nextPage"/>
          <w:pgSz w:w="16838" w:h="11906" w:orient="landscape"/>
          <w:pgMar w:top="1440" w:right="1440" w:bottom="1440" w:left="1440" w:header="720" w:footer="720" w:gutter="0"/>
          <w:cols w:space="720"/>
        </w:sectPr>
      </w:pPr>
      <w:r>
        <w:rPr/>
        <w:drawing xmlns:mc="http://schemas.openxmlformats.org/markup-compatibility/2006">
          <wp:inline distT="0" distB="0" distL="0" distR="0">
            <wp:extent cx="8858250" cy="5534025"/>
            <wp:effectExtent l="0" t="0" r="0" b="0"/>
            <wp:docPr id="21283410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41008" name="drawing"/>
                    <pic:cNvPicPr/>
                  </pic:nvPicPr>
                  <pic:blipFill>
                    <a:blip r:embed="rId2029819391"/>
                    <a:srcRect/>
                    <a:stretch>
                      <a:fillRect/>
                    </a:stretch>
                  </pic:blipFill>
                  <pic:spPr>
                    <a:xfrm>
                      <a:off x="0" y="0"/>
                      <a:ext cx="8858250" cy="5534025"/>
                    </a:xfrm>
                    <a:prstGeom prst="rect">
                      <a:avLst/>
                    </a:prstGeom>
                  </pic:spPr>
                </pic:pic>
              </a:graphicData>
            </a:graphic>
          </wp:inline>
        </w:drawing>
      </w:r>
    </w:p>
    <w:p w14:paraId="00000013">
      <w:pPr>
        <w:pStyle w:val="Normal"/>
        <w:spacing w:before="0" w:after="180" w:line="240" w:lineRule="auto"/>
        <w:jc w:val="both"/>
        <w:rPr/>
      </w:pPr>
      <w:r>
        <w:rPr/>
        <w:drawing xmlns:mc="http://schemas.openxmlformats.org/markup-compatibility/2006">
          <wp:inline distT="0" distB="0" distL="0" distR="0">
            <wp:extent cx="5724525" cy="3219450"/>
            <wp:effectExtent l="0" t="0" r="0" b="0"/>
            <wp:docPr id="21283410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41009" name="drawing"/>
                    <pic:cNvPicPr/>
                  </pic:nvPicPr>
                  <pic:blipFill>
                    <a:blip r:embed="rId2029819392"/>
                    <a:srcRect/>
                    <a:stretch>
                      <a:fillRect/>
                    </a:stretch>
                  </pic:blipFill>
                  <pic:spPr>
                    <a:xfrm>
                      <a:off x="0" y="0"/>
                      <a:ext cx="5724525" cy="3219450"/>
                    </a:xfrm>
                    <a:prstGeom prst="rect">
                      <a:avLst/>
                    </a:prstGeom>
                  </pic:spPr>
                </pic:pic>
              </a:graphicData>
            </a:graphic>
          </wp:inline>
        </w:drawing>
      </w:r>
    </w:p>
    <w:p w14:paraId="00000014">
      <w:pPr>
        <w:pStyle w:val="Normal"/>
        <w:spacing w:before="0" w:after="180" w:line="240"/>
        <w:jc w:val="both"/>
        <w:rPr>
          <w:rFonts w:ascii="Book Antiqua" w:cs="Book Antiqua" w:eastAsia="Book Antiqua" w:hAnsi="Book Antiqua"/>
          <w:sz w:val="22"/>
          <w:szCs w:val="22"/>
        </w:rPr>
      </w:pPr>
      <w:r>
        <w:rPr>
          <w:rFonts w:ascii="Book Antiqua" w:cs="Book Antiqua" w:eastAsia="Book Antiqua" w:hAnsi="Book Antiqua"/>
          <w:b/>
          <w:bCs/>
          <w:i w:val="off"/>
          <w:iCs w:val="off"/>
          <w:sz w:val="22"/>
          <w:szCs w:val="22"/>
          <w:lang w:val="en-GB"/>
        </w:rPr>
        <w:t xml:space="preserve">Figure 5: RMSD Comparison (Structural Stability): </w:t>
      </w:r>
      <w:r>
        <w:rPr>
          <w:rFonts w:ascii="Book Antiqua" w:cs="Book Antiqua" w:eastAsia="Book Antiqua" w:hAnsi="Book Antiqua"/>
          <w:b w:val="off"/>
          <w:bCs w:val="off"/>
          <w:i w:val="off"/>
          <w:iCs w:val="off"/>
          <w:sz w:val="22"/>
          <w:szCs w:val="22"/>
          <w:lang w:val="en-GB"/>
        </w:rPr>
        <w:t xml:space="preserve">Root Mean Square Deviation (RMSD) profiles of the S1PR1-Gi complex and the ligand-bound system. Both trajectories exhibit a high degree of overlap, </w:t>
      </w:r>
      <w:r>
        <w:rPr>
          <w:rFonts w:ascii="Book Antiqua" w:cs="Book Antiqua" w:eastAsia="Book Antiqua" w:hAnsi="Book Antiqua"/>
          <w:b w:val="off"/>
          <w:bCs w:val="off"/>
          <w:i w:val="off"/>
          <w:iCs w:val="off"/>
          <w:sz w:val="22"/>
          <w:szCs w:val="22"/>
          <w:lang w:val="en-GB"/>
        </w:rPr>
        <w:t>indicating</w:t>
      </w:r>
      <w:r>
        <w:rPr>
          <w:rFonts w:ascii="Book Antiqua" w:cs="Book Antiqua" w:eastAsia="Book Antiqua" w:hAnsi="Book Antiqua"/>
          <w:b w:val="off"/>
          <w:bCs w:val="off"/>
          <w:i w:val="off"/>
          <w:iCs w:val="off"/>
          <w:sz w:val="22"/>
          <w:szCs w:val="22"/>
          <w:lang w:val="en-GB"/>
        </w:rPr>
        <w:t xml:space="preserve"> that the binding of Febuxostat does not destabilize the structural integrity of the heterotrimeric </w:t>
      </w:r>
      <w:r>
        <w:rPr>
          <w:rFonts w:ascii="Book Antiqua" w:cs="Book Antiqua" w:eastAsia="Book Antiqua" w:hAnsi="Book Antiqua"/>
          <w:b w:val="off"/>
          <w:bCs w:val="off"/>
          <w:i w:val="off"/>
          <w:iCs w:val="off"/>
          <w:sz w:val="22"/>
          <w:szCs w:val="22"/>
          <w:lang w:val="en-GB"/>
        </w:rPr>
        <w:t>signaling</w:t>
      </w:r>
      <w:r>
        <w:rPr>
          <w:rFonts w:ascii="Book Antiqua" w:cs="Book Antiqua" w:eastAsia="Book Antiqua" w:hAnsi="Book Antiqua"/>
          <w:b w:val="off"/>
          <w:bCs w:val="off"/>
          <w:i w:val="off"/>
          <w:iCs w:val="off"/>
          <w:sz w:val="22"/>
          <w:szCs w:val="22"/>
          <w:lang w:val="en-GB"/>
        </w:rPr>
        <w:t xml:space="preserve"> complex. The system achieves a stable plateau after 12 ns, confirming conformational convergence suitable for binding site analysis.</w:t>
      </w:r>
    </w:p>
    <w:p w14:paraId="00000015">
      <w:pPr>
        <w:pStyle w:val="Normal"/>
        <w:spacing w:before="0" w:after="160" w:line="240" w:lineRule="auto"/>
        <w:jc w:val="both"/>
        <w:rPr>
          <w:rFonts w:ascii="Book Antiqua" w:cs="Book Antiqua" w:eastAsia="Book Antiqua" w:hAnsi="Book Antiqua"/>
          <w:b w:val="off"/>
          <w:bCs w:val="off"/>
          <w:i w:val="off"/>
          <w:iCs w:val="off"/>
          <w:sz w:val="22"/>
          <w:szCs w:val="22"/>
          <w:lang w:val="en-GB"/>
        </w:rPr>
      </w:pPr>
      <w:r>
        <w:rPr/>
        <w:drawing xmlns:mc="http://schemas.openxmlformats.org/markup-compatibility/2006">
          <wp:inline distT="0" distB="0" distL="0" distR="0">
            <wp:extent cx="5724525" cy="2914650"/>
            <wp:effectExtent l="0" t="0" r="0" b="0"/>
            <wp:docPr id="21283410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41010" name="drawing"/>
                    <pic:cNvPicPr/>
                  </pic:nvPicPr>
                  <pic:blipFill>
                    <a:blip r:embed="rId2029819393"/>
                    <a:srcRect/>
                    <a:stretch>
                      <a:fillRect/>
                    </a:stretch>
                  </pic:blipFill>
                  <pic:spPr>
                    <a:xfrm>
                      <a:off x="0" y="0"/>
                      <a:ext cx="5724525" cy="2914650"/>
                    </a:xfrm>
                    <a:prstGeom prst="rect">
                      <a:avLst/>
                    </a:prstGeom>
                  </pic:spPr>
                </pic:pic>
              </a:graphicData>
            </a:graphic>
          </wp:inline>
        </w:drawing>
      </w:r>
    </w:p>
    <w:p w14:paraId="00000016">
      <w:pPr>
        <w:pStyle w:val="Normal"/>
        <w:spacing w:before="0" w:after="160" w:line="240" w:lineRule="auto"/>
        <w:jc w:val="both"/>
        <w:rPr>
          <w:rFonts w:ascii="Book Antiqua" w:cs="Book Antiqua" w:eastAsia="Book Antiqua" w:hAnsi="Book Antiqua"/>
          <w:b w:val="off"/>
          <w:bCs w:val="off"/>
          <w:i w:val="off"/>
          <w:iCs w:val="off"/>
          <w:sz w:val="22"/>
          <w:szCs w:val="22"/>
          <w:lang w:val="en-GB"/>
        </w:rPr>
      </w:pPr>
      <w:r>
        <w:rPr>
          <w:rFonts w:ascii="Book Antiqua" w:cs="Book Antiqua" w:eastAsia="Book Antiqua" w:hAnsi="Book Antiqua"/>
          <w:b/>
          <w:bCs/>
          <w:i w:val="off"/>
          <w:iCs w:val="off"/>
          <w:sz w:val="22"/>
          <w:szCs w:val="22"/>
          <w:lang w:val="en-GB"/>
        </w:rPr>
        <w:t>Figure 6: C</w:t>
      </w:r>
      <w:r>
        <w:rPr>
          <w:rFonts w:ascii="Book Antiqua" w:cs="Book Antiqua" w:eastAsia="Book Antiqua" w:hAnsi="Book Antiqua"/>
          <w:b/>
          <w:bCs/>
          <w:i w:val="off"/>
          <w:iCs w:val="off"/>
          <w:color w:val="0e0e0e"/>
          <w:sz w:val="22"/>
          <w:szCs w:val="22"/>
          <w:lang w:val="en-GB"/>
        </w:rPr>
        <w:t>α-</w:t>
      </w:r>
      <w:r>
        <w:rPr>
          <w:rFonts w:ascii="Book Antiqua" w:cs="Book Antiqua" w:eastAsia="Book Antiqua" w:hAnsi="Book Antiqua"/>
          <w:b/>
          <w:bCs/>
          <w:i w:val="off"/>
          <w:iCs w:val="off"/>
          <w:sz w:val="22"/>
          <w:szCs w:val="22"/>
          <w:lang w:val="en-GB"/>
        </w:rPr>
        <w:t xml:space="preserve"> RMSF Analysis (Residue-Level Flexibility):</w:t>
      </w:r>
      <w:r>
        <w:rPr>
          <w:rFonts w:ascii="Book Antiqua" w:cs="Book Antiqua" w:eastAsia="Book Antiqua" w:hAnsi="Book Antiqua"/>
          <w:b w:val="off"/>
          <w:bCs w:val="off"/>
          <w:i w:val="off"/>
          <w:iCs w:val="off"/>
          <w:sz w:val="22"/>
          <w:szCs w:val="22"/>
          <w:lang w:val="en-GB"/>
        </w:rPr>
        <w:t xml:space="preserve"> Residue-wise fluctuations of the S1PR1-Gi complex measured via C</w:t>
      </w:r>
      <w:r>
        <w:rPr>
          <w:rFonts w:ascii="Book Antiqua" w:cs="Book Antiqua" w:eastAsia="Book Antiqua" w:hAnsi="Book Antiqua"/>
          <w:b w:val="off"/>
          <w:bCs w:val="off"/>
          <w:i w:val="off"/>
          <w:iCs w:val="off"/>
          <w:color w:val="0e0e0e"/>
          <w:sz w:val="22"/>
          <w:szCs w:val="22"/>
          <w:lang w:val="en-GB"/>
        </w:rPr>
        <w:t>α</w:t>
      </w:r>
      <w:r>
        <w:rPr>
          <w:rFonts w:ascii="Book Antiqua" w:cs="Book Antiqua" w:eastAsia="Book Antiqua" w:hAnsi="Book Antiqua"/>
          <w:b w:val="off"/>
          <w:bCs w:val="off"/>
          <w:i w:val="off"/>
          <w:iCs w:val="off"/>
          <w:sz w:val="22"/>
          <w:szCs w:val="22"/>
          <w:lang w:val="en-GB"/>
        </w:rPr>
        <w:t xml:space="preserve">-RMSF. The transmembrane helical regions </w:t>
      </w:r>
      <w:r>
        <w:rPr>
          <w:rFonts w:ascii="Book Antiqua" w:cs="Book Antiqua" w:eastAsia="Book Antiqua" w:hAnsi="Book Antiqua"/>
          <w:b w:val="off"/>
          <w:bCs w:val="off"/>
          <w:i w:val="off"/>
          <w:iCs w:val="off"/>
          <w:sz w:val="22"/>
          <w:szCs w:val="22"/>
          <w:lang w:val="en-GB"/>
        </w:rPr>
        <w:t>demonstrate</w:t>
      </w:r>
      <w:r>
        <w:rPr>
          <w:rFonts w:ascii="Book Antiqua" w:cs="Book Antiqua" w:eastAsia="Book Antiqua" w:hAnsi="Book Antiqua"/>
          <w:b w:val="off"/>
          <w:bCs w:val="off"/>
          <w:i w:val="off"/>
          <w:iCs w:val="off"/>
          <w:sz w:val="22"/>
          <w:szCs w:val="22"/>
          <w:lang w:val="en-GB"/>
        </w:rPr>
        <w:t xml:space="preserve"> high structural rigidity with fluctuations under 0.3 nm, while elevated peaks are </w:t>
      </w:r>
      <w:r>
        <w:rPr>
          <w:rFonts w:ascii="Book Antiqua" w:cs="Book Antiqua" w:eastAsia="Book Antiqua" w:hAnsi="Book Antiqua"/>
          <w:b w:val="off"/>
          <w:bCs w:val="off"/>
          <w:i w:val="off"/>
          <w:iCs w:val="off"/>
          <w:sz w:val="22"/>
          <w:szCs w:val="22"/>
          <w:lang w:val="en-GB"/>
        </w:rPr>
        <w:t>observed</w:t>
      </w:r>
      <w:r>
        <w:rPr>
          <w:rFonts w:ascii="Book Antiqua" w:cs="Book Antiqua" w:eastAsia="Book Antiqua" w:hAnsi="Book Antiqua"/>
          <w:b w:val="off"/>
          <w:bCs w:val="off"/>
          <w:i w:val="off"/>
          <w:iCs w:val="off"/>
          <w:sz w:val="22"/>
          <w:szCs w:val="22"/>
          <w:lang w:val="en-GB"/>
        </w:rPr>
        <w:t xml:space="preserve"> at the N-terminal and flexible loop regions. This fluctuation profile confirms that the core </w:t>
      </w:r>
      <w:r>
        <w:rPr>
          <w:rFonts w:ascii="Book Antiqua" w:cs="Book Antiqua" w:eastAsia="Book Antiqua" w:hAnsi="Book Antiqua"/>
          <w:b w:val="off"/>
          <w:bCs w:val="off"/>
          <w:i w:val="off"/>
          <w:iCs w:val="off"/>
          <w:sz w:val="22"/>
          <w:szCs w:val="22"/>
          <w:lang w:val="en-GB"/>
        </w:rPr>
        <w:t>signaling</w:t>
      </w:r>
      <w:r>
        <w:rPr>
          <w:rFonts w:ascii="Book Antiqua" w:cs="Book Antiqua" w:eastAsia="Book Antiqua" w:hAnsi="Book Antiqua"/>
          <w:b w:val="off"/>
          <w:bCs w:val="off"/>
          <w:i w:val="off"/>
          <w:iCs w:val="off"/>
          <w:sz w:val="22"/>
          <w:szCs w:val="22"/>
          <w:lang w:val="en-GB"/>
        </w:rPr>
        <w:t xml:space="preserve"> architecture </w:t>
      </w:r>
      <w:r>
        <w:rPr>
          <w:rFonts w:ascii="Book Antiqua" w:cs="Book Antiqua" w:eastAsia="Book Antiqua" w:hAnsi="Book Antiqua"/>
          <w:b w:val="off"/>
          <w:bCs w:val="off"/>
          <w:i w:val="off"/>
          <w:iCs w:val="off"/>
          <w:sz w:val="22"/>
          <w:szCs w:val="22"/>
          <w:lang w:val="en-GB"/>
        </w:rPr>
        <w:t>remains</w:t>
      </w:r>
      <w:r>
        <w:rPr>
          <w:rFonts w:ascii="Book Antiqua" w:cs="Book Antiqua" w:eastAsia="Book Antiqua" w:hAnsi="Book Antiqua"/>
          <w:b w:val="off"/>
          <w:bCs w:val="off"/>
          <w:i w:val="off"/>
          <w:iCs w:val="off"/>
          <w:sz w:val="22"/>
          <w:szCs w:val="22"/>
          <w:lang w:val="en-GB"/>
        </w:rPr>
        <w:t xml:space="preserve"> stable throughout the 15 ns production run.</w:t>
      </w:r>
    </w:p>
    <w:p w14:paraId="00000017">
      <w:pPr>
        <w:pStyle w:val="Normal"/>
        <w:spacing w:before="0" w:after="160" w:line="240" w:lineRule="auto"/>
        <w:jc w:val="both"/>
        <w:rPr/>
      </w:pPr>
      <w:r>
        <w:rPr/>
        <w:drawing xmlns:mc="http://schemas.openxmlformats.org/markup-compatibility/2006">
          <wp:inline distT="0" distB="0" distL="0" distR="0">
            <wp:extent cx="5724525" cy="3219450"/>
            <wp:effectExtent l="0" t="0" r="0" b="0"/>
            <wp:docPr id="21283410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41011" name="drawing"/>
                    <pic:cNvPicPr/>
                  </pic:nvPicPr>
                  <pic:blipFill>
                    <a:blip r:embed="rId2029819394"/>
                    <a:srcRect/>
                    <a:stretch>
                      <a:fillRect/>
                    </a:stretch>
                  </pic:blipFill>
                  <pic:spPr>
                    <a:xfrm>
                      <a:off x="0" y="0"/>
                      <a:ext cx="5724525" cy="3219450"/>
                    </a:xfrm>
                    <a:prstGeom prst="rect">
                      <a:avLst/>
                    </a:prstGeom>
                  </pic:spPr>
                </pic:pic>
              </a:graphicData>
            </a:graphic>
          </wp:inline>
        </w:drawing>
      </w:r>
    </w:p>
    <w:p w14:paraId="00000018">
      <w:pPr>
        <w:spacing w:before="0" w:after="210" w:line="240"/>
        <w:jc w:val="both"/>
        <w:rPr>
          <w:rFonts w:ascii="Book Antiqua" w:cs="Book Antiqua" w:eastAsia="Book Antiqua" w:hAnsi="Book Antiqua"/>
          <w:sz w:val="22"/>
          <w:szCs w:val="22"/>
        </w:rPr>
      </w:pPr>
      <w:r>
        <w:rPr>
          <w:rFonts w:ascii="Book Antiqua" w:cs="Book Antiqua" w:eastAsia="Book Antiqua" w:hAnsi="Book Antiqua"/>
          <w:b/>
          <w:bCs/>
          <w:i w:val="off"/>
          <w:iCs w:val="off"/>
          <w:sz w:val="22"/>
          <w:szCs w:val="22"/>
          <w:lang w:val="en-GB"/>
        </w:rPr>
        <w:t xml:space="preserve">Figure 7: Radius of Gyration (Structural Compactness): </w:t>
      </w:r>
      <w:r>
        <w:rPr>
          <w:rFonts w:ascii="Book Antiqua" w:cs="Book Antiqua" w:eastAsia="Book Antiqua" w:hAnsi="Book Antiqua"/>
          <w:b w:val="off"/>
          <w:bCs w:val="off"/>
          <w:i w:val="off"/>
          <w:iCs w:val="off"/>
          <w:sz w:val="22"/>
          <w:szCs w:val="22"/>
          <w:lang w:val="en-GB"/>
        </w:rPr>
        <w:t xml:space="preserve">Radius of Gyration (Rg) of the S1PR1-Gi complex over the 15 ns simulation. The consistent Rg values, fluctuating within a narrow range of 3.8 nm to 4.0 nm, indicate that the heterotrimeric complex </w:t>
      </w:r>
      <w:r>
        <w:rPr>
          <w:rFonts w:ascii="Book Antiqua" w:cs="Book Antiqua" w:eastAsia="Book Antiqua" w:hAnsi="Book Antiqua"/>
          <w:b w:val="off"/>
          <w:bCs w:val="off"/>
          <w:i w:val="off"/>
          <w:iCs w:val="off"/>
          <w:sz w:val="22"/>
          <w:szCs w:val="22"/>
          <w:lang w:val="en-GB"/>
        </w:rPr>
        <w:t>maintains</w:t>
      </w:r>
      <w:r>
        <w:rPr>
          <w:rFonts w:ascii="Book Antiqua" w:cs="Book Antiqua" w:eastAsia="Book Antiqua" w:hAnsi="Book Antiqua"/>
          <w:b w:val="off"/>
          <w:bCs w:val="off"/>
          <w:i w:val="off"/>
          <w:iCs w:val="off"/>
          <w:sz w:val="22"/>
          <w:szCs w:val="22"/>
          <w:lang w:val="en-GB"/>
        </w:rPr>
        <w:t xml:space="preserve"> a highly compact and well-folded globular state. The lack of divergence between the complex protein and bound systems further confirms that ligand binding does not induce structural expansion.</w:t>
      </w:r>
    </w:p>
    <w:p w14:paraId="00000019">
      <w:pPr>
        <w:pStyle w:val="Normal"/>
        <w:spacing w:before="0" w:after="160" w:line="240" w:lineRule="auto"/>
        <w:jc w:val="both"/>
        <w:rPr/>
      </w:pPr>
      <w:r>
        <w:rPr/>
        <w:drawing xmlns:mc="http://schemas.openxmlformats.org/markup-compatibility/2006">
          <wp:inline distT="0" distB="0" distL="0" distR="0">
            <wp:extent cx="5724525" cy="2800350"/>
            <wp:effectExtent l="0" t="0" r="0" b="0"/>
            <wp:docPr id="21283410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41012" name="drawing"/>
                    <pic:cNvPicPr/>
                  </pic:nvPicPr>
                  <pic:blipFill>
                    <a:blip r:embed="rId2029819395"/>
                    <a:srcRect/>
                    <a:stretch>
                      <a:fillRect/>
                    </a:stretch>
                  </pic:blipFill>
                  <pic:spPr>
                    <a:xfrm>
                      <a:off x="0" y="0"/>
                      <a:ext cx="5724525" cy="2800350"/>
                    </a:xfrm>
                    <a:prstGeom prst="rect">
                      <a:avLst/>
                    </a:prstGeom>
                  </pic:spPr>
                </pic:pic>
              </a:graphicData>
            </a:graphic>
          </wp:inline>
        </w:drawing>
      </w:r>
    </w:p>
    <w:p w14:paraId="0000001A">
      <w:pPr>
        <w:spacing w:before="0" w:after="150" w:line="240"/>
        <w:jc w:val="both"/>
        <w:rPr>
          <w:rFonts w:ascii="Book Antiqua" w:cs="Book Antiqua" w:eastAsia="Book Antiqua" w:hAnsi="Book Antiqua"/>
          <w:b w:val="off"/>
          <w:bCs w:val="off"/>
          <w:i w:val="off"/>
          <w:iCs w:val="off"/>
          <w:sz w:val="22"/>
          <w:szCs w:val="22"/>
          <w:lang w:val="en-GB"/>
        </w:rPr>
      </w:pPr>
      <w:r>
        <w:rPr>
          <w:rFonts w:ascii="Book Antiqua" w:cs="Book Antiqua" w:eastAsia="Book Antiqua" w:hAnsi="Book Antiqua"/>
          <w:b/>
          <w:bCs/>
          <w:i w:val="off"/>
          <w:iCs w:val="off"/>
          <w:sz w:val="22"/>
          <w:szCs w:val="22"/>
          <w:lang w:val="en-GB"/>
        </w:rPr>
        <w:t>Figure 8: Solvent Accessible Surface Area (SASA) analysis monitoring the surface exposure of the protein and protein-ligand complexes.</w:t>
      </w:r>
      <w:r>
        <w:rPr>
          <w:rFonts w:ascii="Book Antiqua" w:cs="Book Antiqua" w:eastAsia="Book Antiqua" w:hAnsi="Book Antiqua"/>
          <w:b w:val="off"/>
          <w:bCs w:val="off"/>
          <w:i w:val="off"/>
          <w:iCs w:val="off"/>
          <w:sz w:val="22"/>
          <w:szCs w:val="22"/>
          <w:lang w:val="en-GB"/>
        </w:rPr>
        <w:t xml:space="preserve"> A gradual decrease in surface area is observed during the first 5 ns, followed by a stable plateau, suggesting the system achieves a more buried and compact hydrophobic core. The slightly lower SASA values for the Febuxostat-bound system indicate effective occupancy of the binding pocket, shielding internal residues from the solvent environment.</w:t>
      </w:r>
    </w:p>
    <w:p w14:paraId="0000001B">
      <w:pPr>
        <w:pStyle w:val="Normal"/>
        <w:spacing w:before="0" w:after="160" w:line="240" w:lineRule="auto"/>
        <w:jc w:val="both"/>
        <w:rPr>
          <w:rFonts w:ascii="Book Antiqua" w:cs="Book Antiqua" w:eastAsia="Book Antiqua" w:hAnsi="Book Antiqua"/>
          <w:sz w:val="22"/>
          <w:szCs w:val="22"/>
        </w:rPr>
      </w:pPr>
    </w:p>
    <w:p w14:paraId="0000001C">
      <w:pPr>
        <w:pStyle w:val="Normal"/>
        <w:spacing w:before="0" w:after="160" w:line="240" w:lineRule="auto"/>
        <w:jc w:val="both"/>
        <w:rPr/>
      </w:pPr>
      <w:r>
        <w:rPr/>
        <w:drawing xmlns:mc="http://schemas.openxmlformats.org/markup-compatibility/2006">
          <wp:inline distT="0" distB="0" distL="0" distR="0">
            <wp:extent cx="5724525" cy="3219450"/>
            <wp:effectExtent l="0" t="0" r="0" b="0"/>
            <wp:docPr id="21283410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41013" name="drawing"/>
                    <pic:cNvPicPr/>
                  </pic:nvPicPr>
                  <pic:blipFill>
                    <a:blip r:embed="rId2029819396"/>
                    <a:srcRect/>
                    <a:stretch>
                      <a:fillRect/>
                    </a:stretch>
                  </pic:blipFill>
                  <pic:spPr>
                    <a:xfrm>
                      <a:off x="0" y="0"/>
                      <a:ext cx="5724525" cy="3219450"/>
                    </a:xfrm>
                    <a:prstGeom prst="rect">
                      <a:avLst/>
                    </a:prstGeom>
                  </pic:spPr>
                </pic:pic>
              </a:graphicData>
            </a:graphic>
          </wp:inline>
        </w:drawing>
      </w:r>
    </w:p>
    <w:p w14:paraId="0000001D">
      <w:pPr>
        <w:spacing w:before="0" w:after="150" w:line="240"/>
        <w:jc w:val="both"/>
        <w:rPr>
          <w:rFonts w:ascii="Book Antiqua" w:cs="Book Antiqua" w:eastAsia="Book Antiqua" w:hAnsi="Book Antiqua"/>
          <w:b w:val="off"/>
          <w:bCs w:val="off"/>
          <w:i w:val="off"/>
          <w:iCs w:val="off"/>
          <w:sz w:val="22"/>
          <w:szCs w:val="22"/>
          <w:lang w:val="en-GB"/>
        </w:rPr>
      </w:pPr>
      <w:r>
        <w:rPr>
          <w:rFonts w:ascii="Book Antiqua" w:cs="Book Antiqua" w:eastAsia="Book Antiqua" w:hAnsi="Book Antiqua"/>
          <w:b/>
          <w:bCs/>
          <w:i w:val="off"/>
          <w:iCs w:val="off"/>
          <w:sz w:val="22"/>
          <w:szCs w:val="22"/>
          <w:lang w:val="en-GB"/>
        </w:rPr>
        <w:t xml:space="preserve">Figure 9: Hydrogen Bond Interactions: </w:t>
      </w:r>
      <w:r>
        <w:rPr>
          <w:rFonts w:ascii="Book Antiqua" w:cs="Book Antiqua" w:eastAsia="Book Antiqua" w:hAnsi="Book Antiqua"/>
          <w:b w:val="off"/>
          <w:bCs w:val="off"/>
          <w:i w:val="off"/>
          <w:iCs w:val="off"/>
          <w:sz w:val="22"/>
          <w:szCs w:val="22"/>
          <w:lang w:val="en-GB"/>
        </w:rPr>
        <w:t xml:space="preserve">Monitoring of intermolecular hydrogen bond pairs between Febuxostat and the S1PR1 binding pocket over 15 ns. The analysis reveals the presence of at least one persistent hydrogen bond throughout the majority of the simulation, indicating a stable polar anchoring of the ligand. These consistent interactions contribute to the overall binding affinity and residence time of the inhibitor within the </w:t>
      </w:r>
      <w:r>
        <w:rPr>
          <w:rFonts w:ascii="Book Antiqua" w:cs="Book Antiqua" w:eastAsia="Book Antiqua" w:hAnsi="Book Antiqua"/>
          <w:b w:val="off"/>
          <w:bCs w:val="off"/>
          <w:i w:val="off"/>
          <w:iCs w:val="off"/>
          <w:sz w:val="22"/>
          <w:szCs w:val="22"/>
          <w:lang w:val="en-GB"/>
        </w:rPr>
        <w:t>orthosteric</w:t>
      </w:r>
      <w:r>
        <w:rPr>
          <w:rFonts w:ascii="Book Antiqua" w:cs="Book Antiqua" w:eastAsia="Book Antiqua" w:hAnsi="Book Antiqua"/>
          <w:b w:val="off"/>
          <w:bCs w:val="off"/>
          <w:i w:val="off"/>
          <w:iCs w:val="off"/>
          <w:sz w:val="22"/>
          <w:szCs w:val="22"/>
          <w:lang w:val="en-GB"/>
        </w:rPr>
        <w:t xml:space="preserve"> site.</w:t>
      </w:r>
    </w:p>
    <w:p w14:paraId="0000001E">
      <w:pPr>
        <w:spacing w:before="0" w:after="150" w:line="240"/>
        <w:jc w:val="both"/>
        <w:rPr>
          <w:rFonts w:ascii="Book Antiqua" w:cs="Book Antiqua" w:eastAsia="Book Antiqua" w:hAnsi="Book Antiqua"/>
          <w:b w:val="off"/>
          <w:bCs w:val="off"/>
          <w:i w:val="off"/>
          <w:iCs w:val="off"/>
          <w:sz w:val="22"/>
          <w:szCs w:val="22"/>
          <w:lang w:val="en-GB"/>
        </w:rPr>
      </w:pPr>
    </w:p>
    <w:p w14:paraId="0000001F">
      <w:pPr>
        <w:spacing w:before="0" w:after="150" w:line="240"/>
        <w:jc w:val="both"/>
        <w:rPr>
          <w:rFonts w:ascii="Book Antiqua" w:cs="Book Antiqua" w:eastAsia="Book Antiqua" w:hAnsi="Book Antiqua"/>
          <w:b w:val="off"/>
          <w:bCs w:val="off"/>
          <w:i w:val="off"/>
          <w:iCs w:val="off"/>
          <w:sz w:val="22"/>
          <w:szCs w:val="22"/>
          <w:lang w:val="en-GB"/>
        </w:rPr>
      </w:pPr>
    </w:p>
    <w:p w14:paraId="00000020">
      <w:pPr>
        <w:pStyle w:val="Normal"/>
        <w:spacing w:before="0" w:after="160" w:line="240" w:lineRule="auto"/>
        <w:jc w:val="both"/>
        <w:rPr/>
      </w:pPr>
      <w:r>
        <w:rPr/>
        <w:drawing xmlns:mc="http://schemas.openxmlformats.org/markup-compatibility/2006">
          <wp:inline distT="0" distB="0" distL="0" distR="0">
            <wp:extent cx="5724525" cy="3219450"/>
            <wp:effectExtent l="0" t="0" r="0" b="0"/>
            <wp:docPr id="21283410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41014" name="drawing"/>
                    <pic:cNvPicPr/>
                  </pic:nvPicPr>
                  <pic:blipFill>
                    <a:blip r:embed="rId2029819397"/>
                    <a:srcRect/>
                    <a:stretch>
                      <a:fillRect/>
                    </a:stretch>
                  </pic:blipFill>
                  <pic:spPr>
                    <a:xfrm>
                      <a:off x="0" y="0"/>
                      <a:ext cx="5724525" cy="3219450"/>
                    </a:xfrm>
                    <a:prstGeom prst="rect">
                      <a:avLst/>
                    </a:prstGeom>
                  </pic:spPr>
                </pic:pic>
              </a:graphicData>
            </a:graphic>
          </wp:inline>
        </w:drawing>
      </w:r>
    </w:p>
    <w:p w14:paraId="00000021">
      <w:pPr>
        <w:pStyle w:val="Normal"/>
        <w:spacing w:before="0" w:after="160" w:line="240" w:lineRule="auto"/>
        <w:jc w:val="both"/>
        <w:rPr>
          <w:rFonts w:ascii="Book Antiqua" w:cs="Book Antiqua" w:eastAsia="Book Antiqua" w:hAnsi="Book Antiqua"/>
          <w:sz w:val="22"/>
          <w:szCs w:val="22"/>
        </w:rPr>
        <w:sectPr>
          <w:type w:val="nextPage"/>
          <w:pgSz w:w="11906" w:h="16838" w:orient="portrait"/>
          <w:pgMar w:top="1440" w:right="1440" w:bottom="1440" w:left="1440" w:header="720" w:footer="720" w:gutter="0"/>
          <w:cols w:space="720"/>
        </w:sectPr>
      </w:pPr>
      <w:r>
        <w:rPr>
          <w:rFonts w:ascii="Book Antiqua" w:cs="Book Antiqua" w:eastAsia="Book Antiqua" w:hAnsi="Book Antiqua"/>
          <w:sz w:val="22"/>
          <w:szCs w:val="22"/>
        </w:rPr>
        <w:br w:type="page"/>
      </w:r>
    </w:p>
    <w:p w14:paraId="00000022">
      <w:pPr>
        <w:pStyle w:val="Normal"/>
        <w:spacing w:before="0" w:after="160" w:line="240" w:lineRule="auto"/>
        <w:jc w:val="both"/>
        <w:rPr>
          <w:rFonts w:ascii="Book Antiqua" w:cs="Book Antiqua" w:eastAsia="Book Antiqua" w:hAnsi="Book Antiqua"/>
          <w:sz w:val="22"/>
          <w:szCs w:val="22"/>
        </w:rPr>
      </w:pPr>
    </w:p>
    <w:p w14:paraId="00000023">
      <w:pPr>
        <w:pStyle w:val="Normal"/>
        <w:spacing w:before="0" w:after="150" w:line="240"/>
        <w:ind w:left="0"/>
        <w:jc w:val="both"/>
        <w:rPr>
          <w:rFonts w:ascii="Book Antiqua" w:cs="Book Antiqua" w:eastAsia="Book Antiqua" w:hAnsi="Book Antiqua"/>
          <w:b/>
          <w:bCs/>
          <w:i w:val="off"/>
          <w:iCs w:val="off"/>
          <w:color w:val="0e0e0e"/>
          <w:sz w:val="22"/>
          <w:szCs w:val="22"/>
          <w:lang w:val="en-GB"/>
        </w:rPr>
      </w:pPr>
      <w:r>
        <w:rPr>
          <w:rFonts w:ascii="Book Antiqua" w:cs="Book Antiqua" w:eastAsia="Book Antiqua" w:hAnsi="Book Antiqua"/>
          <w:b/>
          <w:bCs/>
          <w:i w:val="off"/>
          <w:iCs w:val="off"/>
          <w:color w:val="0e0e0e"/>
          <w:sz w:val="22"/>
          <w:szCs w:val="22"/>
          <w:lang w:val="en-GB"/>
        </w:rPr>
        <w:t>TABLES:</w:t>
      </w:r>
    </w:p>
    <w:p w14:paraId="00000024">
      <w:pPr>
        <w:pStyle w:val="Normal"/>
        <w:spacing w:before="0" w:after="150" w:line="240"/>
        <w:ind w:left="0"/>
        <w:jc w:val="both"/>
        <w:rPr>
          <w:rFonts w:ascii="Book Antiqua" w:cs="Book Antiqua" w:eastAsia="Book Antiqua" w:hAnsi="Book Antiqua"/>
          <w:b/>
          <w:bCs/>
          <w:i w:val="off"/>
          <w:iCs w:val="off"/>
          <w:color w:val="0e0e0e"/>
          <w:sz w:val="22"/>
          <w:szCs w:val="22"/>
          <w:lang w:val="en-GB"/>
        </w:rPr>
      </w:pPr>
    </w:p>
    <w:p w14:paraId="00000025">
      <w:pPr>
        <w:pStyle w:val="Normal"/>
        <w:spacing w:before="0" w:after="150" w:line="240"/>
        <w:ind w:left="0"/>
        <w:jc w:val="both"/>
        <w:rPr>
          <w:rFonts w:ascii="Book Antiqua" w:cs="Book Antiqua" w:eastAsia="Book Antiqua" w:hAnsi="Book Antiqua"/>
          <w:b/>
          <w:bCs/>
          <w:i w:val="off"/>
          <w:iCs w:val="off"/>
          <w:color w:val="0e0e0e"/>
          <w:sz w:val="22"/>
          <w:szCs w:val="22"/>
          <w:lang w:val="en-GB"/>
        </w:rPr>
      </w:pPr>
      <w:r>
        <w:rPr>
          <w:rFonts w:ascii="Book Antiqua" w:cs="Book Antiqua" w:eastAsia="Book Antiqua" w:hAnsi="Book Antiqua"/>
          <w:b/>
          <w:bCs/>
          <w:i w:val="off"/>
          <w:iCs w:val="off"/>
          <w:color w:val="0e0e0e"/>
          <w:sz w:val="22"/>
          <w:szCs w:val="22"/>
          <w:lang w:val="en-GB"/>
        </w:rPr>
        <w:t xml:space="preserve">Table </w:t>
      </w:r>
      <w:r>
        <w:rPr>
          <w:rFonts w:ascii="Book Antiqua" w:cs="Book Antiqua" w:eastAsia="Book Antiqua" w:hAnsi="Book Antiqua"/>
          <w:b/>
          <w:bCs/>
          <w:sz w:val="22"/>
          <w:szCs w:val="22"/>
          <w:lang w:val="en-GB"/>
        </w:rPr>
        <w:t>I</w:t>
      </w:r>
      <w:r>
        <w:rPr>
          <w:rFonts w:ascii="Book Antiqua" w:cs="Book Antiqua" w:eastAsia="Book Antiqua" w:hAnsi="Book Antiqua"/>
          <w:b/>
          <w:bCs/>
          <w:i w:val="off"/>
          <w:iCs w:val="off"/>
          <w:color w:val="0e0e0e"/>
          <w:sz w:val="22"/>
          <w:szCs w:val="22"/>
          <w:lang w:val="en-GB"/>
        </w:rPr>
        <w:t>: Overall Performance Comparison Table</w:t>
      </w:r>
    </w:p>
    <w:p w14:paraId="00000026">
      <w:pPr>
        <w:pStyle w:val="Normal"/>
        <w:spacing w:before="0" w:after="150" w:line="240"/>
        <w:ind w:left="0"/>
        <w:jc w:val="both"/>
        <w:rPr>
          <w:rFonts w:ascii="Book Antiqua" w:cs="Book Antiqua" w:eastAsia="Book Antiqua" w:hAnsi="Book Antiqua"/>
          <w:b/>
          <w:bCs/>
          <w:i w:val="off"/>
          <w:iCs w:val="off"/>
          <w:color w:val="0e0e0e"/>
          <w:sz w:val="22"/>
          <w:szCs w:val="22"/>
          <w:lang w:val="en-GB"/>
        </w:rPr>
      </w:pPr>
    </w:p>
    <w:tbl>
      <w:tblPr>
        <w:tblStyle w:val="PlainTable2"/>
        <w:tblpPr w:leftFromText="187" w:rightFromText="187" w:topFromText="0" w:bottomFromText="0" w:vertAnchor="page" w:horzAnchor="page" w:tblpX="1816" w:tblpY="3320"/>
        <w:tblOverlap w:val="never"/>
        <w:tblW w:w="10786" w:type="dxa"/>
        <w:jc w:val="center"/>
        <w:tblLook w:val="06A0"/>
      </w:tblPr>
      <w:tblGrid>
        <w:gridCol w:w="1495"/>
        <w:gridCol w:w="1275"/>
        <w:gridCol w:w="924"/>
        <w:gridCol w:w="1145"/>
        <w:gridCol w:w="1139"/>
        <w:gridCol w:w="1264"/>
        <w:gridCol w:w="1289"/>
        <w:gridCol w:w="1127"/>
        <w:gridCol w:w="1128"/>
      </w:tblGrid>
      <w:tr>
        <w:trPr>
          <w:trHeight w:val="570" w:hRule="atLeast"/>
        </w:trPr>
        <w:tc>
          <w:tcPr>
            <w:cnfStyle w:val="101000000000"/>
            <w:tcW w:w="1496" w:type="dxa"/>
            <w:vMerge w:val="restart"/>
          </w:tcPr>
          <w:p w14:paraId="00000027">
            <w:pPr>
              <w:pStyle w:val="Normal"/>
              <w:spacing w:line="240" w:lineRule="auto"/>
              <w:jc w:val="left"/>
              <w:rPr>
                <w:rFonts w:ascii="Book Antiqua" w:cs="Book Antiqua" w:eastAsia="Book Antiqua" w:hAnsi="Book Antiqua"/>
                <w:b/>
                <w:bCs/>
                <w:i w:val="off"/>
                <w:iCs w:val="off"/>
                <w:color w:val="0e0e0e"/>
                <w:sz w:val="22"/>
                <w:szCs w:val="22"/>
                <w:lang w:val="en-GB"/>
              </w:rPr>
            </w:pPr>
          </w:p>
          <w:p w14:paraId="00000028">
            <w:pPr>
              <w:spacing w:before="0" w:after="0" w:line="240" w:lineRule="auto"/>
              <w:jc w:val="left"/>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Model</w:t>
            </w:r>
          </w:p>
        </w:tc>
        <w:tc>
          <w:tcPr>
            <w:cnfStyle w:val="100000000000"/>
            <w:tcW w:w="1275" w:type="dxa"/>
            <w:vMerge w:val="restart"/>
          </w:tcPr>
          <w:p w14:paraId="00000029">
            <w:pPr>
              <w:pStyle w:val="Normal"/>
              <w:spacing w:line="240"/>
              <w:jc w:val="center"/>
              <w:rPr>
                <w:rFonts w:ascii="Book Antiqua" w:cs="Book Antiqua" w:eastAsia="Book Antiqua" w:hAnsi="Book Antiqua"/>
                <w:b/>
                <w:bCs/>
                <w:i w:val="off"/>
                <w:iCs w:val="off"/>
                <w:color w:val="0e0e0e"/>
                <w:sz w:val="22"/>
                <w:szCs w:val="22"/>
                <w:lang w:val="en-GB"/>
              </w:rPr>
            </w:pPr>
          </w:p>
          <w:p w14:paraId="0000002A">
            <w:pPr>
              <w:spacing w:before="0" w:after="0" w:line="240"/>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Accuracy</w:t>
            </w:r>
          </w:p>
        </w:tc>
        <w:tc>
          <w:tcPr>
            <w:cnfStyle w:val="100000000000"/>
            <w:tcW w:w="924" w:type="dxa"/>
            <w:vMerge w:val="restart"/>
          </w:tcPr>
          <w:p w14:paraId="0000002B">
            <w:pPr>
              <w:pStyle w:val="Normal"/>
              <w:spacing w:line="240"/>
              <w:jc w:val="center"/>
              <w:rPr>
                <w:rFonts w:ascii="Book Antiqua" w:cs="Book Antiqua" w:eastAsia="Book Antiqua" w:hAnsi="Book Antiqua"/>
                <w:b/>
                <w:bCs/>
                <w:i w:val="off"/>
                <w:iCs w:val="off"/>
                <w:color w:val="0e0e0e"/>
                <w:sz w:val="22"/>
                <w:szCs w:val="22"/>
                <w:lang w:val="en-GB"/>
              </w:rPr>
            </w:pPr>
          </w:p>
          <w:p w14:paraId="0000002C">
            <w:pPr>
              <w:spacing w:before="0" w:after="0" w:line="240"/>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AUC</w:t>
            </w:r>
          </w:p>
        </w:tc>
        <w:tc>
          <w:tcPr>
            <w:cnfStyle w:val="100000000000"/>
            <w:tcW w:w="3545" w:type="dxa"/>
            <w:gridSpan w:val="3"/>
          </w:tcPr>
          <w:p w14:paraId="0000002D">
            <w:pPr>
              <w:spacing w:before="0" w:after="150" w:line="240" w:lineRule="auto"/>
              <w:jc w:val="center"/>
              <w:rPr>
                <w:rFonts w:ascii="Book Antiqua" w:cs="Book Antiqua" w:eastAsia="Book Antiqua" w:hAnsi="Book Antiqua"/>
                <w:b/>
                <w:bCs/>
                <w:i w:val="off"/>
                <w:iCs w:val="off"/>
                <w:sz w:val="22"/>
                <w:szCs w:val="22"/>
                <w:lang w:val="en-GB"/>
              </w:rPr>
            </w:pPr>
            <w:r>
              <w:rPr>
                <w:rFonts w:ascii="Book Antiqua" w:cs="Book Antiqua" w:eastAsia="Book Antiqua" w:hAnsi="Book Antiqua"/>
                <w:b/>
                <w:bCs/>
                <w:i w:val="off"/>
                <w:iCs w:val="off"/>
                <w:sz w:val="22"/>
                <w:szCs w:val="22"/>
                <w:lang w:val="en-GB"/>
              </w:rPr>
              <w:t xml:space="preserve">Class </w:t>
            </w:r>
            <w:r>
              <w:rPr>
                <w:rFonts w:ascii="Book Antiqua" w:cs="Book Antiqua" w:eastAsia="Book Antiqua" w:hAnsi="Book Antiqua"/>
                <w:b/>
                <w:bCs/>
                <w:i w:val="off"/>
                <w:iCs w:val="off"/>
                <w:sz w:val="22"/>
                <w:szCs w:val="22"/>
                <w:lang w:val="en-GB"/>
              </w:rPr>
              <w:t>0</w:t>
            </w:r>
            <w:r>
              <w:rPr>
                <w:rFonts w:ascii="Book Antiqua" w:cs="Book Antiqua" w:eastAsia="Book Antiqua" w:hAnsi="Book Antiqua"/>
                <w:b/>
                <w:bCs/>
                <w:i w:val="off"/>
                <w:iCs w:val="off"/>
                <w:sz w:val="22"/>
                <w:szCs w:val="22"/>
                <w:lang w:val="en-GB"/>
              </w:rPr>
              <w:t xml:space="preserve"> </w:t>
            </w:r>
            <w:r>
              <w:rPr>
                <w:rFonts w:ascii="Book Antiqua" w:cs="Book Antiqua" w:eastAsia="Book Antiqua" w:hAnsi="Book Antiqua"/>
                <w:b/>
                <w:bCs/>
                <w:i w:val="off"/>
                <w:iCs w:val="off"/>
                <w:sz w:val="22"/>
                <w:szCs w:val="22"/>
                <w:lang w:val="en-GB"/>
              </w:rPr>
              <w:t>(</w:t>
            </w:r>
            <w:r>
              <w:rPr>
                <w:rFonts w:ascii="Book Antiqua" w:cs="Book Antiqua" w:eastAsia="Book Antiqua" w:hAnsi="Book Antiqua"/>
                <w:b/>
                <w:bCs/>
                <w:i w:val="off"/>
                <w:iCs w:val="off"/>
                <w:sz w:val="22"/>
                <w:szCs w:val="22"/>
                <w:lang w:val="en-GB"/>
              </w:rPr>
              <w:t>Inactive class</w:t>
            </w:r>
            <w:r>
              <w:rPr>
                <w:rFonts w:ascii="Book Antiqua" w:cs="Book Antiqua" w:eastAsia="Book Antiqua" w:hAnsi="Book Antiqua"/>
                <w:b/>
                <w:bCs/>
                <w:i w:val="off"/>
                <w:iCs w:val="off"/>
                <w:sz w:val="22"/>
                <w:szCs w:val="22"/>
                <w:lang w:val="en-GB"/>
              </w:rPr>
              <w:t>)</w:t>
            </w:r>
          </w:p>
        </w:tc>
        <w:tc>
          <w:tcPr>
            <w:cnfStyle w:val="100000000000"/>
            <w:tcW w:w="3545" w:type="dxa"/>
            <w:gridSpan w:val="3"/>
          </w:tcPr>
          <w:p w14:paraId="0000002E">
            <w:pPr>
              <w:spacing w:before="0" w:after="150" w:line="240" w:lineRule="auto"/>
              <w:jc w:val="center"/>
              <w:rPr>
                <w:rFonts w:ascii="Book Antiqua" w:cs="Book Antiqua" w:eastAsia="Book Antiqua" w:hAnsi="Book Antiqua"/>
                <w:b/>
                <w:bCs/>
                <w:i w:val="off"/>
                <w:iCs w:val="off"/>
                <w:sz w:val="22"/>
                <w:szCs w:val="22"/>
                <w:lang w:val="en-GB"/>
              </w:rPr>
            </w:pPr>
            <w:r>
              <w:rPr>
                <w:rFonts w:ascii="Book Antiqua" w:cs="Book Antiqua" w:eastAsia="Book Antiqua" w:hAnsi="Book Antiqua"/>
                <w:b/>
                <w:bCs/>
                <w:i w:val="off"/>
                <w:iCs w:val="off"/>
                <w:sz w:val="22"/>
                <w:szCs w:val="22"/>
                <w:lang w:val="en-GB"/>
              </w:rPr>
              <w:t xml:space="preserve">Class </w:t>
            </w:r>
            <w:r>
              <w:rPr>
                <w:rFonts w:ascii="Book Antiqua" w:cs="Book Antiqua" w:eastAsia="Book Antiqua" w:hAnsi="Book Antiqua"/>
                <w:b/>
                <w:bCs/>
                <w:i w:val="off"/>
                <w:iCs w:val="off"/>
                <w:sz w:val="22"/>
                <w:szCs w:val="22"/>
                <w:lang w:val="en-GB"/>
              </w:rPr>
              <w:t>1</w:t>
            </w:r>
            <w:r>
              <w:rPr>
                <w:rFonts w:ascii="Book Antiqua" w:cs="Book Antiqua" w:eastAsia="Book Antiqua" w:hAnsi="Book Antiqua"/>
                <w:b/>
                <w:bCs/>
                <w:i w:val="off"/>
                <w:iCs w:val="off"/>
                <w:sz w:val="22"/>
                <w:szCs w:val="22"/>
                <w:lang w:val="en-GB"/>
              </w:rPr>
              <w:t xml:space="preserve"> </w:t>
            </w:r>
            <w:r>
              <w:rPr>
                <w:rFonts w:ascii="Book Antiqua" w:cs="Book Antiqua" w:eastAsia="Book Antiqua" w:hAnsi="Book Antiqua"/>
                <w:b/>
                <w:bCs/>
                <w:i w:val="off"/>
                <w:iCs w:val="off"/>
                <w:sz w:val="22"/>
                <w:szCs w:val="22"/>
                <w:lang w:val="en-GB"/>
              </w:rPr>
              <w:t>(</w:t>
            </w:r>
            <w:r>
              <w:rPr>
                <w:rFonts w:ascii="Book Antiqua" w:cs="Book Antiqua" w:eastAsia="Book Antiqua" w:hAnsi="Book Antiqua"/>
                <w:b/>
                <w:bCs/>
                <w:i w:val="off"/>
                <w:iCs w:val="off"/>
                <w:sz w:val="22"/>
                <w:szCs w:val="22"/>
                <w:lang w:val="en-GB"/>
              </w:rPr>
              <w:t>Active class</w:t>
            </w:r>
            <w:r>
              <w:rPr>
                <w:rFonts w:ascii="Book Antiqua" w:cs="Book Antiqua" w:eastAsia="Book Antiqua" w:hAnsi="Book Antiqua"/>
                <w:b/>
                <w:bCs/>
                <w:i w:val="off"/>
                <w:iCs w:val="off"/>
                <w:sz w:val="22"/>
                <w:szCs w:val="22"/>
                <w:lang w:val="en-GB"/>
              </w:rPr>
              <w:t>)</w:t>
            </w:r>
          </w:p>
        </w:tc>
      </w:tr>
      <w:tr>
        <w:trPr>
          <w:trHeight w:val="1087" w:hRule="atLeast"/>
        </w:trPr>
        <w:tc>
          <w:tcPr>
            <w:cnfStyle w:val="001000000000"/>
            <w:tcW w:w="1496" w:type="dxa"/>
            <w:vMerge w:val="continue"/>
          </w:tcPr>
          <w:p w14:paraId="0000002F">
            <w:pPr>
              <w:spacing w:line="240"/>
              <w:rPr>
                <w:rFonts w:ascii="Book Antiqua" w:cs="Book Antiqua" w:hAnsi="Book Antiqua"/>
                <w:sz w:val="22"/>
                <w:szCs w:val="22"/>
              </w:rPr>
            </w:pPr>
          </w:p>
        </w:tc>
        <w:tc>
          <w:tcPr>
            <w:cnfStyle w:val="000000000000"/>
            <w:tcW w:w="1275" w:type="dxa"/>
            <w:vMerge w:val="continue"/>
          </w:tcPr>
          <w:p w14:paraId="00000030">
            <w:pPr>
              <w:spacing w:line="240"/>
              <w:rPr>
                <w:rFonts w:ascii="Book Antiqua" w:cs="Book Antiqua" w:hAnsi="Book Antiqua"/>
                <w:sz w:val="22"/>
                <w:szCs w:val="22"/>
              </w:rPr>
            </w:pPr>
          </w:p>
        </w:tc>
        <w:tc>
          <w:tcPr>
            <w:cnfStyle w:val="000000000000"/>
            <w:tcW w:w="924" w:type="dxa"/>
            <w:vMerge w:val="continue"/>
          </w:tcPr>
          <w:p w14:paraId="00000031">
            <w:pPr>
              <w:spacing w:line="240"/>
              <w:rPr>
                <w:rFonts w:ascii="Book Antiqua" w:cs="Book Antiqua" w:hAnsi="Book Antiqua"/>
                <w:sz w:val="22"/>
                <w:szCs w:val="22"/>
              </w:rPr>
            </w:pPr>
          </w:p>
        </w:tc>
        <w:tc>
          <w:tcPr>
            <w:cnfStyle w:val="000000000000"/>
            <w:tcW w:w="1002" w:type="dxa"/>
          </w:tcPr>
          <w:p w14:paraId="00000032">
            <w:pPr>
              <w:spacing w:before="0" w:after="0" w:line="240"/>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Precision (Class 0)</w:t>
            </w:r>
          </w:p>
        </w:tc>
        <w:tc>
          <w:tcPr>
            <w:cnfStyle w:val="000000000000"/>
            <w:tcW w:w="1002" w:type="dxa"/>
          </w:tcPr>
          <w:p w14:paraId="00000033">
            <w:pPr>
              <w:spacing w:before="0" w:after="0" w:line="240"/>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Recall (Class 0)</w:t>
            </w:r>
          </w:p>
        </w:tc>
        <w:tc>
          <w:tcPr>
            <w:cnfStyle w:val="000000000000"/>
            <w:tcW w:w="1128" w:type="dxa"/>
          </w:tcPr>
          <w:p w14:paraId="00000034">
            <w:pPr>
              <w:spacing w:before="0" w:after="0" w:line="240"/>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 xml:space="preserve">F1 </w:t>
            </w:r>
          </w:p>
          <w:p w14:paraId="00000035">
            <w:pPr>
              <w:spacing w:before="0" w:after="0" w:line="240"/>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(Class 0)</w:t>
            </w:r>
          </w:p>
        </w:tc>
        <w:tc>
          <w:tcPr>
            <w:cnfStyle w:val="000000000000"/>
            <w:tcW w:w="1289" w:type="dxa"/>
          </w:tcPr>
          <w:p w14:paraId="00000036">
            <w:pPr>
              <w:spacing w:before="0" w:after="0" w:line="240"/>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Precision (Class 1)</w:t>
            </w:r>
          </w:p>
        </w:tc>
        <w:tc>
          <w:tcPr>
            <w:cnfStyle w:val="000000000000"/>
            <w:tcW w:w="1128" w:type="dxa"/>
          </w:tcPr>
          <w:p w14:paraId="00000037">
            <w:pPr>
              <w:spacing w:before="0" w:after="0" w:line="240"/>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Recall (Class 1)</w:t>
            </w:r>
          </w:p>
        </w:tc>
        <w:tc>
          <w:tcPr>
            <w:cnfStyle w:val="000000000000"/>
            <w:tcW w:w="1128" w:type="dxa"/>
          </w:tcPr>
          <w:p w14:paraId="00000038">
            <w:pPr>
              <w:spacing w:before="0" w:after="0" w:line="240"/>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 xml:space="preserve">F1 </w:t>
            </w:r>
          </w:p>
          <w:p w14:paraId="00000039">
            <w:pPr>
              <w:spacing w:before="0" w:after="0" w:line="240"/>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(Class 1)</w:t>
            </w:r>
          </w:p>
        </w:tc>
      </w:tr>
      <w:tr>
        <w:trPr>
          <w:trHeight w:val="729" w:hRule="atLeast"/>
        </w:trPr>
        <w:tc>
          <w:tcPr>
            <w:cnfStyle w:val="001000000000"/>
            <w:tcW w:w="1496" w:type="dxa"/>
          </w:tcPr>
          <w:p w14:paraId="0000003A">
            <w:pPr>
              <w:spacing w:before="0" w:after="0" w:line="240" w:lineRule="auto"/>
              <w:jc w:val="left"/>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Logistic Regression</w:t>
            </w:r>
          </w:p>
        </w:tc>
        <w:tc>
          <w:tcPr>
            <w:cnfStyle w:val="000000000000"/>
            <w:tcW w:w="1275" w:type="dxa"/>
          </w:tcPr>
          <w:p w14:paraId="0000003B">
            <w:pPr>
              <w:spacing w:before="0" w:after="0" w:line="240" w:lineRule="auto"/>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0.89</w:t>
            </w:r>
          </w:p>
        </w:tc>
        <w:tc>
          <w:tcPr>
            <w:cnfStyle w:val="000000000000"/>
            <w:tcW w:w="924" w:type="dxa"/>
          </w:tcPr>
          <w:p w14:paraId="0000003C">
            <w:pPr>
              <w:spacing w:before="0" w:after="0" w:line="240" w:lineRule="auto"/>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0.89</w:t>
            </w:r>
          </w:p>
        </w:tc>
        <w:tc>
          <w:tcPr>
            <w:cnfStyle w:val="000000000000"/>
            <w:tcW w:w="1002" w:type="dxa"/>
          </w:tcPr>
          <w:p w14:paraId="0000003D">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0.72</w:t>
            </w:r>
          </w:p>
        </w:tc>
        <w:tc>
          <w:tcPr>
            <w:cnfStyle w:val="000000000000"/>
            <w:tcW w:w="1002" w:type="dxa"/>
          </w:tcPr>
          <w:p w14:paraId="0000003E">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0.55</w:t>
            </w:r>
          </w:p>
        </w:tc>
        <w:tc>
          <w:tcPr>
            <w:cnfStyle w:val="000000000000"/>
            <w:tcW w:w="1128" w:type="dxa"/>
          </w:tcPr>
          <w:p w14:paraId="0000003F">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0.62</w:t>
            </w:r>
          </w:p>
        </w:tc>
        <w:tc>
          <w:tcPr>
            <w:cnfStyle w:val="000000000000"/>
            <w:tcW w:w="1289" w:type="dxa"/>
          </w:tcPr>
          <w:p w14:paraId="00000040">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0.91</w:t>
            </w:r>
          </w:p>
        </w:tc>
        <w:tc>
          <w:tcPr>
            <w:cnfStyle w:val="000000000000"/>
            <w:tcW w:w="1128" w:type="dxa"/>
          </w:tcPr>
          <w:p w14:paraId="00000041">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0.96</w:t>
            </w:r>
          </w:p>
        </w:tc>
        <w:tc>
          <w:tcPr>
            <w:cnfStyle w:val="000000000000"/>
            <w:tcW w:w="1128" w:type="dxa"/>
          </w:tcPr>
          <w:p w14:paraId="00000042">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0.94</w:t>
            </w:r>
          </w:p>
        </w:tc>
      </w:tr>
      <w:tr>
        <w:trPr>
          <w:trHeight w:val="728" w:hRule="atLeast"/>
        </w:trPr>
        <w:tc>
          <w:tcPr>
            <w:cnfStyle w:val="001000000000"/>
            <w:tcW w:w="1496" w:type="dxa"/>
          </w:tcPr>
          <w:p w14:paraId="00000043">
            <w:pPr>
              <w:spacing w:before="0" w:after="0" w:line="240" w:lineRule="auto"/>
              <w:jc w:val="left"/>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Random Forest</w:t>
            </w:r>
          </w:p>
        </w:tc>
        <w:tc>
          <w:tcPr>
            <w:cnfStyle w:val="000000000000"/>
            <w:tcW w:w="1275" w:type="dxa"/>
          </w:tcPr>
          <w:p w14:paraId="00000044">
            <w:pPr>
              <w:spacing w:before="0" w:after="0" w:line="240" w:lineRule="auto"/>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0.90</w:t>
            </w:r>
          </w:p>
        </w:tc>
        <w:tc>
          <w:tcPr>
            <w:cnfStyle w:val="000000000000"/>
            <w:tcW w:w="924" w:type="dxa"/>
          </w:tcPr>
          <w:p w14:paraId="00000045">
            <w:pPr>
              <w:spacing w:before="0" w:after="0" w:line="240" w:lineRule="auto"/>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0.92</w:t>
            </w:r>
          </w:p>
        </w:tc>
        <w:tc>
          <w:tcPr>
            <w:cnfStyle w:val="000000000000"/>
            <w:tcW w:w="1002" w:type="dxa"/>
          </w:tcPr>
          <w:p w14:paraId="00000046">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0.78</w:t>
            </w:r>
          </w:p>
        </w:tc>
        <w:tc>
          <w:tcPr>
            <w:cnfStyle w:val="000000000000"/>
            <w:tcW w:w="1002" w:type="dxa"/>
          </w:tcPr>
          <w:p w14:paraId="00000047">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0.59</w:t>
            </w:r>
          </w:p>
        </w:tc>
        <w:tc>
          <w:tcPr>
            <w:cnfStyle w:val="000000000000"/>
            <w:tcW w:w="1128" w:type="dxa"/>
          </w:tcPr>
          <w:p w14:paraId="00000048">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0.67</w:t>
            </w:r>
          </w:p>
        </w:tc>
        <w:tc>
          <w:tcPr>
            <w:cnfStyle w:val="000000000000"/>
            <w:tcW w:w="1289" w:type="dxa"/>
          </w:tcPr>
          <w:p w14:paraId="00000049">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0.92</w:t>
            </w:r>
          </w:p>
        </w:tc>
        <w:tc>
          <w:tcPr>
            <w:cnfStyle w:val="000000000000"/>
            <w:tcW w:w="1128" w:type="dxa"/>
          </w:tcPr>
          <w:p w14:paraId="0000004A">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0.97</w:t>
            </w:r>
          </w:p>
        </w:tc>
        <w:tc>
          <w:tcPr>
            <w:cnfStyle w:val="000000000000"/>
            <w:tcW w:w="1128" w:type="dxa"/>
          </w:tcPr>
          <w:p w14:paraId="0000004B">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0.94</w:t>
            </w:r>
          </w:p>
        </w:tc>
      </w:tr>
      <w:tr>
        <w:trPr>
          <w:trHeight w:val="568" w:hRule="atLeast"/>
        </w:trPr>
        <w:tc>
          <w:tcPr>
            <w:cnfStyle w:val="001000000000"/>
            <w:tcW w:w="1496" w:type="dxa"/>
          </w:tcPr>
          <w:p w14:paraId="0000004C">
            <w:pPr>
              <w:spacing w:before="0" w:after="0" w:line="240" w:lineRule="auto"/>
              <w:jc w:val="left"/>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SVM</w:t>
            </w:r>
          </w:p>
        </w:tc>
        <w:tc>
          <w:tcPr>
            <w:cnfStyle w:val="000000000000"/>
            <w:tcW w:w="1275" w:type="dxa"/>
          </w:tcPr>
          <w:p w14:paraId="0000004D">
            <w:pPr>
              <w:spacing w:before="0" w:after="0" w:line="240" w:lineRule="auto"/>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0.88</w:t>
            </w:r>
          </w:p>
        </w:tc>
        <w:tc>
          <w:tcPr>
            <w:cnfStyle w:val="000000000000"/>
            <w:tcW w:w="924" w:type="dxa"/>
          </w:tcPr>
          <w:p w14:paraId="0000004E">
            <w:pPr>
              <w:spacing w:before="0" w:after="0" w:line="240" w:lineRule="auto"/>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0.87</w:t>
            </w:r>
          </w:p>
        </w:tc>
        <w:tc>
          <w:tcPr>
            <w:cnfStyle w:val="000000000000"/>
            <w:tcW w:w="1002" w:type="dxa"/>
          </w:tcPr>
          <w:p w14:paraId="0000004F">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0.67</w:t>
            </w:r>
          </w:p>
        </w:tc>
        <w:tc>
          <w:tcPr>
            <w:cnfStyle w:val="000000000000"/>
            <w:tcW w:w="1002" w:type="dxa"/>
          </w:tcPr>
          <w:p w14:paraId="00000050">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0.57</w:t>
            </w:r>
          </w:p>
        </w:tc>
        <w:tc>
          <w:tcPr>
            <w:cnfStyle w:val="000000000000"/>
            <w:tcW w:w="1128" w:type="dxa"/>
          </w:tcPr>
          <w:p w14:paraId="00000051">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0.62</w:t>
            </w:r>
          </w:p>
        </w:tc>
        <w:tc>
          <w:tcPr>
            <w:cnfStyle w:val="000000000000"/>
            <w:tcW w:w="1289" w:type="dxa"/>
          </w:tcPr>
          <w:p w14:paraId="00000052">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0.92</w:t>
            </w:r>
          </w:p>
        </w:tc>
        <w:tc>
          <w:tcPr>
            <w:cnfStyle w:val="000000000000"/>
            <w:tcW w:w="1128" w:type="dxa"/>
          </w:tcPr>
          <w:p w14:paraId="00000053">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0.94</w:t>
            </w:r>
          </w:p>
        </w:tc>
        <w:tc>
          <w:tcPr>
            <w:cnfStyle w:val="000000000000"/>
            <w:tcW w:w="1128" w:type="dxa"/>
          </w:tcPr>
          <w:p w14:paraId="00000054">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0.93</w:t>
            </w:r>
          </w:p>
        </w:tc>
      </w:tr>
      <w:tr>
        <w:trPr>
          <w:trHeight w:val="410" w:hRule="atLeast"/>
        </w:trPr>
        <w:tc>
          <w:tcPr>
            <w:cnfStyle w:val="001000000000"/>
            <w:tcW w:w="1496" w:type="dxa"/>
          </w:tcPr>
          <w:p w14:paraId="00000055">
            <w:pPr>
              <w:spacing w:before="0" w:after="0" w:line="240" w:lineRule="auto"/>
              <w:jc w:val="left"/>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XGBoost</w:t>
            </w:r>
          </w:p>
        </w:tc>
        <w:tc>
          <w:tcPr>
            <w:cnfStyle w:val="000000000000"/>
            <w:tcW w:w="1275" w:type="dxa"/>
          </w:tcPr>
          <w:p w14:paraId="00000056">
            <w:pPr>
              <w:spacing w:before="0" w:after="0" w:line="240" w:lineRule="auto"/>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0.90</w:t>
            </w:r>
          </w:p>
        </w:tc>
        <w:tc>
          <w:tcPr>
            <w:cnfStyle w:val="000000000000"/>
            <w:tcW w:w="924" w:type="dxa"/>
          </w:tcPr>
          <w:p w14:paraId="00000057">
            <w:pPr>
              <w:spacing w:before="0" w:after="0" w:line="240" w:lineRule="auto"/>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0.90</w:t>
            </w:r>
          </w:p>
        </w:tc>
        <w:tc>
          <w:tcPr>
            <w:cnfStyle w:val="000000000000"/>
            <w:tcW w:w="1002" w:type="dxa"/>
          </w:tcPr>
          <w:p w14:paraId="00000058">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0.75</w:t>
            </w:r>
          </w:p>
        </w:tc>
        <w:tc>
          <w:tcPr>
            <w:cnfStyle w:val="000000000000"/>
            <w:tcW w:w="1002" w:type="dxa"/>
          </w:tcPr>
          <w:p w14:paraId="00000059">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0.6</w:t>
            </w:r>
          </w:p>
        </w:tc>
        <w:tc>
          <w:tcPr>
            <w:cnfStyle w:val="000000000000"/>
            <w:tcW w:w="1128" w:type="dxa"/>
          </w:tcPr>
          <w:p w14:paraId="0000005A">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0.67</w:t>
            </w:r>
          </w:p>
        </w:tc>
        <w:tc>
          <w:tcPr>
            <w:cnfStyle w:val="000000000000"/>
            <w:tcW w:w="1289" w:type="dxa"/>
          </w:tcPr>
          <w:p w14:paraId="0000005B">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0.92</w:t>
            </w:r>
          </w:p>
        </w:tc>
        <w:tc>
          <w:tcPr>
            <w:cnfStyle w:val="000000000000"/>
            <w:tcW w:w="1128" w:type="dxa"/>
          </w:tcPr>
          <w:p w14:paraId="0000005C">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0.96</w:t>
            </w:r>
          </w:p>
        </w:tc>
        <w:tc>
          <w:tcPr>
            <w:cnfStyle w:val="000000000000"/>
            <w:tcW w:w="1128" w:type="dxa"/>
          </w:tcPr>
          <w:p w14:paraId="0000005D">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0.94</w:t>
            </w:r>
          </w:p>
        </w:tc>
      </w:tr>
    </w:tbl>
    <w:p w14:paraId="0000005E">
      <w:pPr>
        <w:pStyle w:val="Normal"/>
        <w:spacing w:before="0" w:after="150" w:line="240" w:lineRule="auto"/>
        <w:ind w:left="0"/>
        <w:jc w:val="both"/>
        <w:rPr>
          <w:rFonts w:ascii="Book Antiqua" w:cs="Book Antiqua" w:eastAsia="Book Antiqua" w:hAnsi="Book Antiqua"/>
          <w:b/>
          <w:bCs/>
          <w:i w:val="off"/>
          <w:iCs w:val="off"/>
          <w:color w:val="0e0e0e"/>
          <w:sz w:val="22"/>
          <w:szCs w:val="22"/>
          <w:lang w:val="en-GB"/>
        </w:rPr>
      </w:pPr>
    </w:p>
    <w:p w14:paraId="0000005F">
      <w:pPr>
        <w:pStyle w:val="Normal"/>
        <w:spacing w:before="0" w:after="150" w:line="240" w:lineRule="auto"/>
        <w:ind w:left="0"/>
        <w:jc w:val="both"/>
        <w:rPr>
          <w:rFonts w:ascii="Book Antiqua" w:cs="Book Antiqua" w:eastAsia="Book Antiqua" w:hAnsi="Book Antiqua"/>
          <w:b/>
          <w:bCs/>
          <w:i w:val="off"/>
          <w:iCs w:val="off"/>
          <w:color w:val="0e0e0e"/>
          <w:sz w:val="22"/>
          <w:szCs w:val="22"/>
          <w:lang w:val="en-GB"/>
        </w:rPr>
      </w:pPr>
    </w:p>
    <w:p w14:paraId="00000060">
      <w:pPr>
        <w:pStyle w:val="Normal"/>
        <w:spacing w:before="0" w:after="150" w:line="240" w:lineRule="auto"/>
        <w:ind w:left="0"/>
        <w:jc w:val="both"/>
        <w:rPr>
          <w:rFonts w:ascii="Book Antiqua" w:cs="Book Antiqua" w:eastAsia="Book Antiqua" w:hAnsi="Book Antiqua"/>
          <w:b/>
          <w:bCs/>
          <w:sz w:val="22"/>
          <w:szCs w:val="22"/>
          <w:lang w:val="en-GB"/>
        </w:rPr>
      </w:pPr>
      <w:r>
        <w:rPr>
          <w:rFonts w:ascii="Book Antiqua" w:cs="Book Antiqua" w:eastAsia="Book Antiqua" w:hAnsi="Book Antiqua"/>
          <w:b/>
          <w:bCs/>
          <w:i w:val="off"/>
          <w:iCs w:val="off"/>
          <w:color w:val="0e0e0e"/>
          <w:sz w:val="22"/>
          <w:szCs w:val="22"/>
          <w:lang w:val="en-GB"/>
        </w:rPr>
        <w:t xml:space="preserve">Table </w:t>
      </w:r>
      <w:r>
        <w:rPr>
          <w:rFonts w:ascii="Book Antiqua" w:cs="Book Antiqua" w:eastAsia="Book Antiqua" w:hAnsi="Book Antiqua"/>
          <w:b/>
          <w:bCs/>
          <w:sz w:val="22"/>
          <w:szCs w:val="22"/>
          <w:lang w:val="en-GB"/>
        </w:rPr>
        <w:t>I</w:t>
      </w:r>
      <w:r>
        <w:rPr>
          <w:rFonts w:ascii="Book Antiqua" w:cs="Book Antiqua" w:eastAsia="Book Antiqua" w:hAnsi="Book Antiqua"/>
          <w:b/>
          <w:bCs/>
          <w:sz w:val="22"/>
          <w:szCs w:val="22"/>
          <w:lang w:val="en-GB"/>
        </w:rPr>
        <w:t xml:space="preserve"> Comparative performance analysis of Machine Learning models for S1PR1 modulator classification. Precision, recall, and F1-score are reported for both inactive (Class 0) and active (Class 1) compounds</w:t>
      </w:r>
      <w:r>
        <w:rPr>
          <w:rFonts w:ascii="Book Antiqua" w:cs="Book Antiqua" w:eastAsia="Book Antiqua" w:hAnsi="Book Antiqua"/>
          <w:b w:val="off"/>
          <w:bCs w:val="off"/>
          <w:i w:val="off"/>
          <w:iCs w:val="off"/>
          <w:color w:val="0e0e0e"/>
          <w:sz w:val="22"/>
          <w:szCs w:val="22"/>
          <w:lang w:val="en-GB"/>
        </w:rPr>
        <w:t>.</w:t>
      </w:r>
      <w:r>
        <w:rPr>
          <w:rFonts w:ascii="Book Antiqua" w:cs="Book Antiqua" w:eastAsia="Book Antiqua" w:hAnsi="Book Antiqua"/>
          <w:sz w:val="22"/>
          <w:szCs w:val="22"/>
        </w:rPr>
        <w:br w:type="page"/>
      </w:r>
      <w:r>
        <w:rPr>
          <w:rFonts w:ascii="Book Antiqua" w:cs="Book Antiqua" w:eastAsia="Book Antiqua" w:hAnsi="Book Antiqua"/>
          <w:b/>
          <w:bCs/>
          <w:i w:val="off"/>
          <w:iCs w:val="off"/>
          <w:color w:val="0e0e0e"/>
          <w:sz w:val="22"/>
          <w:szCs w:val="22"/>
          <w:lang w:val="en-GB"/>
        </w:rPr>
        <w:t xml:space="preserve">Table </w:t>
      </w:r>
      <w:r>
        <w:rPr>
          <w:rFonts w:ascii="Book Antiqua" w:cs="Book Antiqua" w:eastAsia="Book Antiqua" w:hAnsi="Book Antiqua"/>
          <w:b/>
          <w:bCs/>
          <w:sz w:val="22"/>
          <w:szCs w:val="22"/>
          <w:lang w:val="en-GB"/>
        </w:rPr>
        <w:t>II</w:t>
      </w:r>
      <w:r>
        <w:rPr>
          <w:rFonts w:ascii="Book Antiqua" w:cs="Book Antiqua" w:eastAsia="Book Antiqua" w:hAnsi="Book Antiqua"/>
          <w:b/>
          <w:bCs/>
          <w:i w:val="off"/>
          <w:iCs w:val="off"/>
          <w:color w:val="0e0e0e"/>
          <w:sz w:val="22"/>
          <w:szCs w:val="22"/>
          <w:lang w:val="en-GB"/>
        </w:rPr>
        <w:t>: Top-ranked compounds identified by the Random Forest model from the virtual screening of 12,309 compounds from Drug-bank dataset.</w:t>
      </w:r>
    </w:p>
    <w:tbl>
      <w:tblPr>
        <w:tblStyle w:val="PlainTable2"/>
        <w:tblpPr w:leftFromText="187" w:rightFromText="187" w:topFromText="0" w:bottomFromText="0" w:vertAnchor="page" w:horzAnchor="page" w:tblpX="1419" w:tblpY="2322"/>
        <w:tblOverlap w:val="never"/>
        <w:tblW w:w="13443" w:type="dxa"/>
        <w:tblLook w:val="06A0"/>
      </w:tblPr>
      <w:tblGrid>
        <w:gridCol w:w="705"/>
        <w:gridCol w:w="6642"/>
        <w:gridCol w:w="1204"/>
        <w:gridCol w:w="1816"/>
        <w:gridCol w:w="683"/>
        <w:gridCol w:w="1234"/>
        <w:gridCol w:w="1159"/>
      </w:tblGrid>
      <w:tr>
        <w:trPr>
          <w:trHeight w:val="726" w:hRule="atLeast"/>
        </w:trPr>
        <w:tc>
          <w:tcPr>
            <w:cnfStyle w:val="101000000000"/>
            <w:tcW w:w="721" w:type="dxa"/>
          </w:tcPr>
          <w:p w14:paraId="00000061">
            <w:pPr>
              <w:spacing w:before="0" w:after="0" w:line="240"/>
              <w:jc w:val="center"/>
              <w:rPr>
                <w:rFonts w:ascii="Book Antiqua" w:cs="Book Antiqua" w:eastAsia="Book Antiqua" w:hAnsi="Book Antiqua"/>
                <w:b/>
                <w:bCs/>
                <w:i w:val="off"/>
                <w:iCs w:val="off"/>
                <w:sz w:val="20"/>
                <w:szCs w:val="20"/>
              </w:rPr>
            </w:pPr>
            <w:r>
              <w:rPr>
                <w:rFonts w:ascii="Book Antiqua" w:cs="Book Antiqua" w:eastAsia="Book Antiqua" w:hAnsi="Book Antiqua"/>
                <w:b/>
                <w:bCs/>
                <w:i w:val="off"/>
                <w:iCs w:val="off"/>
                <w:sz w:val="20"/>
                <w:szCs w:val="20"/>
              </w:rPr>
              <w:t>Rank</w:t>
            </w:r>
          </w:p>
        </w:tc>
        <w:tc>
          <w:tcPr>
            <w:cnfStyle w:val="100000000000"/>
            <w:tcW w:w="6978" w:type="dxa"/>
          </w:tcPr>
          <w:p w14:paraId="00000062">
            <w:pPr>
              <w:spacing w:before="0" w:after="0" w:line="240"/>
              <w:jc w:val="center"/>
              <w:rPr>
                <w:rFonts w:ascii="Book Antiqua" w:cs="Book Antiqua" w:eastAsia="Book Antiqua" w:hAnsi="Book Antiqua"/>
                <w:b/>
                <w:bCs/>
                <w:i w:val="off"/>
                <w:iCs w:val="off"/>
                <w:sz w:val="20"/>
                <w:szCs w:val="20"/>
              </w:rPr>
            </w:pPr>
            <w:r>
              <w:rPr>
                <w:rFonts w:ascii="Book Antiqua" w:cs="Book Antiqua" w:eastAsia="Book Antiqua" w:hAnsi="Book Antiqua"/>
                <w:b/>
                <w:bCs/>
                <w:i w:val="off"/>
                <w:iCs w:val="off"/>
                <w:sz w:val="20"/>
                <w:szCs w:val="20"/>
              </w:rPr>
              <w:t>Compounds</w:t>
            </w:r>
          </w:p>
        </w:tc>
        <w:tc>
          <w:tcPr>
            <w:cnfStyle w:val="100000000000"/>
            <w:tcW w:w="1313" w:type="dxa"/>
          </w:tcPr>
          <w:p w14:paraId="00000063">
            <w:pPr>
              <w:spacing w:before="0" w:after="0" w:line="240"/>
              <w:jc w:val="center"/>
              <w:rPr>
                <w:rFonts w:ascii="Book Antiqua" w:cs="Book Antiqua" w:eastAsia="Book Antiqua" w:hAnsi="Book Antiqua"/>
                <w:b/>
                <w:bCs/>
                <w:i w:val="off"/>
                <w:iCs w:val="off"/>
                <w:sz w:val="20"/>
                <w:szCs w:val="20"/>
              </w:rPr>
            </w:pPr>
            <w:r>
              <w:rPr>
                <w:rFonts w:ascii="Book Antiqua" w:cs="Book Antiqua" w:eastAsia="Book Antiqua" w:hAnsi="Book Antiqua"/>
                <w:b/>
                <w:bCs/>
                <w:i w:val="off"/>
                <w:iCs w:val="off"/>
                <w:sz w:val="20"/>
                <w:szCs w:val="20"/>
              </w:rPr>
              <w:t>Predicted</w:t>
            </w:r>
          </w:p>
          <w:p w14:paraId="00000064">
            <w:pPr>
              <w:spacing w:before="0" w:after="0" w:line="240"/>
              <w:jc w:val="center"/>
              <w:rPr>
                <w:rFonts w:ascii="Book Antiqua" w:cs="Book Antiqua" w:eastAsia="Book Antiqua" w:hAnsi="Book Antiqua"/>
                <w:b/>
                <w:bCs/>
                <w:i w:val="off"/>
                <w:iCs w:val="off"/>
                <w:sz w:val="20"/>
                <w:szCs w:val="20"/>
              </w:rPr>
            </w:pPr>
            <w:r>
              <w:rPr>
                <w:rFonts w:ascii="Book Antiqua" w:cs="Book Antiqua" w:eastAsia="Book Antiqua" w:hAnsi="Book Antiqua"/>
                <w:b/>
                <w:bCs/>
                <w:i w:val="off"/>
                <w:iCs w:val="off"/>
                <w:sz w:val="20"/>
                <w:szCs w:val="20"/>
              </w:rPr>
              <w:t>Probablity</w:t>
            </w:r>
          </w:p>
        </w:tc>
        <w:tc>
          <w:tcPr>
            <w:cnfStyle w:val="100000000000"/>
            <w:tcW w:w="1083" w:type="dxa"/>
          </w:tcPr>
          <w:p w14:paraId="00000065">
            <w:pPr>
              <w:spacing w:before="0" w:after="0" w:line="240" w:lineRule="auto"/>
              <w:jc w:val="center"/>
              <w:rPr>
                <w:rFonts w:ascii="Book Antiqua" w:cs="Book Antiqua" w:eastAsia="Book Antiqua" w:hAnsi="Book Antiqua"/>
                <w:b/>
                <w:bCs/>
                <w:i w:val="off"/>
                <w:iCs w:val="off"/>
                <w:sz w:val="20"/>
                <w:szCs w:val="20"/>
              </w:rPr>
            </w:pPr>
            <w:r>
              <w:rPr>
                <w:rFonts w:ascii="Book Antiqua" w:cs="Book Antiqua" w:eastAsia="Book Antiqua" w:hAnsi="Book Antiqua"/>
                <w:b/>
                <w:bCs/>
                <w:i w:val="off"/>
                <w:iCs w:val="off"/>
                <w:sz w:val="20"/>
                <w:szCs w:val="20"/>
              </w:rPr>
              <w:t>Predicted</w:t>
            </w:r>
            <w:r>
              <w:rPr>
                <w:rFonts w:ascii="Book Antiqua" w:cs="Book Antiqua" w:eastAsia="Book Antiqua" w:hAnsi="Book Antiqua"/>
                <w:b/>
                <w:bCs/>
                <w:i w:val="off"/>
                <w:iCs w:val="off"/>
                <w:sz w:val="20"/>
                <w:szCs w:val="20"/>
              </w:rPr>
              <w:t>Activity</w:t>
            </w:r>
          </w:p>
        </w:tc>
        <w:tc>
          <w:tcPr>
            <w:cnfStyle w:val="100000000000"/>
            <w:tcW w:w="738" w:type="dxa"/>
          </w:tcPr>
          <w:p w14:paraId="00000066">
            <w:pPr>
              <w:spacing w:before="0" w:after="0" w:line="240"/>
              <w:jc w:val="center"/>
              <w:rPr>
                <w:rFonts w:ascii="Book Antiqua" w:cs="Book Antiqua" w:eastAsia="Book Antiqua" w:hAnsi="Book Antiqua"/>
                <w:b/>
                <w:bCs/>
                <w:i w:val="off"/>
                <w:iCs w:val="off"/>
                <w:sz w:val="20"/>
                <w:szCs w:val="20"/>
              </w:rPr>
            </w:pPr>
            <w:r>
              <w:rPr>
                <w:rFonts w:ascii="Book Antiqua" w:cs="Book Antiqua" w:eastAsia="Book Antiqua" w:hAnsi="Book Antiqua"/>
                <w:b/>
                <w:bCs/>
                <w:i w:val="off"/>
                <w:iCs w:val="off"/>
                <w:sz w:val="20"/>
                <w:szCs w:val="20"/>
              </w:rPr>
              <w:t>LogP</w:t>
            </w:r>
          </w:p>
        </w:tc>
        <w:tc>
          <w:tcPr>
            <w:cnfStyle w:val="100000000000"/>
            <w:tcW w:w="1346" w:type="dxa"/>
          </w:tcPr>
          <w:p w14:paraId="00000067">
            <w:pPr>
              <w:spacing w:before="0" w:after="0" w:line="240"/>
              <w:jc w:val="center"/>
              <w:rPr>
                <w:rFonts w:ascii="Book Antiqua" w:cs="Book Antiqua" w:eastAsia="Book Antiqua" w:hAnsi="Book Antiqua"/>
                <w:b/>
                <w:bCs/>
                <w:i w:val="off"/>
                <w:iCs w:val="off"/>
                <w:sz w:val="20"/>
                <w:szCs w:val="20"/>
              </w:rPr>
            </w:pPr>
            <w:r>
              <w:rPr>
                <w:rFonts w:ascii="Book Antiqua" w:cs="Book Antiqua" w:eastAsia="Book Antiqua" w:hAnsi="Book Antiqua"/>
                <w:b/>
                <w:bCs/>
                <w:i w:val="off"/>
                <w:iCs w:val="off"/>
                <w:sz w:val="20"/>
                <w:szCs w:val="20"/>
              </w:rPr>
              <w:t xml:space="preserve">Molecular Weight </w:t>
            </w:r>
          </w:p>
          <w:p w14:paraId="00000068">
            <w:pPr>
              <w:spacing w:before="0" w:after="0" w:line="240"/>
              <w:jc w:val="center"/>
              <w:rPr>
                <w:rFonts w:ascii="Book Antiqua" w:cs="Book Antiqua" w:eastAsia="Book Antiqua" w:hAnsi="Book Antiqua"/>
                <w:b/>
                <w:bCs/>
                <w:i w:val="off"/>
                <w:iCs w:val="off"/>
                <w:sz w:val="20"/>
                <w:szCs w:val="20"/>
              </w:rPr>
            </w:pPr>
            <w:r>
              <w:rPr>
                <w:rFonts w:ascii="Book Antiqua" w:cs="Book Antiqua" w:eastAsia="Book Antiqua" w:hAnsi="Book Antiqua"/>
                <w:b/>
                <w:bCs/>
                <w:i w:val="off"/>
                <w:iCs w:val="off"/>
                <w:sz w:val="20"/>
                <w:szCs w:val="20"/>
              </w:rPr>
              <w:t>(Da)</w:t>
            </w:r>
          </w:p>
        </w:tc>
        <w:tc>
          <w:tcPr>
            <w:cnfStyle w:val="100000000000"/>
            <w:tcW w:w="1264" w:type="dxa"/>
          </w:tcPr>
          <w:p w14:paraId="00000069">
            <w:pPr>
              <w:spacing w:before="0" w:after="0" w:line="240"/>
              <w:jc w:val="center"/>
              <w:rPr>
                <w:rFonts w:ascii="Book Antiqua" w:cs="Book Antiqua" w:eastAsia="Book Antiqua" w:hAnsi="Book Antiqua"/>
                <w:b/>
                <w:bCs/>
                <w:i w:val="off"/>
                <w:iCs w:val="off"/>
                <w:sz w:val="20"/>
                <w:szCs w:val="20"/>
              </w:rPr>
            </w:pPr>
            <w:r>
              <w:rPr>
                <w:rFonts w:ascii="Book Antiqua" w:cs="Book Antiqua" w:eastAsia="Book Antiqua" w:hAnsi="Book Antiqua"/>
                <w:b/>
                <w:bCs/>
                <w:i w:val="off"/>
                <w:iCs w:val="off"/>
                <w:sz w:val="20"/>
                <w:szCs w:val="20"/>
              </w:rPr>
              <w:t>Binding</w:t>
            </w:r>
          </w:p>
          <w:p w14:paraId="0000006A">
            <w:pPr>
              <w:spacing w:before="0" w:after="0" w:line="240"/>
              <w:jc w:val="center"/>
              <w:rPr>
                <w:rFonts w:ascii="Book Antiqua" w:cs="Book Antiqua" w:eastAsia="Book Antiqua" w:hAnsi="Book Antiqua"/>
                <w:b/>
                <w:bCs/>
                <w:i w:val="off"/>
                <w:iCs w:val="off"/>
                <w:sz w:val="20"/>
                <w:szCs w:val="20"/>
              </w:rPr>
            </w:pPr>
            <w:r>
              <w:rPr>
                <w:rFonts w:ascii="Book Antiqua" w:cs="Book Antiqua" w:eastAsia="Book Antiqua" w:hAnsi="Book Antiqua"/>
                <w:b/>
                <w:bCs/>
                <w:i w:val="off"/>
                <w:iCs w:val="off"/>
                <w:sz w:val="20"/>
                <w:szCs w:val="20"/>
              </w:rPr>
              <w:t>Affinity</w:t>
            </w:r>
          </w:p>
          <w:p w14:paraId="0000006B">
            <w:pPr>
              <w:spacing w:before="0" w:after="0" w:line="240"/>
              <w:jc w:val="center"/>
              <w:rPr>
                <w:rFonts w:ascii="Book Antiqua" w:cs="Book Antiqua" w:eastAsia="Book Antiqua" w:hAnsi="Book Antiqua"/>
                <w:b/>
                <w:bCs/>
                <w:i w:val="off"/>
                <w:iCs w:val="off"/>
                <w:sz w:val="20"/>
                <w:szCs w:val="20"/>
              </w:rPr>
            </w:pPr>
            <w:r>
              <w:rPr>
                <w:rFonts w:ascii="Book Antiqua" w:cs="Book Antiqua" w:eastAsia="Book Antiqua" w:hAnsi="Book Antiqua"/>
                <w:b/>
                <w:bCs/>
                <w:i w:val="off"/>
                <w:iCs w:val="off"/>
                <w:sz w:val="20"/>
                <w:szCs w:val="20"/>
              </w:rPr>
              <w:t>(kcal/mol</w:t>
            </w:r>
          </w:p>
        </w:tc>
      </w:tr>
      <w:tr>
        <w:trPr>
          <w:trHeight w:val="275" w:hRule="atLeast"/>
        </w:trPr>
        <w:tc>
          <w:tcPr>
            <w:cnfStyle w:val="001000000000"/>
            <w:tcW w:w="721" w:type="dxa"/>
          </w:tcPr>
          <w:p w14:paraId="0000006C">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6978" w:type="dxa"/>
          </w:tcPr>
          <w:p w14:paraId="0000006D">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Ceralifimod</w:t>
            </w:r>
          </w:p>
        </w:tc>
        <w:tc>
          <w:tcPr>
            <w:cnfStyle w:val="000000000000"/>
            <w:tcW w:w="1313" w:type="dxa"/>
          </w:tcPr>
          <w:p w14:paraId="0000006E">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1083" w:type="dxa"/>
          </w:tcPr>
          <w:p w14:paraId="0000006F">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738" w:type="dxa"/>
          </w:tcPr>
          <w:p w14:paraId="00000070">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4.96</w:t>
            </w:r>
          </w:p>
        </w:tc>
        <w:tc>
          <w:tcPr>
            <w:cnfStyle w:val="000000000000"/>
            <w:tcW w:w="1346" w:type="dxa"/>
          </w:tcPr>
          <w:p w14:paraId="00000071">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435.564</w:t>
            </w:r>
          </w:p>
        </w:tc>
        <w:tc>
          <w:tcPr>
            <w:cnfStyle w:val="000000000000"/>
            <w:tcW w:w="1264" w:type="dxa"/>
          </w:tcPr>
          <w:p w14:paraId="00000072">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-8.27</w:t>
            </w:r>
          </w:p>
        </w:tc>
      </w:tr>
      <w:tr>
        <w:trPr>
          <w:trHeight w:val="275" w:hRule="atLeast"/>
        </w:trPr>
        <w:tc>
          <w:tcPr>
            <w:cnfStyle w:val="001000000000"/>
            <w:tcW w:w="721" w:type="dxa"/>
          </w:tcPr>
          <w:p w14:paraId="00000073">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2</w:t>
            </w:r>
          </w:p>
        </w:tc>
        <w:tc>
          <w:tcPr>
            <w:cnfStyle w:val="000000000000"/>
            <w:tcW w:w="6978" w:type="dxa"/>
          </w:tcPr>
          <w:p w14:paraId="00000074">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Ponesimod*</w:t>
            </w:r>
          </w:p>
        </w:tc>
        <w:tc>
          <w:tcPr>
            <w:cnfStyle w:val="000000000000"/>
            <w:tcW w:w="1313" w:type="dxa"/>
          </w:tcPr>
          <w:p w14:paraId="00000075">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1083" w:type="dxa"/>
          </w:tcPr>
          <w:p w14:paraId="00000076">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738" w:type="dxa"/>
          </w:tcPr>
          <w:p w14:paraId="00000077">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4.26</w:t>
            </w:r>
          </w:p>
        </w:tc>
        <w:tc>
          <w:tcPr>
            <w:cnfStyle w:val="000000000000"/>
            <w:tcW w:w="1346" w:type="dxa"/>
          </w:tcPr>
          <w:p w14:paraId="00000078">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460.983</w:t>
            </w:r>
          </w:p>
        </w:tc>
        <w:tc>
          <w:tcPr>
            <w:cnfStyle w:val="000000000000"/>
            <w:tcW w:w="1264" w:type="dxa"/>
          </w:tcPr>
          <w:p w14:paraId="00000079">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-8.456</w:t>
            </w:r>
          </w:p>
        </w:tc>
      </w:tr>
      <w:tr>
        <w:trPr>
          <w:trHeight w:val="275" w:hRule="atLeast"/>
        </w:trPr>
        <w:tc>
          <w:tcPr>
            <w:cnfStyle w:val="001000000000"/>
            <w:tcW w:w="721" w:type="dxa"/>
          </w:tcPr>
          <w:p w14:paraId="0000007A">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3</w:t>
            </w:r>
          </w:p>
        </w:tc>
        <w:tc>
          <w:tcPr>
            <w:cnfStyle w:val="000000000000"/>
            <w:tcW w:w="6978" w:type="dxa"/>
          </w:tcPr>
          <w:p w14:paraId="0000007B">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Etrasimod*</w:t>
            </w:r>
          </w:p>
        </w:tc>
        <w:tc>
          <w:tcPr>
            <w:cnfStyle w:val="000000000000"/>
            <w:tcW w:w="1313" w:type="dxa"/>
          </w:tcPr>
          <w:p w14:paraId="0000007C">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1083" w:type="dxa"/>
          </w:tcPr>
          <w:p w14:paraId="0000007D">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738" w:type="dxa"/>
          </w:tcPr>
          <w:p w14:paraId="0000007E">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6.92</w:t>
            </w:r>
          </w:p>
        </w:tc>
        <w:tc>
          <w:tcPr>
            <w:cnfStyle w:val="000000000000"/>
            <w:tcW w:w="1346" w:type="dxa"/>
          </w:tcPr>
          <w:p w14:paraId="0000007F">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457.492</w:t>
            </w:r>
          </w:p>
        </w:tc>
        <w:tc>
          <w:tcPr>
            <w:cnfStyle w:val="000000000000"/>
            <w:tcW w:w="1264" w:type="dxa"/>
          </w:tcPr>
          <w:p w14:paraId="00000080">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-11.07</w:t>
            </w:r>
          </w:p>
        </w:tc>
      </w:tr>
      <w:tr>
        <w:trPr>
          <w:trHeight w:val="275" w:hRule="atLeast"/>
        </w:trPr>
        <w:tc>
          <w:tcPr>
            <w:cnfStyle w:val="001000000000"/>
            <w:tcW w:w="721" w:type="dxa"/>
          </w:tcPr>
          <w:p w14:paraId="00000081">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w:t>
            </w:r>
          </w:p>
        </w:tc>
        <w:tc>
          <w:tcPr>
            <w:cnfStyle w:val="000000000000"/>
            <w:tcW w:w="6978" w:type="dxa"/>
          </w:tcPr>
          <w:p w14:paraId="00000082">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Siponimod*</w:t>
            </w:r>
          </w:p>
        </w:tc>
        <w:tc>
          <w:tcPr>
            <w:cnfStyle w:val="000000000000"/>
            <w:tcW w:w="1313" w:type="dxa"/>
          </w:tcPr>
          <w:p w14:paraId="00000083">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1083" w:type="dxa"/>
          </w:tcPr>
          <w:p w14:paraId="00000084">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738" w:type="dxa"/>
          </w:tcPr>
          <w:p w14:paraId="00000085">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6.77</w:t>
            </w:r>
          </w:p>
        </w:tc>
        <w:tc>
          <w:tcPr>
            <w:cnfStyle w:val="000000000000"/>
            <w:tcW w:w="1346" w:type="dxa"/>
          </w:tcPr>
          <w:p w14:paraId="00000086">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516.604</w:t>
            </w:r>
          </w:p>
        </w:tc>
        <w:tc>
          <w:tcPr>
            <w:cnfStyle w:val="000000000000"/>
            <w:tcW w:w="1264" w:type="dxa"/>
          </w:tcPr>
          <w:p w14:paraId="00000087">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-10.921</w:t>
            </w:r>
          </w:p>
        </w:tc>
      </w:tr>
      <w:tr>
        <w:trPr>
          <w:trHeight w:val="275" w:hRule="atLeast"/>
        </w:trPr>
        <w:tc>
          <w:tcPr>
            <w:cnfStyle w:val="001000000000"/>
            <w:tcW w:w="721" w:type="dxa"/>
          </w:tcPr>
          <w:p w14:paraId="00000088">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5</w:t>
            </w:r>
          </w:p>
        </w:tc>
        <w:tc>
          <w:tcPr>
            <w:cnfStyle w:val="000000000000"/>
            <w:tcW w:w="6978" w:type="dxa"/>
          </w:tcPr>
          <w:p w14:paraId="00000089">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Ozanimod*</w:t>
            </w:r>
          </w:p>
        </w:tc>
        <w:tc>
          <w:tcPr>
            <w:cnfStyle w:val="000000000000"/>
            <w:tcW w:w="1313" w:type="dxa"/>
          </w:tcPr>
          <w:p w14:paraId="0000008A">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1083" w:type="dxa"/>
          </w:tcPr>
          <w:p w14:paraId="0000008B">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738" w:type="dxa"/>
          </w:tcPr>
          <w:p w14:paraId="0000008C">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3.63</w:t>
            </w:r>
          </w:p>
        </w:tc>
        <w:tc>
          <w:tcPr>
            <w:cnfStyle w:val="000000000000"/>
            <w:tcW w:w="1346" w:type="dxa"/>
          </w:tcPr>
          <w:p w14:paraId="0000008D">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404.47</w:t>
            </w:r>
          </w:p>
        </w:tc>
        <w:tc>
          <w:tcPr>
            <w:cnfStyle w:val="000000000000"/>
            <w:tcW w:w="1264" w:type="dxa"/>
          </w:tcPr>
          <w:p w14:paraId="0000008E">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-9.255</w:t>
            </w:r>
          </w:p>
        </w:tc>
      </w:tr>
      <w:tr>
        <w:trPr>
          <w:trHeight w:val="275" w:hRule="atLeast"/>
        </w:trPr>
        <w:tc>
          <w:tcPr>
            <w:cnfStyle w:val="001000000000"/>
            <w:tcW w:w="721" w:type="dxa"/>
          </w:tcPr>
          <w:p w14:paraId="0000008F">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6</w:t>
            </w:r>
          </w:p>
        </w:tc>
        <w:tc>
          <w:tcPr>
            <w:cnfStyle w:val="000000000000"/>
            <w:tcW w:w="6978" w:type="dxa"/>
          </w:tcPr>
          <w:p w14:paraId="00000090">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Cenerimod</w:t>
            </w:r>
          </w:p>
        </w:tc>
        <w:tc>
          <w:tcPr>
            <w:cnfStyle w:val="000000000000"/>
            <w:tcW w:w="1313" w:type="dxa"/>
          </w:tcPr>
          <w:p w14:paraId="00000091">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0.995</w:t>
            </w:r>
          </w:p>
        </w:tc>
        <w:tc>
          <w:tcPr>
            <w:cnfStyle w:val="000000000000"/>
            <w:tcW w:w="1083" w:type="dxa"/>
          </w:tcPr>
          <w:p w14:paraId="00000092">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738" w:type="dxa"/>
          </w:tcPr>
          <w:p w14:paraId="00000093">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4.06</w:t>
            </w:r>
          </w:p>
        </w:tc>
        <w:tc>
          <w:tcPr>
            <w:cnfStyle w:val="000000000000"/>
            <w:tcW w:w="1346" w:type="dxa"/>
          </w:tcPr>
          <w:p w14:paraId="00000094">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453.539</w:t>
            </w:r>
          </w:p>
        </w:tc>
        <w:tc>
          <w:tcPr>
            <w:cnfStyle w:val="000000000000"/>
            <w:tcW w:w="1264" w:type="dxa"/>
          </w:tcPr>
          <w:p w14:paraId="00000095">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-9.88</w:t>
            </w:r>
          </w:p>
        </w:tc>
      </w:tr>
      <w:tr>
        <w:trPr>
          <w:trHeight w:val="275" w:hRule="atLeast"/>
        </w:trPr>
        <w:tc>
          <w:tcPr>
            <w:cnfStyle w:val="001000000000"/>
            <w:tcW w:w="721" w:type="dxa"/>
          </w:tcPr>
          <w:p w14:paraId="00000096">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7</w:t>
            </w:r>
          </w:p>
        </w:tc>
        <w:tc>
          <w:tcPr>
            <w:cnfStyle w:val="000000000000"/>
            <w:tcW w:w="6978" w:type="dxa"/>
          </w:tcPr>
          <w:p w14:paraId="00000097">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ASP-4058</w:t>
            </w:r>
          </w:p>
        </w:tc>
        <w:tc>
          <w:tcPr>
            <w:cnfStyle w:val="000000000000"/>
            <w:tcW w:w="1313" w:type="dxa"/>
          </w:tcPr>
          <w:p w14:paraId="00000098">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0.985</w:t>
            </w:r>
          </w:p>
        </w:tc>
        <w:tc>
          <w:tcPr>
            <w:cnfStyle w:val="000000000000"/>
            <w:tcW w:w="1083" w:type="dxa"/>
          </w:tcPr>
          <w:p w14:paraId="00000099">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738" w:type="dxa"/>
          </w:tcPr>
          <w:p w14:paraId="0000009A">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5.62</w:t>
            </w:r>
          </w:p>
        </w:tc>
        <w:tc>
          <w:tcPr>
            <w:cnfStyle w:val="000000000000"/>
            <w:tcW w:w="1346" w:type="dxa"/>
          </w:tcPr>
          <w:p w14:paraId="0000009B">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442.319</w:t>
            </w:r>
          </w:p>
        </w:tc>
        <w:tc>
          <w:tcPr>
            <w:cnfStyle w:val="000000000000"/>
            <w:tcW w:w="1264" w:type="dxa"/>
          </w:tcPr>
          <w:p w14:paraId="0000009C">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-10.635</w:t>
            </w:r>
          </w:p>
        </w:tc>
      </w:tr>
      <w:tr>
        <w:trPr>
          <w:trHeight w:val="275" w:hRule="atLeast"/>
        </w:trPr>
        <w:tc>
          <w:tcPr>
            <w:cnfStyle w:val="001000000000"/>
            <w:tcW w:w="721" w:type="dxa"/>
          </w:tcPr>
          <w:p w14:paraId="0000009D">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8</w:t>
            </w:r>
          </w:p>
        </w:tc>
        <w:tc>
          <w:tcPr>
            <w:cnfStyle w:val="000000000000"/>
            <w:tcW w:w="6978" w:type="dxa"/>
          </w:tcPr>
          <w:p w14:paraId="0000009E">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Fingolimod*</w:t>
            </w:r>
          </w:p>
        </w:tc>
        <w:tc>
          <w:tcPr>
            <w:cnfStyle w:val="000000000000"/>
            <w:tcW w:w="1313" w:type="dxa"/>
          </w:tcPr>
          <w:p w14:paraId="0000009F">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0.97</w:t>
            </w:r>
          </w:p>
        </w:tc>
        <w:tc>
          <w:tcPr>
            <w:cnfStyle w:val="000000000000"/>
            <w:tcW w:w="1083" w:type="dxa"/>
          </w:tcPr>
          <w:p w14:paraId="000000A0">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738" w:type="dxa"/>
          </w:tcPr>
          <w:p w14:paraId="000000A1">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3.2</w:t>
            </w:r>
          </w:p>
        </w:tc>
        <w:tc>
          <w:tcPr>
            <w:cnfStyle w:val="000000000000"/>
            <w:tcW w:w="1346" w:type="dxa"/>
          </w:tcPr>
          <w:p w14:paraId="000000A2">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307.478</w:t>
            </w:r>
          </w:p>
        </w:tc>
        <w:tc>
          <w:tcPr>
            <w:cnfStyle w:val="000000000000"/>
            <w:tcW w:w="1264" w:type="dxa"/>
          </w:tcPr>
          <w:p w14:paraId="000000A3">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-7.272</w:t>
            </w:r>
          </w:p>
        </w:tc>
      </w:tr>
      <w:tr>
        <w:trPr>
          <w:trHeight w:val="275" w:hRule="atLeast"/>
        </w:trPr>
        <w:tc>
          <w:tcPr>
            <w:cnfStyle w:val="001000000000"/>
            <w:tcW w:w="721" w:type="dxa"/>
          </w:tcPr>
          <w:p w14:paraId="000000A4">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9</w:t>
            </w:r>
          </w:p>
        </w:tc>
        <w:tc>
          <w:tcPr>
            <w:cnfStyle w:val="000000000000"/>
            <w:tcW w:w="6978" w:type="dxa"/>
          </w:tcPr>
          <w:p w14:paraId="000000A5">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GSK-2018682</w:t>
            </w:r>
          </w:p>
        </w:tc>
        <w:tc>
          <w:tcPr>
            <w:cnfStyle w:val="000000000000"/>
            <w:tcW w:w="1313" w:type="dxa"/>
          </w:tcPr>
          <w:p w14:paraId="000000A6">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0.96</w:t>
            </w:r>
          </w:p>
        </w:tc>
        <w:tc>
          <w:tcPr>
            <w:cnfStyle w:val="000000000000"/>
            <w:tcW w:w="1083" w:type="dxa"/>
          </w:tcPr>
          <w:p w14:paraId="000000A7">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738" w:type="dxa"/>
          </w:tcPr>
          <w:p w14:paraId="000000A8">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5.05</w:t>
            </w:r>
          </w:p>
        </w:tc>
        <w:tc>
          <w:tcPr>
            <w:cnfStyle w:val="000000000000"/>
            <w:tcW w:w="1346" w:type="dxa"/>
          </w:tcPr>
          <w:p w14:paraId="000000A9">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440.887</w:t>
            </w:r>
          </w:p>
        </w:tc>
        <w:tc>
          <w:tcPr>
            <w:cnfStyle w:val="000000000000"/>
            <w:tcW w:w="1264" w:type="dxa"/>
          </w:tcPr>
          <w:p w14:paraId="000000AA">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-9.502</w:t>
            </w:r>
          </w:p>
        </w:tc>
      </w:tr>
      <w:tr>
        <w:trPr>
          <w:trHeight w:val="275" w:hRule="atLeast"/>
        </w:trPr>
        <w:tc>
          <w:tcPr>
            <w:cnfStyle w:val="001000000000"/>
            <w:tcW w:w="721" w:type="dxa"/>
          </w:tcPr>
          <w:p w14:paraId="000000AB">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10</w:t>
            </w:r>
          </w:p>
        </w:tc>
        <w:tc>
          <w:tcPr>
            <w:cnfStyle w:val="000000000000"/>
            <w:tcW w:w="6978" w:type="dxa"/>
          </w:tcPr>
          <w:p w14:paraId="000000AC">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1-Monohexanoyl-2-Hydroxy-Sn-Glycero-3-Phosphate</w:t>
            </w:r>
          </w:p>
        </w:tc>
        <w:tc>
          <w:tcPr>
            <w:cnfStyle w:val="000000000000"/>
            <w:tcW w:w="1313" w:type="dxa"/>
          </w:tcPr>
          <w:p w14:paraId="000000AD">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0.953</w:t>
            </w:r>
          </w:p>
        </w:tc>
        <w:tc>
          <w:tcPr>
            <w:cnfStyle w:val="000000000000"/>
            <w:tcW w:w="1083" w:type="dxa"/>
          </w:tcPr>
          <w:p w14:paraId="000000AE">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738" w:type="dxa"/>
          </w:tcPr>
          <w:p w14:paraId="000000AF">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0.58</w:t>
            </w:r>
          </w:p>
        </w:tc>
        <w:tc>
          <w:tcPr>
            <w:cnfStyle w:val="000000000000"/>
            <w:tcW w:w="1346" w:type="dxa"/>
          </w:tcPr>
          <w:p w14:paraId="000000B0">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270.218</w:t>
            </w:r>
          </w:p>
        </w:tc>
        <w:tc>
          <w:tcPr>
            <w:cnfStyle w:val="000000000000"/>
            <w:tcW w:w="1264" w:type="dxa"/>
          </w:tcPr>
          <w:p w14:paraId="000000B1">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-5.484</w:t>
            </w:r>
          </w:p>
        </w:tc>
      </w:tr>
      <w:tr>
        <w:trPr>
          <w:trHeight w:val="275" w:hRule="atLeast"/>
        </w:trPr>
        <w:tc>
          <w:tcPr>
            <w:cnfStyle w:val="001000000000"/>
            <w:tcW w:w="721" w:type="dxa"/>
          </w:tcPr>
          <w:p w14:paraId="000000B2">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11</w:t>
            </w:r>
          </w:p>
        </w:tc>
        <w:tc>
          <w:tcPr>
            <w:cnfStyle w:val="000000000000"/>
            <w:tcW w:w="6978" w:type="dxa"/>
          </w:tcPr>
          <w:p w14:paraId="000000B3">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Udifitimod</w:t>
            </w:r>
          </w:p>
        </w:tc>
        <w:tc>
          <w:tcPr>
            <w:cnfStyle w:val="000000000000"/>
            <w:tcW w:w="1313" w:type="dxa"/>
          </w:tcPr>
          <w:p w14:paraId="000000B4">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0.945</w:t>
            </w:r>
          </w:p>
        </w:tc>
        <w:tc>
          <w:tcPr>
            <w:cnfStyle w:val="000000000000"/>
            <w:tcW w:w="1083" w:type="dxa"/>
          </w:tcPr>
          <w:p w14:paraId="000000B5">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738" w:type="dxa"/>
          </w:tcPr>
          <w:p w14:paraId="000000B6">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4.39</w:t>
            </w:r>
          </w:p>
        </w:tc>
        <w:tc>
          <w:tcPr>
            <w:cnfStyle w:val="000000000000"/>
            <w:tcW w:w="1346" w:type="dxa"/>
          </w:tcPr>
          <w:p w14:paraId="000000B7">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379.544</w:t>
            </w:r>
          </w:p>
        </w:tc>
        <w:tc>
          <w:tcPr>
            <w:cnfStyle w:val="000000000000"/>
            <w:tcW w:w="1264" w:type="dxa"/>
          </w:tcPr>
          <w:p w14:paraId="000000B8">
            <w:pPr>
              <w:pStyle w:val="Normal"/>
              <w:bidi w:val="off"/>
              <w:spacing w:before="0" w:after="0" w:line="240" w:lineRule="auto"/>
              <w:ind w:left="0" w:right="0"/>
              <w:jc w:val="center"/>
              <w:rPr/>
            </w:pPr>
            <w:r>
              <w:rPr>
                <w:rFonts w:ascii="Book Antiqua" w:cs="Book Antiqua" w:eastAsia="Book Antiqua" w:hAnsi="Book Antiqua"/>
                <w:b w:val="off"/>
                <w:bCs w:val="off"/>
                <w:i w:val="off"/>
                <w:iCs w:val="off"/>
                <w:sz w:val="20"/>
                <w:szCs w:val="20"/>
              </w:rPr>
              <w:t>-</w:t>
            </w:r>
          </w:p>
        </w:tc>
      </w:tr>
      <w:tr>
        <w:trPr>
          <w:trHeight w:val="498" w:hRule="atLeast"/>
        </w:trPr>
        <w:tc>
          <w:tcPr>
            <w:cnfStyle w:val="001000000000"/>
            <w:tcW w:w="721" w:type="dxa"/>
          </w:tcPr>
          <w:p w14:paraId="000000B9">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12</w:t>
            </w:r>
          </w:p>
        </w:tc>
        <w:tc>
          <w:tcPr>
            <w:cnfStyle w:val="000000000000"/>
            <w:tcW w:w="6978" w:type="dxa"/>
          </w:tcPr>
          <w:p w14:paraId="000000BA">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S-[2-({N-[(2S)-2-hydroxy-3,3-dimethyl-4-(phosphonooxy)butanoyl]</w:t>
            </w:r>
          </w:p>
          <w:p w14:paraId="000000BB">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-beta-alanyl}amino)ethyl] octanethioate</w:t>
            </w:r>
          </w:p>
        </w:tc>
        <w:tc>
          <w:tcPr>
            <w:cnfStyle w:val="000000000000"/>
            <w:tcW w:w="1313" w:type="dxa"/>
          </w:tcPr>
          <w:p w14:paraId="000000BC">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0.925</w:t>
            </w:r>
          </w:p>
        </w:tc>
        <w:tc>
          <w:tcPr>
            <w:cnfStyle w:val="000000000000"/>
            <w:tcW w:w="1083" w:type="dxa"/>
          </w:tcPr>
          <w:p w14:paraId="000000BD">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738" w:type="dxa"/>
          </w:tcPr>
          <w:p w14:paraId="000000BE">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1.72</w:t>
            </w:r>
          </w:p>
        </w:tc>
        <w:tc>
          <w:tcPr>
            <w:cnfStyle w:val="000000000000"/>
            <w:tcW w:w="1346" w:type="dxa"/>
          </w:tcPr>
          <w:p w14:paraId="000000BF">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484.552</w:t>
            </w:r>
          </w:p>
        </w:tc>
        <w:tc>
          <w:tcPr>
            <w:cnfStyle w:val="000000000000"/>
            <w:tcW w:w="1264" w:type="dxa"/>
          </w:tcPr>
          <w:p w14:paraId="000000C0">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-6.879</w:t>
            </w:r>
          </w:p>
        </w:tc>
      </w:tr>
      <w:tr>
        <w:trPr>
          <w:trHeight w:val="275" w:hRule="atLeast"/>
        </w:trPr>
        <w:tc>
          <w:tcPr>
            <w:cnfStyle w:val="001000000000"/>
            <w:tcW w:w="721" w:type="dxa"/>
          </w:tcPr>
          <w:p w14:paraId="000000C1">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13</w:t>
            </w:r>
          </w:p>
        </w:tc>
        <w:tc>
          <w:tcPr>
            <w:cnfStyle w:val="000000000000"/>
            <w:tcW w:w="6978" w:type="dxa"/>
          </w:tcPr>
          <w:p w14:paraId="000000C2">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Amiselimod</w:t>
            </w:r>
          </w:p>
        </w:tc>
        <w:tc>
          <w:tcPr>
            <w:cnfStyle w:val="000000000000"/>
            <w:tcW w:w="1313" w:type="dxa"/>
          </w:tcPr>
          <w:p w14:paraId="000000C3">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0.923</w:t>
            </w:r>
          </w:p>
        </w:tc>
        <w:tc>
          <w:tcPr>
            <w:cnfStyle w:val="000000000000"/>
            <w:tcW w:w="1083" w:type="dxa"/>
          </w:tcPr>
          <w:p w14:paraId="000000C4">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738" w:type="dxa"/>
          </w:tcPr>
          <w:p w14:paraId="000000C5">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3.66</w:t>
            </w:r>
          </w:p>
        </w:tc>
        <w:tc>
          <w:tcPr>
            <w:cnfStyle w:val="000000000000"/>
            <w:tcW w:w="1346" w:type="dxa"/>
          </w:tcPr>
          <w:p w14:paraId="000000C6">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377.447</w:t>
            </w:r>
          </w:p>
        </w:tc>
        <w:tc>
          <w:tcPr>
            <w:cnfStyle w:val="000000000000"/>
            <w:tcW w:w="1264" w:type="dxa"/>
          </w:tcPr>
          <w:p w14:paraId="000000C7">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-7.513</w:t>
            </w:r>
          </w:p>
        </w:tc>
      </w:tr>
      <w:tr>
        <w:trPr>
          <w:trHeight w:val="291" w:hRule="atLeast"/>
        </w:trPr>
        <w:tc>
          <w:tcPr>
            <w:cnfStyle w:val="001000000000"/>
            <w:tcW w:w="721" w:type="dxa"/>
          </w:tcPr>
          <w:p w14:paraId="000000C8">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14</w:t>
            </w:r>
          </w:p>
        </w:tc>
        <w:tc>
          <w:tcPr>
            <w:cnfStyle w:val="000000000000"/>
            <w:tcW w:w="6978" w:type="dxa"/>
          </w:tcPr>
          <w:p w14:paraId="000000C9">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1-DECYL-3-TRIFLUORO ETHYL-SN-GLYCERO-2-PHOSPHOMETHANOL</w:t>
            </w:r>
          </w:p>
        </w:tc>
        <w:tc>
          <w:tcPr>
            <w:cnfStyle w:val="000000000000"/>
            <w:tcW w:w="1313" w:type="dxa"/>
          </w:tcPr>
          <w:p w14:paraId="000000CA">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0.921</w:t>
            </w:r>
          </w:p>
        </w:tc>
        <w:tc>
          <w:tcPr>
            <w:cnfStyle w:val="000000000000"/>
            <w:tcW w:w="1083" w:type="dxa"/>
          </w:tcPr>
          <w:p w14:paraId="000000CB">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738" w:type="dxa"/>
          </w:tcPr>
          <w:p w14:paraId="000000CC">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4.85</w:t>
            </w:r>
          </w:p>
        </w:tc>
        <w:tc>
          <w:tcPr>
            <w:cnfStyle w:val="000000000000"/>
            <w:tcW w:w="1346" w:type="dxa"/>
          </w:tcPr>
          <w:p w14:paraId="000000CD">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408.394</w:t>
            </w:r>
          </w:p>
        </w:tc>
        <w:tc>
          <w:tcPr>
            <w:cnfStyle w:val="000000000000"/>
            <w:tcW w:w="1264" w:type="dxa"/>
          </w:tcPr>
          <w:p w14:paraId="000000CE">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-6.782</w:t>
            </w:r>
          </w:p>
        </w:tc>
      </w:tr>
      <w:tr>
        <w:trPr>
          <w:trHeight w:val="498" w:hRule="atLeast"/>
        </w:trPr>
        <w:tc>
          <w:tcPr>
            <w:cnfStyle w:val="001000000000"/>
            <w:tcW w:w="721" w:type="dxa"/>
          </w:tcPr>
          <w:p w14:paraId="000000CF">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15</w:t>
            </w:r>
          </w:p>
        </w:tc>
        <w:tc>
          <w:tcPr>
            <w:cnfStyle w:val="000000000000"/>
            <w:tcW w:w="6978" w:type="dxa"/>
          </w:tcPr>
          <w:p w14:paraId="000000D0">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S-[2-({N-[(2S)-2-hydroxy-3,3-dimethyl-4-(phosphonooxy)butanoyl]</w:t>
            </w:r>
          </w:p>
          <w:p w14:paraId="000000D1">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-beta-alanyl}amino)ethyl] hexanethioate</w:t>
            </w:r>
          </w:p>
        </w:tc>
        <w:tc>
          <w:tcPr>
            <w:cnfStyle w:val="000000000000"/>
            <w:tcW w:w="1313" w:type="dxa"/>
          </w:tcPr>
          <w:p w14:paraId="000000D2">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0.92</w:t>
            </w:r>
          </w:p>
        </w:tc>
        <w:tc>
          <w:tcPr>
            <w:cnfStyle w:val="000000000000"/>
            <w:tcW w:w="1083" w:type="dxa"/>
          </w:tcPr>
          <w:p w14:paraId="000000D3">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738" w:type="dxa"/>
          </w:tcPr>
          <w:p w14:paraId="000000D4">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0.94</w:t>
            </w:r>
          </w:p>
        </w:tc>
        <w:tc>
          <w:tcPr>
            <w:cnfStyle w:val="000000000000"/>
            <w:tcW w:w="1346" w:type="dxa"/>
          </w:tcPr>
          <w:p w14:paraId="000000D5">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456.498</w:t>
            </w:r>
          </w:p>
        </w:tc>
        <w:tc>
          <w:tcPr>
            <w:cnfStyle w:val="000000000000"/>
            <w:tcW w:w="1264" w:type="dxa"/>
          </w:tcPr>
          <w:p w14:paraId="000000D6">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-6.683</w:t>
            </w:r>
          </w:p>
        </w:tc>
      </w:tr>
      <w:tr>
        <w:trPr>
          <w:trHeight w:val="275" w:hRule="atLeast"/>
        </w:trPr>
        <w:tc>
          <w:tcPr>
            <w:cnfStyle w:val="001000000000"/>
            <w:tcW w:w="721" w:type="dxa"/>
          </w:tcPr>
          <w:p w14:paraId="000000D7">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16</w:t>
            </w:r>
          </w:p>
        </w:tc>
        <w:tc>
          <w:tcPr>
            <w:cnfStyle w:val="000000000000"/>
            <w:tcW w:w="6978" w:type="dxa"/>
          </w:tcPr>
          <w:p w14:paraId="000000D8">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(R)-2-(FORMYLOXY)-3-(PHOSPHONOOXY)PROPYL PENTANOATE</w:t>
            </w:r>
          </w:p>
        </w:tc>
        <w:tc>
          <w:tcPr>
            <w:cnfStyle w:val="000000000000"/>
            <w:tcW w:w="1313" w:type="dxa"/>
          </w:tcPr>
          <w:p w14:paraId="000000D9">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0.92</w:t>
            </w:r>
          </w:p>
        </w:tc>
        <w:tc>
          <w:tcPr>
            <w:cnfStyle w:val="000000000000"/>
            <w:tcW w:w="1083" w:type="dxa"/>
          </w:tcPr>
          <w:p w14:paraId="000000DA">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738" w:type="dxa"/>
          </w:tcPr>
          <w:p w14:paraId="000000DB">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0.37</w:t>
            </w:r>
          </w:p>
        </w:tc>
        <w:tc>
          <w:tcPr>
            <w:cnfStyle w:val="000000000000"/>
            <w:tcW w:w="1346" w:type="dxa"/>
          </w:tcPr>
          <w:p w14:paraId="000000DC">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284.201</w:t>
            </w:r>
          </w:p>
        </w:tc>
        <w:tc>
          <w:tcPr>
            <w:cnfStyle w:val="000000000000"/>
            <w:tcW w:w="1264" w:type="dxa"/>
          </w:tcPr>
          <w:p w14:paraId="000000DD">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-5.554</w:t>
            </w:r>
          </w:p>
        </w:tc>
      </w:tr>
      <w:tr>
        <w:trPr>
          <w:trHeight w:val="275" w:hRule="atLeast"/>
        </w:trPr>
        <w:tc>
          <w:tcPr>
            <w:cnfStyle w:val="001000000000"/>
            <w:tcW w:w="721" w:type="dxa"/>
          </w:tcPr>
          <w:p w14:paraId="000000DE">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17</w:t>
            </w:r>
          </w:p>
        </w:tc>
        <w:tc>
          <w:tcPr>
            <w:cnfStyle w:val="000000000000"/>
            <w:tcW w:w="6978" w:type="dxa"/>
          </w:tcPr>
          <w:p w14:paraId="000000DF">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BMS-986104</w:t>
            </w:r>
          </w:p>
        </w:tc>
        <w:tc>
          <w:tcPr>
            <w:cnfStyle w:val="000000000000"/>
            <w:tcW w:w="1313" w:type="dxa"/>
          </w:tcPr>
          <w:p w14:paraId="000000E0">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0.915</w:t>
            </w:r>
          </w:p>
        </w:tc>
        <w:tc>
          <w:tcPr>
            <w:cnfStyle w:val="000000000000"/>
            <w:tcW w:w="1083" w:type="dxa"/>
          </w:tcPr>
          <w:p w14:paraId="000000E1">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738" w:type="dxa"/>
          </w:tcPr>
          <w:p w14:paraId="000000E2">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4.71</w:t>
            </w:r>
          </w:p>
        </w:tc>
        <w:tc>
          <w:tcPr>
            <w:cnfStyle w:val="000000000000"/>
            <w:tcW w:w="1346" w:type="dxa"/>
          </w:tcPr>
          <w:p w14:paraId="000000E3">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329.528</w:t>
            </w:r>
          </w:p>
        </w:tc>
        <w:tc>
          <w:tcPr>
            <w:cnfStyle w:val="000000000000"/>
            <w:tcW w:w="1264" w:type="dxa"/>
          </w:tcPr>
          <w:p w14:paraId="000000E4">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-8.937</w:t>
            </w:r>
          </w:p>
        </w:tc>
      </w:tr>
      <w:tr>
        <w:trPr>
          <w:trHeight w:val="275" w:hRule="atLeast"/>
        </w:trPr>
        <w:tc>
          <w:tcPr>
            <w:cnfStyle w:val="001000000000"/>
            <w:tcW w:w="721" w:type="dxa"/>
          </w:tcPr>
          <w:p w14:paraId="000000E5">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18</w:t>
            </w:r>
          </w:p>
        </w:tc>
        <w:tc>
          <w:tcPr>
            <w:cnfStyle w:val="000000000000"/>
            <w:tcW w:w="6978" w:type="dxa"/>
          </w:tcPr>
          <w:p w14:paraId="000000E6">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METHOXYUNDECYLPHOSPHINIC ACID</w:t>
            </w:r>
          </w:p>
        </w:tc>
        <w:tc>
          <w:tcPr>
            <w:cnfStyle w:val="000000000000"/>
            <w:tcW w:w="1313" w:type="dxa"/>
          </w:tcPr>
          <w:p w14:paraId="000000E7">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0.912</w:t>
            </w:r>
          </w:p>
        </w:tc>
        <w:tc>
          <w:tcPr>
            <w:cnfStyle w:val="000000000000"/>
            <w:tcW w:w="1083" w:type="dxa"/>
          </w:tcPr>
          <w:p w14:paraId="000000E8">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738" w:type="dxa"/>
          </w:tcPr>
          <w:p w14:paraId="000000E9">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4.3</w:t>
            </w:r>
          </w:p>
        </w:tc>
        <w:tc>
          <w:tcPr>
            <w:cnfStyle w:val="000000000000"/>
            <w:tcW w:w="1346" w:type="dxa"/>
          </w:tcPr>
          <w:p w14:paraId="000000EA">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250.319</w:t>
            </w:r>
          </w:p>
        </w:tc>
        <w:tc>
          <w:tcPr>
            <w:cnfStyle w:val="000000000000"/>
            <w:tcW w:w="1264" w:type="dxa"/>
          </w:tcPr>
          <w:p w14:paraId="000000EB">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-5.803</w:t>
            </w:r>
          </w:p>
        </w:tc>
      </w:tr>
      <w:tr>
        <w:trPr>
          <w:trHeight w:val="253" w:hRule="atLeast"/>
        </w:trPr>
        <w:tc>
          <w:tcPr>
            <w:cnfStyle w:val="001000000000"/>
            <w:tcW w:w="721" w:type="dxa"/>
          </w:tcPr>
          <w:p w14:paraId="000000EC">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19</w:t>
            </w:r>
          </w:p>
        </w:tc>
        <w:tc>
          <w:tcPr>
            <w:cnfStyle w:val="000000000000"/>
            <w:tcW w:w="6978" w:type="dxa"/>
          </w:tcPr>
          <w:p w14:paraId="000000ED">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(2,2-DIPHOSPHONOETHYL)(DODECYL)DIMETHYLPHOSPHONIUM</w:t>
            </w:r>
          </w:p>
        </w:tc>
        <w:tc>
          <w:tcPr>
            <w:cnfStyle w:val="000000000000"/>
            <w:tcW w:w="1313" w:type="dxa"/>
          </w:tcPr>
          <w:p w14:paraId="000000EE">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0.9</w:t>
            </w:r>
          </w:p>
        </w:tc>
        <w:tc>
          <w:tcPr>
            <w:cnfStyle w:val="000000000000"/>
            <w:tcW w:w="1083" w:type="dxa"/>
          </w:tcPr>
          <w:p w14:paraId="000000EF">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738" w:type="dxa"/>
          </w:tcPr>
          <w:p w14:paraId="000000F0">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4.86</w:t>
            </w:r>
          </w:p>
        </w:tc>
        <w:tc>
          <w:tcPr>
            <w:cnfStyle w:val="000000000000"/>
            <w:tcW w:w="1346" w:type="dxa"/>
          </w:tcPr>
          <w:p w14:paraId="000000F1">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419.396</w:t>
            </w:r>
          </w:p>
        </w:tc>
        <w:tc>
          <w:tcPr>
            <w:cnfStyle w:val="000000000000"/>
            <w:tcW w:w="1264" w:type="dxa"/>
          </w:tcPr>
          <w:p w14:paraId="000000F2">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-7.047</w:t>
            </w:r>
          </w:p>
        </w:tc>
      </w:tr>
      <w:tr>
        <w:trPr>
          <w:trHeight w:val="275" w:hRule="atLeast"/>
        </w:trPr>
        <w:tc>
          <w:tcPr>
            <w:cnfStyle w:val="001000000000"/>
            <w:tcW w:w="721" w:type="dxa"/>
          </w:tcPr>
          <w:p w14:paraId="000000F3">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20</w:t>
            </w:r>
          </w:p>
        </w:tc>
        <w:tc>
          <w:tcPr>
            <w:cnfStyle w:val="000000000000"/>
            <w:tcW w:w="6978" w:type="dxa"/>
          </w:tcPr>
          <w:p w14:paraId="000000F4">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Lysophosphotidylserine</w:t>
            </w:r>
          </w:p>
        </w:tc>
        <w:tc>
          <w:tcPr>
            <w:cnfStyle w:val="000000000000"/>
            <w:tcW w:w="1313" w:type="dxa"/>
          </w:tcPr>
          <w:p w14:paraId="000000F5">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0.891</w:t>
            </w:r>
          </w:p>
        </w:tc>
        <w:tc>
          <w:tcPr>
            <w:cnfStyle w:val="000000000000"/>
            <w:tcW w:w="1083" w:type="dxa"/>
          </w:tcPr>
          <w:p w14:paraId="000000F6">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738" w:type="dxa"/>
          </w:tcPr>
          <w:p w14:paraId="000000F7">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3.31</w:t>
            </w:r>
          </w:p>
        </w:tc>
        <w:tc>
          <w:tcPr>
            <w:cnfStyle w:val="000000000000"/>
            <w:tcW w:w="1346" w:type="dxa"/>
          </w:tcPr>
          <w:p w14:paraId="000000F8">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485.555</w:t>
            </w:r>
          </w:p>
        </w:tc>
        <w:tc>
          <w:tcPr>
            <w:cnfStyle w:val="000000000000"/>
            <w:tcW w:w="1264" w:type="dxa"/>
          </w:tcPr>
          <w:p w14:paraId="000000F9">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-6.667</w:t>
            </w:r>
          </w:p>
        </w:tc>
      </w:tr>
      <w:tr>
        <w:trPr>
          <w:trHeight w:val="275" w:hRule="atLeast"/>
        </w:trPr>
        <w:tc>
          <w:tcPr>
            <w:cnfStyle w:val="001000000000"/>
            <w:tcW w:w="721" w:type="dxa"/>
          </w:tcPr>
          <w:p w14:paraId="000000FA">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21</w:t>
            </w:r>
          </w:p>
        </w:tc>
        <w:tc>
          <w:tcPr>
            <w:cnfStyle w:val="000000000000"/>
            <w:tcW w:w="6978" w:type="dxa"/>
          </w:tcPr>
          <w:p w14:paraId="000000FB">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(2R)-3-(phosphonooxy)propane-1,2-diyl diheptanoate</w:t>
            </w:r>
          </w:p>
        </w:tc>
        <w:tc>
          <w:tcPr>
            <w:cnfStyle w:val="000000000000"/>
            <w:tcW w:w="1313" w:type="dxa"/>
          </w:tcPr>
          <w:p w14:paraId="000000FC">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0.89</w:t>
            </w:r>
          </w:p>
        </w:tc>
        <w:tc>
          <w:tcPr>
            <w:cnfStyle w:val="000000000000"/>
            <w:tcW w:w="1083" w:type="dxa"/>
          </w:tcPr>
          <w:p w14:paraId="000000FD">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738" w:type="dxa"/>
          </w:tcPr>
          <w:p w14:paraId="000000FE">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3.49</w:t>
            </w:r>
          </w:p>
        </w:tc>
        <w:tc>
          <w:tcPr>
            <w:cnfStyle w:val="000000000000"/>
            <w:tcW w:w="1346" w:type="dxa"/>
          </w:tcPr>
          <w:p w14:paraId="000000FF">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396.417</w:t>
            </w:r>
          </w:p>
        </w:tc>
        <w:tc>
          <w:tcPr>
            <w:cnfStyle w:val="000000000000"/>
            <w:tcW w:w="1264" w:type="dxa"/>
          </w:tcPr>
          <w:p w14:paraId="00000100">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-6.662</w:t>
            </w:r>
          </w:p>
        </w:tc>
      </w:tr>
      <w:tr>
        <w:trPr>
          <w:trHeight w:val="275" w:hRule="atLeast"/>
        </w:trPr>
        <w:tc>
          <w:tcPr>
            <w:cnfStyle w:val="001000000000"/>
            <w:tcW w:w="721" w:type="dxa"/>
          </w:tcPr>
          <w:p w14:paraId="00000101">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22</w:t>
            </w:r>
          </w:p>
        </w:tc>
        <w:tc>
          <w:tcPr>
            <w:cnfStyle w:val="000000000000"/>
            <w:tcW w:w="6978" w:type="dxa"/>
          </w:tcPr>
          <w:p w14:paraId="00000102">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N-Hexylphosphonate Ethyl Ester</w:t>
            </w:r>
          </w:p>
        </w:tc>
        <w:tc>
          <w:tcPr>
            <w:cnfStyle w:val="000000000000"/>
            <w:tcW w:w="1313" w:type="dxa"/>
          </w:tcPr>
          <w:p w14:paraId="00000103">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0.885</w:t>
            </w:r>
          </w:p>
        </w:tc>
        <w:tc>
          <w:tcPr>
            <w:cnfStyle w:val="000000000000"/>
            <w:tcW w:w="1083" w:type="dxa"/>
          </w:tcPr>
          <w:p w14:paraId="00000104">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738" w:type="dxa"/>
          </w:tcPr>
          <w:p w14:paraId="00000105">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2.78</w:t>
            </w:r>
          </w:p>
        </w:tc>
        <w:tc>
          <w:tcPr>
            <w:cnfStyle w:val="000000000000"/>
            <w:tcW w:w="1346" w:type="dxa"/>
          </w:tcPr>
          <w:p w14:paraId="00000106">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194.211</w:t>
            </w:r>
          </w:p>
        </w:tc>
        <w:tc>
          <w:tcPr>
            <w:cnfStyle w:val="000000000000"/>
            <w:tcW w:w="1264" w:type="dxa"/>
          </w:tcPr>
          <w:p w14:paraId="00000107">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-5.523</w:t>
            </w:r>
          </w:p>
        </w:tc>
      </w:tr>
      <w:tr>
        <w:trPr>
          <w:trHeight w:val="274" w:hRule="atLeast"/>
        </w:trPr>
        <w:tc>
          <w:tcPr>
            <w:cnfStyle w:val="001000000000"/>
            <w:tcW w:w="721" w:type="dxa"/>
          </w:tcPr>
          <w:p w14:paraId="00000108">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23</w:t>
            </w:r>
          </w:p>
        </w:tc>
        <w:tc>
          <w:tcPr>
            <w:cnfStyle w:val="000000000000"/>
            <w:tcW w:w="6978" w:type="dxa"/>
          </w:tcPr>
          <w:p w14:paraId="00000109">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D-pantetheine 4'-phosphate</w:t>
            </w:r>
          </w:p>
        </w:tc>
        <w:tc>
          <w:tcPr>
            <w:cnfStyle w:val="000000000000"/>
            <w:tcW w:w="1313" w:type="dxa"/>
          </w:tcPr>
          <w:p w14:paraId="0000010A">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0.882</w:t>
            </w:r>
          </w:p>
        </w:tc>
        <w:tc>
          <w:tcPr>
            <w:cnfStyle w:val="000000000000"/>
            <w:tcW w:w="1083" w:type="dxa"/>
          </w:tcPr>
          <w:p w14:paraId="0000010B">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738" w:type="dxa"/>
          </w:tcPr>
          <w:p w14:paraId="0000010C">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-0.96</w:t>
            </w:r>
          </w:p>
        </w:tc>
        <w:tc>
          <w:tcPr>
            <w:cnfStyle w:val="000000000000"/>
            <w:tcW w:w="1346" w:type="dxa"/>
          </w:tcPr>
          <w:p w14:paraId="0000010D">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358.353</w:t>
            </w:r>
          </w:p>
        </w:tc>
        <w:tc>
          <w:tcPr>
            <w:cnfStyle w:val="000000000000"/>
            <w:tcW w:w="1264" w:type="dxa"/>
          </w:tcPr>
          <w:p w14:paraId="0000010E">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-5.714</w:t>
            </w:r>
          </w:p>
        </w:tc>
      </w:tr>
      <w:tr>
        <w:trPr>
          <w:trHeight w:val="343" w:hRule="atLeast"/>
        </w:trPr>
        <w:tc>
          <w:tcPr>
            <w:cnfStyle w:val="001000000000"/>
            <w:tcW w:w="721" w:type="dxa"/>
          </w:tcPr>
          <w:p w14:paraId="0000010F">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24</w:t>
            </w:r>
          </w:p>
        </w:tc>
        <w:tc>
          <w:tcPr>
            <w:cnfStyle w:val="000000000000"/>
            <w:tcW w:w="6978" w:type="dxa"/>
          </w:tcPr>
          <w:p w14:paraId="00000110">
            <w:pPr>
              <w:spacing w:before="0" w:after="0" w:line="240"/>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1-O-Octyl-2-Heptylphosphonyl-Sn-Glycero-3-Phosphoethanolamine</w:t>
            </w:r>
          </w:p>
        </w:tc>
        <w:tc>
          <w:tcPr>
            <w:cnfStyle w:val="000000000000"/>
            <w:tcW w:w="1313" w:type="dxa"/>
          </w:tcPr>
          <w:p w14:paraId="00000111">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0.88</w:t>
            </w:r>
          </w:p>
        </w:tc>
        <w:tc>
          <w:tcPr>
            <w:cnfStyle w:val="000000000000"/>
            <w:tcW w:w="1083" w:type="dxa"/>
          </w:tcPr>
          <w:p w14:paraId="00000112">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w:t>
            </w:r>
          </w:p>
        </w:tc>
        <w:tc>
          <w:tcPr>
            <w:cnfStyle w:val="000000000000"/>
            <w:tcW w:w="738" w:type="dxa"/>
          </w:tcPr>
          <w:p w14:paraId="00000113">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4.99</w:t>
            </w:r>
          </w:p>
        </w:tc>
        <w:tc>
          <w:tcPr>
            <w:cnfStyle w:val="000000000000"/>
            <w:tcW w:w="1346" w:type="dxa"/>
          </w:tcPr>
          <w:p w14:paraId="00000114">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489.527</w:t>
            </w:r>
          </w:p>
        </w:tc>
        <w:tc>
          <w:tcPr>
            <w:cnfStyle w:val="000000000000"/>
            <w:tcW w:w="1264" w:type="dxa"/>
          </w:tcPr>
          <w:p w14:paraId="00000115">
            <w:pPr>
              <w:spacing w:before="0" w:after="0" w:line="24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-5.509</w:t>
            </w:r>
          </w:p>
        </w:tc>
      </w:tr>
    </w:tbl>
    <w:p w14:paraId="00000116">
      <w:pPr>
        <w:pStyle w:val="Normal"/>
        <w:spacing w:before="0" w:after="150" w:line="240" w:lineRule="auto"/>
        <w:ind w:left="0"/>
        <w:jc w:val="both"/>
        <w:rPr>
          <w:rFonts w:ascii="Book Antiqua" w:cs="Book Antiqua" w:eastAsia="Book Antiqua" w:hAnsi="Book Antiqua"/>
          <w:b/>
          <w:bCs/>
          <w:i w:val="off"/>
          <w:iCs w:val="off"/>
          <w:color w:val="0e0e0e"/>
          <w:sz w:val="22"/>
          <w:szCs w:val="22"/>
          <w:lang w:val="en-GB"/>
        </w:rPr>
      </w:pPr>
      <w:r>
        <w:rPr>
          <w:rFonts w:ascii="Book Antiqua" w:cs="Book Antiqua" w:eastAsia="Book Antiqua" w:hAnsi="Book Antiqua"/>
          <w:b/>
          <w:bCs/>
          <w:i w:val="off"/>
          <w:iCs w:val="off"/>
          <w:color w:val="0e0e0e"/>
          <w:sz w:val="22"/>
          <w:szCs w:val="22"/>
          <w:lang w:val="en-GB"/>
        </w:rPr>
        <w:t>*Denotes FDA-approved</w:t>
      </w:r>
      <w:r>
        <w:rPr>
          <w:rFonts w:ascii="Book Antiqua" w:cs="Book Antiqua" w:eastAsia="Book Antiqua" w:hAnsi="Book Antiqua"/>
          <w:b/>
          <w:bCs/>
          <w:i w:val="off"/>
          <w:iCs w:val="off"/>
          <w:color w:val="0e0e0e"/>
          <w:sz w:val="22"/>
          <w:szCs w:val="22"/>
          <w:lang w:val="en-GB"/>
        </w:rPr>
        <w:t>,</w:t>
      </w:r>
      <w:r>
        <w:rPr>
          <w:rFonts w:ascii="Book Antiqua" w:cs="Book Antiqua" w:eastAsia="Book Antiqua" w:hAnsi="Book Antiqua"/>
          <w:b/>
          <w:bCs/>
          <w:i w:val="off"/>
          <w:iCs w:val="off"/>
          <w:color w:val="0e0e0e"/>
          <w:sz w:val="22"/>
          <w:szCs w:val="22"/>
          <w:lang w:val="en-GB"/>
        </w:rPr>
        <w:t xml:space="preserve"> clinically advanced S1PR modulators.</w:t>
      </w:r>
    </w:p>
    <w:p w14:paraId="00000117">
      <w:pPr>
        <w:pStyle w:val="Normal"/>
        <w:spacing w:before="0" w:after="150" w:line="240" w:lineRule="auto"/>
        <w:jc w:val="both"/>
        <w:rPr>
          <w:rFonts w:ascii="Book Antiqua" w:cs="Book Antiqua" w:eastAsia="Book Antiqua" w:hAnsi="Book Antiqua"/>
          <w:sz w:val="22"/>
          <w:szCs w:val="22"/>
          <w:lang w:val="en-GB"/>
        </w:rPr>
      </w:pPr>
      <w:r>
        <w:rPr>
          <w:rFonts w:ascii="Book Antiqua" w:cs="Book Antiqua" w:eastAsia="Book Antiqua" w:hAnsi="Book Antiqua"/>
          <w:b/>
          <w:bCs/>
          <w:i w:val="off"/>
          <w:iCs w:val="off"/>
          <w:color w:val="0e0e0e"/>
          <w:sz w:val="22"/>
          <w:szCs w:val="22"/>
          <w:lang w:val="en-GB"/>
        </w:rPr>
        <w:t xml:space="preserve">Table </w:t>
      </w:r>
      <w:r>
        <w:rPr>
          <w:rFonts w:ascii="Book Antiqua" w:cs="Book Antiqua" w:eastAsia="Book Antiqua" w:hAnsi="Book Antiqua"/>
          <w:b/>
          <w:bCs/>
          <w:sz w:val="22"/>
          <w:szCs w:val="22"/>
          <w:lang w:val="en-GB"/>
        </w:rPr>
        <w:t>II</w:t>
      </w:r>
      <w:r>
        <w:rPr>
          <w:rFonts w:ascii="Book Antiqua" w:cs="Book Antiqua" w:eastAsia="Book Antiqua" w:hAnsi="Book Antiqua"/>
          <w:b w:val="off"/>
          <w:bCs w:val="off"/>
          <w:i w:val="off"/>
          <w:iCs w:val="off"/>
          <w:color w:val="0e0e0e"/>
          <w:sz w:val="22"/>
          <w:szCs w:val="22"/>
          <w:lang w:val="en-GB"/>
        </w:rPr>
        <w:t xml:space="preserve"> represents </w:t>
      </w:r>
      <w:r>
        <w:rPr>
          <w:rFonts w:ascii="Book Antiqua" w:cs="Book Antiqua" w:eastAsia="Book Antiqua" w:hAnsi="Book Antiqua"/>
          <w:b w:val="off"/>
          <w:bCs w:val="off"/>
          <w:i w:val="off"/>
          <w:iCs w:val="off"/>
          <w:color w:val="0e0e0e"/>
          <w:sz w:val="22"/>
          <w:szCs w:val="22"/>
          <w:lang w:val="en-GB"/>
        </w:rPr>
        <w:t>v</w:t>
      </w:r>
      <w:r>
        <w:rPr>
          <w:rFonts w:ascii="Book Antiqua" w:cs="Book Antiqua" w:eastAsia="Book Antiqua" w:hAnsi="Book Antiqua"/>
          <w:b w:val="off"/>
          <w:bCs w:val="off"/>
          <w:i w:val="off"/>
          <w:iCs w:val="off"/>
          <w:sz w:val="22"/>
          <w:szCs w:val="22"/>
          <w:lang w:val="en-GB"/>
        </w:rPr>
        <w:t xml:space="preserve">irtual </w:t>
      </w:r>
      <w:r>
        <w:rPr>
          <w:rFonts w:ascii="Book Antiqua" w:cs="Book Antiqua" w:eastAsia="Book Antiqua" w:hAnsi="Book Antiqua"/>
          <w:b w:val="off"/>
          <w:bCs w:val="off"/>
          <w:i w:val="off"/>
          <w:iCs w:val="off"/>
          <w:sz w:val="22"/>
          <w:szCs w:val="22"/>
          <w:lang w:val="en-GB"/>
        </w:rPr>
        <w:t>s</w:t>
      </w:r>
      <w:r>
        <w:rPr>
          <w:rFonts w:ascii="Book Antiqua" w:cs="Book Antiqua" w:eastAsia="Book Antiqua" w:hAnsi="Book Antiqua"/>
          <w:b w:val="off"/>
          <w:bCs w:val="off"/>
          <w:i w:val="off"/>
          <w:iCs w:val="off"/>
          <w:sz w:val="22"/>
          <w:szCs w:val="22"/>
          <w:lang w:val="en-GB"/>
        </w:rPr>
        <w:t xml:space="preserve">creening </w:t>
      </w:r>
      <w:r>
        <w:rPr>
          <w:rFonts w:ascii="Book Antiqua" w:cs="Book Antiqua" w:eastAsia="Book Antiqua" w:hAnsi="Book Antiqua"/>
          <w:b w:val="off"/>
          <w:bCs w:val="off"/>
          <w:i w:val="off"/>
          <w:iCs w:val="off"/>
          <w:sz w:val="22"/>
          <w:szCs w:val="22"/>
          <w:lang w:val="en-GB"/>
        </w:rPr>
        <w:t>r</w:t>
      </w:r>
      <w:r>
        <w:rPr>
          <w:rFonts w:ascii="Book Antiqua" w:cs="Book Antiqua" w:eastAsia="Book Antiqua" w:hAnsi="Book Antiqua"/>
          <w:b w:val="off"/>
          <w:bCs w:val="off"/>
          <w:i w:val="off"/>
          <w:iCs w:val="off"/>
          <w:sz w:val="22"/>
          <w:szCs w:val="22"/>
          <w:lang w:val="en-GB"/>
        </w:rPr>
        <w:t>esults of top candidates identified by the Random Forest model, showing a strong correlation between high predicted probability and significant binding affinities.</w:t>
      </w:r>
    </w:p>
    <w:p w14:paraId="00000118">
      <w:pPr>
        <w:pStyle w:val="Normal"/>
        <w:spacing w:before="0" w:after="150" w:line="240"/>
        <w:jc w:val="both"/>
        <w:rPr>
          <w:rFonts w:ascii="Book Antiqua" w:cs="Book Antiqua" w:eastAsia="Book Antiqua" w:hAnsi="Book Antiqua"/>
          <w:sz w:val="22"/>
          <w:szCs w:val="22"/>
          <w:lang w:val="en-GB"/>
        </w:rPr>
      </w:pPr>
    </w:p>
    <w:p w14:paraId="00000119">
      <w:pPr>
        <w:pStyle w:val="Normal"/>
        <w:spacing w:before="0" w:after="150" w:line="240"/>
        <w:ind w:left="0"/>
        <w:jc w:val="both"/>
        <w:rPr>
          <w:rFonts w:ascii="Book Antiqua" w:cs="Book Antiqua" w:eastAsia="Book Antiqua" w:hAnsi="Book Antiqua"/>
          <w:b w:val="off"/>
          <w:bCs w:val="off"/>
          <w:i w:val="off"/>
          <w:iCs w:val="off"/>
          <w:color w:val="0e0e0e"/>
          <w:sz w:val="22"/>
          <w:szCs w:val="22"/>
          <w:lang w:val="en-GB"/>
        </w:rPr>
      </w:pPr>
    </w:p>
    <w:p w14:paraId="0000011A">
      <w:pPr>
        <w:spacing w:line="240"/>
        <w:rPr>
          <w:rFonts w:ascii="Book Antiqua" w:cs="Book Antiqua" w:eastAsia="Book Antiqua" w:hAnsi="Book Antiqua"/>
          <w:b/>
          <w:bCs/>
          <w:i w:val="off"/>
          <w:iCs w:val="off"/>
          <w:color w:val="0e0e0e"/>
          <w:sz w:val="22"/>
          <w:szCs w:val="22"/>
          <w:lang w:val="en-GB"/>
        </w:rPr>
      </w:pPr>
      <w:r>
        <w:rPr>
          <w:rFonts w:ascii="Book Antiqua" w:cs="Book Antiqua" w:eastAsia="Book Antiqua" w:hAnsi="Book Antiqua"/>
          <w:b/>
          <w:bCs/>
          <w:i w:val="off"/>
          <w:iCs w:val="off"/>
          <w:color w:val="0e0e0e"/>
          <w:sz w:val="22"/>
          <w:szCs w:val="22"/>
          <w:lang w:val="en-GB"/>
        </w:rPr>
        <w:t xml:space="preserve">Table </w:t>
      </w:r>
      <w:r>
        <w:rPr>
          <w:rFonts w:ascii="Book Antiqua" w:cs="Book Antiqua" w:eastAsia="Book Antiqua" w:hAnsi="Book Antiqua"/>
          <w:b/>
          <w:bCs/>
          <w:sz w:val="22"/>
          <w:szCs w:val="22"/>
          <w:lang w:val="en-GB"/>
        </w:rPr>
        <w:t>III</w:t>
      </w:r>
      <w:r>
        <w:rPr>
          <w:rFonts w:ascii="Book Antiqua" w:cs="Book Antiqua" w:eastAsia="Book Antiqua" w:hAnsi="Book Antiqua"/>
          <w:b/>
          <w:bCs/>
          <w:i w:val="off"/>
          <w:iCs w:val="off"/>
          <w:color w:val="0e0e0e"/>
          <w:sz w:val="22"/>
          <w:szCs w:val="22"/>
          <w:lang w:val="en-GB"/>
        </w:rPr>
        <w:t>: Top-Ranked Ligands Identified from Molecular Docking Based on Binding Affinity Against S1PR1</w:t>
      </w:r>
    </w:p>
    <w:p w14:paraId="0000011B">
      <w:pPr>
        <w:pStyle w:val="Normal"/>
        <w:spacing w:line="240"/>
        <w:rPr>
          <w:rFonts w:ascii="Book Antiqua" w:cs="Book Antiqua" w:eastAsia="Book Antiqua" w:hAnsi="Book Antiqua"/>
          <w:b/>
          <w:bCs/>
          <w:i w:val="off"/>
          <w:iCs w:val="off"/>
          <w:color w:val="0e0e0e"/>
          <w:sz w:val="22"/>
          <w:szCs w:val="22"/>
          <w:lang w:val="en-GB"/>
        </w:rPr>
      </w:pPr>
    </w:p>
    <w:tbl>
      <w:tblPr>
        <w:tblStyle w:val="PlainTable2"/>
        <w:tblW w:w="10439" w:type="dxa"/>
        <w:jc w:val="center"/>
        <w:tblLook w:val="06A0"/>
      </w:tblPr>
      <w:tblGrid>
        <w:gridCol w:w="862"/>
        <w:gridCol w:w="7395"/>
        <w:gridCol w:w="2180"/>
      </w:tblGrid>
      <w:tr>
        <w:trPr>
          <w:trHeight w:val="649" w:hRule="atLeast"/>
        </w:trPr>
        <w:tc>
          <w:tcPr>
            <w:cnfStyle w:val="101000000000"/>
            <w:tcW w:w="788" w:type="dxa"/>
          </w:tcPr>
          <w:p w14:paraId="0000011C">
            <w:pPr>
              <w:spacing w:before="0" w:after="0" w:line="240"/>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Rank</w:t>
            </w:r>
          </w:p>
        </w:tc>
        <w:tc>
          <w:tcPr>
            <w:cnfStyle w:val="100000000000"/>
            <w:tcW w:w="6755" w:type="dxa"/>
          </w:tcPr>
          <w:p w14:paraId="0000011D">
            <w:pPr>
              <w:spacing w:before="0" w:after="0" w:line="240"/>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Ligands</w:t>
            </w:r>
          </w:p>
        </w:tc>
        <w:tc>
          <w:tcPr>
            <w:cnfStyle w:val="100000000000"/>
            <w:tcW w:w="1472" w:type="dxa"/>
          </w:tcPr>
          <w:p w14:paraId="0000011E">
            <w:pPr>
              <w:spacing w:before="0" w:after="0" w:line="240"/>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Binding affinity(kcal/mol)</w:t>
            </w:r>
          </w:p>
        </w:tc>
      </w:tr>
      <w:tr>
        <w:trPr>
          <w:trHeight w:val="367" w:hRule="atLeast"/>
        </w:trPr>
        <w:tc>
          <w:tcPr>
            <w:cnfStyle w:val="001000000000"/>
            <w:tcW w:w="788" w:type="dxa"/>
          </w:tcPr>
          <w:p w14:paraId="0000011F">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w:t>
            </w:r>
          </w:p>
        </w:tc>
        <w:tc>
          <w:tcPr>
            <w:cnfStyle w:val="000000000000"/>
            <w:tcW w:w="6755" w:type="dxa"/>
          </w:tcPr>
          <w:p w14:paraId="00000120">
            <w:pPr>
              <w:spacing w:before="0" w:after="0" w:line="240"/>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Adomeglivant</w:t>
            </w:r>
          </w:p>
        </w:tc>
        <w:tc>
          <w:tcPr>
            <w:cnfStyle w:val="000000000000"/>
            <w:tcW w:w="1472" w:type="dxa"/>
          </w:tcPr>
          <w:p w14:paraId="00000121">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-11.314</w:t>
            </w:r>
          </w:p>
        </w:tc>
      </w:tr>
      <w:tr>
        <w:trPr>
          <w:trHeight w:val="667" w:hRule="atLeast"/>
        </w:trPr>
        <w:tc>
          <w:tcPr>
            <w:cnfStyle w:val="001000000000"/>
            <w:tcW w:w="788" w:type="dxa"/>
          </w:tcPr>
          <w:p w14:paraId="00000122">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2</w:t>
            </w:r>
          </w:p>
        </w:tc>
        <w:tc>
          <w:tcPr>
            <w:cnfStyle w:val="000000000000"/>
            <w:tcW w:w="6755" w:type="dxa"/>
          </w:tcPr>
          <w:p w14:paraId="00000123">
            <w:pPr>
              <w:spacing w:before="0" w:after="0" w:line="240"/>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4-(6-(((4-Methylcyclohexyl)amino)methyl)-1,4-dihydroindeno</w:t>
            </w:r>
          </w:p>
          <w:p w14:paraId="00000124">
            <w:pPr>
              <w:spacing w:before="0" w:after="0" w:line="240"/>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(1,2-C)pyrazol-3-YL)benzoic acid</w:t>
            </w:r>
          </w:p>
        </w:tc>
        <w:tc>
          <w:tcPr>
            <w:cnfStyle w:val="000000000000"/>
            <w:tcW w:w="1472" w:type="dxa"/>
          </w:tcPr>
          <w:p w14:paraId="00000125">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-11.268</w:t>
            </w:r>
          </w:p>
        </w:tc>
      </w:tr>
      <w:tr>
        <w:trPr>
          <w:trHeight w:val="367" w:hRule="atLeast"/>
        </w:trPr>
        <w:tc>
          <w:tcPr>
            <w:cnfStyle w:val="001000000000"/>
            <w:tcW w:w="788" w:type="dxa"/>
          </w:tcPr>
          <w:p w14:paraId="00000126">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3</w:t>
            </w:r>
          </w:p>
        </w:tc>
        <w:tc>
          <w:tcPr>
            <w:cnfStyle w:val="000000000000"/>
            <w:tcW w:w="6755" w:type="dxa"/>
          </w:tcPr>
          <w:p w14:paraId="00000127">
            <w:pPr>
              <w:spacing w:before="0" w:after="0" w:line="240"/>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Etrasimod</w:t>
            </w:r>
          </w:p>
        </w:tc>
        <w:tc>
          <w:tcPr>
            <w:cnfStyle w:val="000000000000"/>
            <w:tcW w:w="1472" w:type="dxa"/>
          </w:tcPr>
          <w:p w14:paraId="00000128">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-11.07</w:t>
            </w:r>
          </w:p>
        </w:tc>
      </w:tr>
      <w:tr>
        <w:trPr>
          <w:trHeight w:val="366" w:hRule="atLeast"/>
        </w:trPr>
        <w:tc>
          <w:tcPr>
            <w:cnfStyle w:val="001000000000"/>
            <w:tcW w:w="788" w:type="dxa"/>
          </w:tcPr>
          <w:p w14:paraId="00000129">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4</w:t>
            </w:r>
          </w:p>
        </w:tc>
        <w:tc>
          <w:tcPr>
            <w:cnfStyle w:val="000000000000"/>
            <w:tcW w:w="6755" w:type="dxa"/>
          </w:tcPr>
          <w:p w14:paraId="0000012A">
            <w:pPr>
              <w:spacing w:before="0" w:after="0" w:line="240"/>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Vamotinib</w:t>
            </w:r>
          </w:p>
        </w:tc>
        <w:tc>
          <w:tcPr>
            <w:cnfStyle w:val="000000000000"/>
            <w:tcW w:w="1472" w:type="dxa"/>
          </w:tcPr>
          <w:p w14:paraId="0000012B">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-10.989</w:t>
            </w:r>
          </w:p>
        </w:tc>
      </w:tr>
      <w:tr>
        <w:trPr>
          <w:trHeight w:val="367" w:hRule="atLeast"/>
        </w:trPr>
        <w:tc>
          <w:tcPr>
            <w:cnfStyle w:val="001000000000"/>
            <w:tcW w:w="788" w:type="dxa"/>
          </w:tcPr>
          <w:p w14:paraId="0000012C">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5</w:t>
            </w:r>
          </w:p>
        </w:tc>
        <w:tc>
          <w:tcPr>
            <w:cnfStyle w:val="000000000000"/>
            <w:tcW w:w="6755" w:type="dxa"/>
          </w:tcPr>
          <w:p w14:paraId="0000012D">
            <w:pPr>
              <w:spacing w:before="0" w:after="0" w:line="240"/>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Siponimod</w:t>
            </w:r>
          </w:p>
        </w:tc>
        <w:tc>
          <w:tcPr>
            <w:cnfStyle w:val="000000000000"/>
            <w:tcW w:w="1472" w:type="dxa"/>
          </w:tcPr>
          <w:p w14:paraId="0000012E">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-10.921</w:t>
            </w:r>
          </w:p>
        </w:tc>
      </w:tr>
      <w:tr>
        <w:trPr>
          <w:trHeight w:val="365" w:hRule="atLeast"/>
        </w:trPr>
        <w:tc>
          <w:tcPr>
            <w:cnfStyle w:val="001000000000"/>
            <w:tcW w:w="788" w:type="dxa"/>
          </w:tcPr>
          <w:p w14:paraId="0000012F">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6</w:t>
            </w:r>
          </w:p>
        </w:tc>
        <w:tc>
          <w:tcPr>
            <w:cnfStyle w:val="000000000000"/>
            <w:tcW w:w="6755" w:type="dxa"/>
          </w:tcPr>
          <w:p w14:paraId="00000130">
            <w:pPr>
              <w:spacing w:before="0" w:after="0" w:line="240"/>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Ponatinib</w:t>
            </w:r>
          </w:p>
        </w:tc>
        <w:tc>
          <w:tcPr>
            <w:cnfStyle w:val="000000000000"/>
            <w:tcW w:w="1472" w:type="dxa"/>
          </w:tcPr>
          <w:p w14:paraId="00000131">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-10.677</w:t>
            </w:r>
          </w:p>
        </w:tc>
      </w:tr>
      <w:tr>
        <w:trPr>
          <w:trHeight w:val="367" w:hRule="atLeast"/>
        </w:trPr>
        <w:tc>
          <w:tcPr>
            <w:cnfStyle w:val="001000000000"/>
            <w:tcW w:w="788" w:type="dxa"/>
          </w:tcPr>
          <w:p w14:paraId="00000132">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7</w:t>
            </w:r>
          </w:p>
        </w:tc>
        <w:tc>
          <w:tcPr>
            <w:cnfStyle w:val="000000000000"/>
            <w:tcW w:w="6755" w:type="dxa"/>
          </w:tcPr>
          <w:p w14:paraId="00000133">
            <w:pPr>
              <w:spacing w:before="0" w:after="0" w:line="240"/>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Sorafenib</w:t>
            </w:r>
          </w:p>
        </w:tc>
        <w:tc>
          <w:tcPr>
            <w:cnfStyle w:val="000000000000"/>
            <w:tcW w:w="1472" w:type="dxa"/>
          </w:tcPr>
          <w:p w14:paraId="00000134">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-10.638</w:t>
            </w:r>
          </w:p>
        </w:tc>
      </w:tr>
      <w:tr>
        <w:trPr>
          <w:trHeight w:val="365" w:hRule="atLeast"/>
        </w:trPr>
        <w:tc>
          <w:tcPr>
            <w:cnfStyle w:val="001000000000"/>
            <w:tcW w:w="788" w:type="dxa"/>
          </w:tcPr>
          <w:p w14:paraId="00000135">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8</w:t>
            </w:r>
          </w:p>
        </w:tc>
        <w:tc>
          <w:tcPr>
            <w:cnfStyle w:val="000000000000"/>
            <w:tcW w:w="6755" w:type="dxa"/>
          </w:tcPr>
          <w:p w14:paraId="00000136">
            <w:pPr>
              <w:spacing w:before="0" w:after="0" w:line="240" w:lineRule="auto"/>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ASP</w:t>
            </w:r>
            <w:r>
              <w:rPr>
                <w:rFonts w:ascii="Book Antiqua" w:cs="Book Antiqua" w:eastAsia="Book Antiqua" w:hAnsi="Book Antiqua"/>
                <w:b w:val="off"/>
                <w:bCs w:val="off"/>
                <w:i w:val="off"/>
                <w:iCs w:val="off"/>
                <w:sz w:val="22"/>
                <w:szCs w:val="22"/>
              </w:rPr>
              <w:t xml:space="preserve"> </w:t>
            </w:r>
            <w:r>
              <w:rPr>
                <w:rFonts w:ascii="Book Antiqua" w:cs="Book Antiqua" w:eastAsia="Book Antiqua" w:hAnsi="Book Antiqua"/>
                <w:b w:val="off"/>
                <w:bCs w:val="off"/>
                <w:i w:val="off"/>
                <w:iCs w:val="off"/>
                <w:sz w:val="22"/>
                <w:szCs w:val="22"/>
              </w:rPr>
              <w:t>4058</w:t>
            </w:r>
          </w:p>
        </w:tc>
        <w:tc>
          <w:tcPr>
            <w:cnfStyle w:val="000000000000"/>
            <w:tcW w:w="1472" w:type="dxa"/>
          </w:tcPr>
          <w:p w14:paraId="00000137">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-10.635</w:t>
            </w:r>
          </w:p>
        </w:tc>
      </w:tr>
      <w:tr>
        <w:trPr>
          <w:trHeight w:val="368" w:hRule="atLeast"/>
        </w:trPr>
        <w:tc>
          <w:tcPr>
            <w:cnfStyle w:val="001000000000"/>
            <w:tcW w:w="788" w:type="dxa"/>
          </w:tcPr>
          <w:p w14:paraId="00000138">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9</w:t>
            </w:r>
          </w:p>
        </w:tc>
        <w:tc>
          <w:tcPr>
            <w:cnfStyle w:val="000000000000"/>
            <w:tcW w:w="6755" w:type="dxa"/>
          </w:tcPr>
          <w:p w14:paraId="00000139">
            <w:pPr>
              <w:spacing w:before="0" w:after="0" w:line="240"/>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Tegobuvir</w:t>
            </w:r>
          </w:p>
        </w:tc>
        <w:tc>
          <w:tcPr>
            <w:cnfStyle w:val="000000000000"/>
            <w:tcW w:w="1472" w:type="dxa"/>
          </w:tcPr>
          <w:p w14:paraId="0000013A">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-10.563</w:t>
            </w:r>
          </w:p>
        </w:tc>
      </w:tr>
      <w:tr>
        <w:trPr>
          <w:trHeight w:val="364" w:hRule="atLeast"/>
        </w:trPr>
        <w:tc>
          <w:tcPr>
            <w:cnfStyle w:val="001000000000"/>
            <w:tcW w:w="788" w:type="dxa"/>
          </w:tcPr>
          <w:p w14:paraId="0000013B">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10</w:t>
            </w:r>
          </w:p>
        </w:tc>
        <w:tc>
          <w:tcPr>
            <w:cnfStyle w:val="000000000000"/>
            <w:tcW w:w="6755" w:type="dxa"/>
          </w:tcPr>
          <w:p w14:paraId="0000013C">
            <w:pPr>
              <w:spacing w:before="0" w:after="0" w:line="240" w:lineRule="auto"/>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CM</w:t>
            </w:r>
            <w:r>
              <w:rPr>
                <w:rFonts w:ascii="Book Antiqua" w:cs="Book Antiqua" w:eastAsia="Book Antiqua" w:hAnsi="Book Antiqua"/>
                <w:b w:val="off"/>
                <w:bCs w:val="off"/>
                <w:i w:val="off"/>
                <w:iCs w:val="off"/>
                <w:sz w:val="22"/>
                <w:szCs w:val="22"/>
              </w:rPr>
              <w:t xml:space="preserve"> </w:t>
            </w:r>
            <w:r>
              <w:rPr>
                <w:rFonts w:ascii="Book Antiqua" w:cs="Book Antiqua" w:eastAsia="Book Antiqua" w:hAnsi="Book Antiqua"/>
                <w:b w:val="off"/>
                <w:bCs w:val="off"/>
                <w:i w:val="off"/>
                <w:iCs w:val="off"/>
                <w:sz w:val="22"/>
                <w:szCs w:val="22"/>
              </w:rPr>
              <w:t>4307</w:t>
            </w:r>
          </w:p>
        </w:tc>
        <w:tc>
          <w:tcPr>
            <w:cnfStyle w:val="000000000000"/>
            <w:tcW w:w="1472" w:type="dxa"/>
          </w:tcPr>
          <w:p w14:paraId="0000013D">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-10.5</w:t>
            </w:r>
          </w:p>
        </w:tc>
      </w:tr>
    </w:tbl>
    <w:p w14:paraId="0000013E">
      <w:pPr>
        <w:pStyle w:val="Normal"/>
        <w:bidi w:val="off"/>
        <w:spacing w:before="0" w:after="160" w:line="240" w:lineRule="auto"/>
        <w:ind w:left="0" w:right="0"/>
        <w:jc w:val="left"/>
        <w:rPr>
          <w:rFonts w:ascii="Book Antiqua" w:cs="Book Antiqua" w:eastAsia="Book Antiqua" w:hAnsi="Book Antiqua"/>
          <w:b/>
          <w:bCs/>
          <w:i w:val="off"/>
          <w:iCs w:val="off"/>
          <w:color w:val="0e0e0e"/>
          <w:sz w:val="22"/>
          <w:szCs w:val="22"/>
          <w:lang w:val="en-GB"/>
        </w:rPr>
      </w:pPr>
    </w:p>
    <w:p w14:paraId="0000013F">
      <w:pPr>
        <w:pStyle w:val="Normal"/>
        <w:spacing w:before="0" w:after="150" w:line="240" w:lineRule="auto"/>
        <w:ind w:left="0"/>
        <w:jc w:val="both"/>
        <w:rPr>
          <w:rFonts w:ascii="Book Antiqua" w:cs="Book Antiqua" w:eastAsia="Book Antiqua" w:hAnsi="Book Antiqua"/>
          <w:b w:val="off"/>
          <w:bCs w:val="off"/>
          <w:i w:val="off"/>
          <w:iCs w:val="off"/>
          <w:color w:val="0e0e0e"/>
          <w:sz w:val="22"/>
          <w:szCs w:val="22"/>
          <w:lang w:val="en-GB"/>
        </w:rPr>
      </w:pPr>
      <w:r>
        <w:rPr>
          <w:rFonts w:ascii="Book Antiqua" w:cs="Book Antiqua" w:eastAsia="Book Antiqua" w:hAnsi="Book Antiqua"/>
          <w:b/>
          <w:bCs/>
          <w:i w:val="off"/>
          <w:iCs w:val="off"/>
          <w:color w:val="0e0e0e"/>
          <w:sz w:val="22"/>
          <w:szCs w:val="22"/>
          <w:lang w:val="en-GB"/>
        </w:rPr>
        <w:t xml:space="preserve">Table </w:t>
      </w:r>
      <w:r>
        <w:rPr>
          <w:rFonts w:ascii="Book Antiqua" w:cs="Book Antiqua" w:eastAsia="Book Antiqua" w:hAnsi="Book Antiqua"/>
          <w:b/>
          <w:bCs/>
          <w:sz w:val="22"/>
          <w:szCs w:val="22"/>
          <w:lang w:val="en-GB"/>
        </w:rPr>
        <w:t>III</w:t>
      </w:r>
      <w:r>
        <w:rPr>
          <w:rFonts w:ascii="Book Antiqua" w:cs="Book Antiqua" w:eastAsia="Book Antiqua" w:hAnsi="Book Antiqua"/>
          <w:b w:val="off"/>
          <w:bCs w:val="off"/>
          <w:i w:val="off"/>
          <w:iCs w:val="off"/>
          <w:color w:val="0e0e0e"/>
          <w:sz w:val="22"/>
          <w:szCs w:val="22"/>
          <w:lang w:val="en-GB"/>
        </w:rPr>
        <w:t xml:space="preserve"> </w:t>
      </w:r>
      <w:r>
        <w:rPr>
          <w:rFonts w:ascii="Book Antiqua" w:cs="Book Antiqua" w:eastAsia="Book Antiqua" w:hAnsi="Book Antiqua"/>
          <w:b w:val="off"/>
          <w:bCs w:val="off"/>
          <w:i w:val="off"/>
          <w:iCs w:val="off"/>
          <w:color w:val="0e0e0e"/>
          <w:sz w:val="22"/>
          <w:szCs w:val="22"/>
          <w:lang w:val="en-GB"/>
        </w:rPr>
        <w:t>T</w:t>
      </w:r>
      <w:r>
        <w:rPr>
          <w:rFonts w:ascii="Book Antiqua" w:cs="Book Antiqua" w:eastAsia="Book Antiqua" w:hAnsi="Book Antiqua"/>
          <w:b w:val="off"/>
          <w:bCs w:val="off"/>
          <w:i w:val="off"/>
          <w:iCs w:val="off"/>
          <w:color w:val="0e0e0e"/>
          <w:sz w:val="22"/>
          <w:szCs w:val="22"/>
          <w:lang w:val="en-GB"/>
        </w:rPr>
        <w:t>op sorted lowest binding affinities against S1PR1 where, Adomeglivant (−11.314 kcal/mol) and other candidates also showed the lowest docking score,</w:t>
      </w:r>
      <w:r>
        <w:rPr>
          <w:rFonts w:ascii="Book Antiqua" w:cs="Book Antiqua" w:eastAsia="Book Antiqua" w:hAnsi="Book Antiqua"/>
          <w:b w:val="off"/>
          <w:bCs w:val="off"/>
          <w:i w:val="off"/>
          <w:iCs w:val="off"/>
          <w:color w:val="0e0e0e"/>
          <w:sz w:val="22"/>
          <w:szCs w:val="22"/>
          <w:lang w:val="en-GB"/>
        </w:rPr>
        <w:t xml:space="preserve"> </w:t>
      </w:r>
      <w:r>
        <w:rPr>
          <w:rFonts w:ascii="Book Antiqua" w:cs="Book Antiqua" w:eastAsia="Book Antiqua" w:hAnsi="Book Antiqua"/>
          <w:b w:val="off"/>
          <w:bCs w:val="off"/>
          <w:i w:val="off"/>
          <w:iCs w:val="off"/>
          <w:color w:val="0e0e0e"/>
          <w:sz w:val="22"/>
          <w:szCs w:val="22"/>
          <w:lang w:val="en-GB"/>
        </w:rPr>
        <w:t>indicating strong predicted binding affinity. However ADMET evaluation revealed unfavorable pharmacokinetic parameters, leading to its exclusion from further analysis.</w:t>
      </w:r>
    </w:p>
    <w:p w14:paraId="00000140">
      <w:pPr>
        <w:pStyle w:val="Normal"/>
        <w:spacing w:before="0" w:after="150" w:line="240" w:lineRule="auto"/>
        <w:ind w:left="0"/>
        <w:jc w:val="both"/>
        <w:rPr>
          <w:rFonts w:ascii="Book Antiqua" w:cs="Book Antiqua" w:eastAsia="Book Antiqua" w:hAnsi="Book Antiqua"/>
          <w:b w:val="off"/>
          <w:bCs w:val="off"/>
          <w:i w:val="off"/>
          <w:iCs w:val="off"/>
          <w:color w:val="0e0e0e"/>
          <w:sz w:val="22"/>
          <w:szCs w:val="22"/>
          <w:lang w:val="en-GB"/>
        </w:rPr>
      </w:pPr>
    </w:p>
    <w:p w14:paraId="00000141">
      <w:pPr>
        <w:pStyle w:val="Normal"/>
        <w:spacing w:before="0" w:after="150" w:line="240" w:lineRule="auto"/>
        <w:ind w:left="0"/>
        <w:jc w:val="both"/>
        <w:rPr>
          <w:rFonts w:ascii="Book Antiqua" w:cs="Book Antiqua" w:eastAsia="Book Antiqua" w:hAnsi="Book Antiqua"/>
          <w:b/>
          <w:bCs/>
          <w:i w:val="off"/>
          <w:iCs w:val="off"/>
          <w:sz w:val="22"/>
          <w:szCs w:val="22"/>
          <w:lang w:val="en-GB"/>
        </w:rPr>
      </w:pPr>
      <w:r>
        <w:rPr>
          <w:rFonts w:ascii="Book Antiqua" w:cs="Book Antiqua" w:eastAsia="Book Antiqua" w:hAnsi="Book Antiqua"/>
          <w:b/>
          <w:bCs/>
          <w:i w:val="off"/>
          <w:iCs w:val="off"/>
          <w:color w:val="0e0e0e"/>
          <w:sz w:val="22"/>
          <w:szCs w:val="22"/>
          <w:lang w:val="en-GB"/>
        </w:rPr>
        <w:t xml:space="preserve">Table </w:t>
      </w:r>
      <w:r>
        <w:rPr>
          <w:rFonts w:ascii="Book Antiqua" w:cs="Book Antiqua" w:eastAsia="Book Antiqua" w:hAnsi="Book Antiqua"/>
          <w:b/>
          <w:bCs/>
          <w:sz w:val="22"/>
          <w:szCs w:val="22"/>
          <w:lang w:val="en-GB"/>
        </w:rPr>
        <w:t>IV</w:t>
      </w:r>
      <w:r>
        <w:rPr>
          <w:rFonts w:ascii="Book Antiqua" w:cs="Book Antiqua" w:eastAsia="Book Antiqua" w:hAnsi="Book Antiqua"/>
          <w:b/>
          <w:bCs/>
          <w:i w:val="off"/>
          <w:iCs w:val="off"/>
          <w:color w:val="0e0e0e"/>
          <w:sz w:val="22"/>
          <w:szCs w:val="22"/>
          <w:lang w:val="en-GB"/>
        </w:rPr>
        <w:t xml:space="preserve">: </w:t>
      </w:r>
      <w:r>
        <w:rPr>
          <w:rFonts w:ascii="Book Antiqua" w:cs="Book Antiqua" w:eastAsia="Book Antiqua" w:hAnsi="Book Antiqua"/>
          <w:b/>
          <w:bCs/>
          <w:i w:val="off"/>
          <w:iCs w:val="off"/>
          <w:sz w:val="22"/>
          <w:szCs w:val="22"/>
          <w:lang w:val="en-GB"/>
        </w:rPr>
        <w:t>Predicted Binding Energies (kcal/mol) and SMILES Notations for Screened Compounds</w:t>
      </w:r>
    </w:p>
    <w:p w14:paraId="00000142">
      <w:pPr>
        <w:pStyle w:val="Normal"/>
        <w:spacing w:before="0" w:after="150" w:line="240"/>
        <w:ind w:left="0"/>
        <w:jc w:val="both"/>
        <w:rPr>
          <w:rFonts w:ascii="Book Antiqua" w:cs="Book Antiqua" w:eastAsia="Book Antiqua" w:hAnsi="Book Antiqua"/>
          <w:b/>
          <w:bCs/>
          <w:i w:val="off"/>
          <w:iCs w:val="off"/>
          <w:sz w:val="22"/>
          <w:szCs w:val="22"/>
          <w:lang w:val="en-GB"/>
        </w:rPr>
      </w:pPr>
    </w:p>
    <w:tbl>
      <w:tblPr>
        <w:tblStyle w:val="PlainTable2"/>
        <w:tblW w:w="13302" w:type="dxa"/>
        <w:jc w:val="center"/>
        <w:tblLook w:val="06A0"/>
      </w:tblPr>
      <w:tblGrid>
        <w:gridCol w:w="1168"/>
        <w:gridCol w:w="3442"/>
        <w:gridCol w:w="8165"/>
        <w:gridCol w:w="1183"/>
      </w:tblGrid>
      <w:tr>
        <w:trPr>
          <w:trHeight w:val="881"/>
        </w:trPr>
        <w:tc>
          <w:tcPr>
            <w:cnfStyle w:val="101000000000"/>
            <w:tcW w:w="1219" w:type="dxa"/>
          </w:tcPr>
          <w:p w14:paraId="00000143">
            <w:pPr>
              <w:spacing w:before="0" w:after="150" w:line="240"/>
              <w:jc w:val="center"/>
              <w:rPr>
                <w:rFonts w:ascii="Book Antiqua" w:cs="Book Antiqua" w:eastAsia="Book Antiqua" w:hAnsi="Book Antiqua"/>
                <w:b/>
                <w:bCs/>
                <w:i w:val="off"/>
                <w:iCs w:val="off"/>
                <w:sz w:val="22"/>
                <w:szCs w:val="22"/>
                <w:lang w:val="en-GB"/>
              </w:rPr>
            </w:pPr>
            <w:r>
              <w:rPr>
                <w:rFonts w:ascii="Book Antiqua" w:cs="Book Antiqua" w:eastAsia="Book Antiqua" w:hAnsi="Book Antiqua"/>
                <w:b/>
                <w:bCs/>
                <w:i w:val="off"/>
                <w:iCs w:val="off"/>
                <w:sz w:val="22"/>
                <w:szCs w:val="22"/>
                <w:lang w:val="en-GB"/>
              </w:rPr>
              <w:t>PubChem CID</w:t>
            </w:r>
          </w:p>
        </w:tc>
        <w:tc>
          <w:tcPr>
            <w:cnfStyle w:val="100000000000"/>
            <w:tcW w:w="3593" w:type="dxa"/>
          </w:tcPr>
          <w:p w14:paraId="00000144">
            <w:pPr>
              <w:spacing w:before="0" w:after="0" w:line="240" w:lineRule="auto"/>
              <w:jc w:val="center"/>
              <w:rPr>
                <w:rFonts w:ascii="Book Antiqua" w:cs="Book Antiqua" w:eastAsia="Book Antiqua" w:hAnsi="Book Antiqua"/>
                <w:b/>
                <w:bCs/>
                <w:i w:val="off"/>
                <w:iCs w:val="off"/>
                <w:sz w:val="22"/>
                <w:szCs w:val="22"/>
                <w:lang w:val="en-GB"/>
              </w:rPr>
            </w:pPr>
            <w:r>
              <w:rPr>
                <w:rFonts w:ascii="Book Antiqua" w:cs="Book Antiqua" w:eastAsia="Book Antiqua" w:hAnsi="Book Antiqua"/>
                <w:b/>
                <w:bCs/>
                <w:i w:val="off"/>
                <w:iCs w:val="off"/>
                <w:sz w:val="22"/>
                <w:szCs w:val="22"/>
                <w:lang w:val="en-GB"/>
              </w:rPr>
              <w:t>Drug</w:t>
            </w:r>
            <w:r>
              <w:rPr>
                <w:rFonts w:ascii="Book Antiqua" w:cs="Book Antiqua" w:eastAsia="Book Antiqua" w:hAnsi="Book Antiqua"/>
                <w:b/>
                <w:bCs/>
                <w:i w:val="off"/>
                <w:iCs w:val="off"/>
                <w:sz w:val="22"/>
                <w:szCs w:val="22"/>
                <w:lang w:val="en-GB"/>
              </w:rPr>
              <w:t xml:space="preserve"> </w:t>
            </w:r>
          </w:p>
          <w:p w14:paraId="00000145">
            <w:pPr>
              <w:spacing w:before="0" w:after="0" w:line="240" w:lineRule="auto"/>
              <w:jc w:val="center"/>
              <w:rPr>
                <w:rFonts w:ascii="Book Antiqua" w:cs="Book Antiqua" w:eastAsia="Book Antiqua" w:hAnsi="Book Antiqua"/>
                <w:b/>
                <w:bCs/>
                <w:i w:val="off"/>
                <w:iCs w:val="off"/>
                <w:sz w:val="22"/>
                <w:szCs w:val="22"/>
                <w:lang w:val="en-GB"/>
              </w:rPr>
            </w:pPr>
            <w:r>
              <w:rPr>
                <w:rFonts w:ascii="Book Antiqua" w:cs="Book Antiqua" w:eastAsia="Book Antiqua" w:hAnsi="Book Antiqua"/>
                <w:b/>
                <w:bCs/>
                <w:i w:val="off"/>
                <w:iCs w:val="off"/>
                <w:sz w:val="22"/>
                <w:szCs w:val="22"/>
                <w:lang w:val="en-GB"/>
              </w:rPr>
              <w:t>Candidates</w:t>
            </w:r>
          </w:p>
        </w:tc>
        <w:tc>
          <w:tcPr>
            <w:cnfStyle w:val="100000000000"/>
            <w:tcW w:w="7114" w:type="dxa"/>
          </w:tcPr>
          <w:p w14:paraId="00000146">
            <w:pPr>
              <w:spacing w:before="0" w:after="0" w:line="240" w:lineRule="auto"/>
              <w:jc w:val="center"/>
              <w:rPr>
                <w:rFonts w:ascii="Book Antiqua" w:cs="Book Antiqua" w:eastAsia="Book Antiqua" w:hAnsi="Book Antiqua"/>
                <w:b/>
                <w:bCs/>
                <w:i w:val="off"/>
                <w:iCs w:val="off"/>
                <w:sz w:val="22"/>
                <w:szCs w:val="22"/>
                <w:lang w:val="en-GB"/>
              </w:rPr>
            </w:pPr>
            <w:r>
              <w:rPr>
                <w:rFonts w:ascii="Book Antiqua" w:cs="Book Antiqua" w:eastAsia="Book Antiqua" w:hAnsi="Book Antiqua"/>
                <w:b/>
                <w:bCs/>
                <w:i w:val="off"/>
                <w:iCs w:val="off"/>
                <w:sz w:val="22"/>
                <w:szCs w:val="22"/>
                <w:lang w:val="en-GB"/>
              </w:rPr>
              <w:t>Canonical</w:t>
            </w:r>
            <w:r>
              <w:rPr>
                <w:rFonts w:ascii="Book Antiqua" w:cs="Book Antiqua" w:eastAsia="Book Antiqua" w:hAnsi="Book Antiqua"/>
                <w:b/>
                <w:bCs/>
                <w:i w:val="off"/>
                <w:iCs w:val="off"/>
                <w:sz w:val="22"/>
                <w:szCs w:val="22"/>
                <w:lang w:val="en-GB"/>
              </w:rPr>
              <w:t xml:space="preserve"> </w:t>
            </w:r>
          </w:p>
          <w:p w14:paraId="00000147">
            <w:pPr>
              <w:spacing w:before="0" w:after="0" w:line="240" w:lineRule="auto"/>
              <w:jc w:val="center"/>
              <w:rPr>
                <w:rFonts w:ascii="Book Antiqua" w:cs="Book Antiqua" w:eastAsia="Book Antiqua" w:hAnsi="Book Antiqua"/>
                <w:b/>
                <w:bCs/>
                <w:i w:val="off"/>
                <w:iCs w:val="off"/>
                <w:sz w:val="22"/>
                <w:szCs w:val="22"/>
                <w:lang w:val="en-GB"/>
              </w:rPr>
            </w:pPr>
            <w:r>
              <w:rPr>
                <w:rFonts w:ascii="Book Antiqua" w:cs="Book Antiqua" w:eastAsia="Book Antiqua" w:hAnsi="Book Antiqua"/>
                <w:b/>
                <w:bCs/>
                <w:i w:val="off"/>
                <w:iCs w:val="off"/>
                <w:sz w:val="22"/>
                <w:szCs w:val="22"/>
                <w:lang w:val="en-GB"/>
              </w:rPr>
              <w:t>SMILES</w:t>
            </w:r>
          </w:p>
        </w:tc>
        <w:tc>
          <w:tcPr>
            <w:cnfStyle w:val="100000000000"/>
            <w:tcW w:w="1376" w:type="dxa"/>
          </w:tcPr>
          <w:p w14:paraId="00000148">
            <w:pPr>
              <w:pStyle w:val="Normal"/>
              <w:spacing w:before="0" w:after="150" w:line="240" w:lineRule="auto"/>
              <w:jc w:val="center"/>
              <w:rPr>
                <w:rFonts w:ascii="Book Antiqua" w:cs="Book Antiqua" w:eastAsia="Book Antiqua" w:hAnsi="Book Antiqua"/>
                <w:b/>
                <w:bCs/>
                <w:i w:val="off"/>
                <w:iCs w:val="off"/>
                <w:sz w:val="22"/>
                <w:szCs w:val="22"/>
                <w:lang w:val="en-GB"/>
              </w:rPr>
            </w:pPr>
            <w:r>
              <w:rPr>
                <w:rFonts w:ascii="Book Antiqua" w:cs="Book Antiqua" w:eastAsia="Book Antiqua" w:hAnsi="Book Antiqua"/>
                <w:b/>
                <w:bCs/>
                <w:i w:val="off"/>
                <w:iCs w:val="off"/>
                <w:sz w:val="22"/>
                <w:szCs w:val="22"/>
                <w:lang w:val="en-GB"/>
              </w:rPr>
              <w:t>Binding</w:t>
            </w:r>
            <w:r>
              <w:rPr>
                <w:rFonts w:ascii="Book Antiqua" w:cs="Book Antiqua" w:eastAsia="Book Antiqua" w:hAnsi="Book Antiqua"/>
                <w:b/>
                <w:bCs/>
                <w:i w:val="off"/>
                <w:iCs w:val="off"/>
                <w:sz w:val="22"/>
                <w:szCs w:val="22"/>
                <w:lang w:val="en-GB"/>
              </w:rPr>
              <w:t xml:space="preserve"> </w:t>
            </w:r>
            <w:r>
              <w:rPr>
                <w:rFonts w:ascii="Book Antiqua" w:cs="Book Antiqua" w:eastAsia="Book Antiqua" w:hAnsi="Book Antiqua"/>
                <w:b/>
                <w:bCs/>
                <w:i w:val="off"/>
                <w:iCs w:val="off"/>
                <w:sz w:val="22"/>
                <w:szCs w:val="22"/>
                <w:lang w:val="en-GB"/>
              </w:rPr>
              <w:t>Affinity</w:t>
            </w:r>
            <w:r>
              <w:rPr>
                <w:rFonts w:ascii="Book Antiqua" w:cs="Book Antiqua" w:eastAsia="Book Antiqua" w:hAnsi="Book Antiqua"/>
                <w:b/>
                <w:bCs/>
                <w:i w:val="off"/>
                <w:iCs w:val="off"/>
                <w:sz w:val="22"/>
                <w:szCs w:val="22"/>
                <w:lang w:val="en-GB"/>
              </w:rPr>
              <w:t xml:space="preserve"> (kcal/mol)</w:t>
            </w:r>
          </w:p>
        </w:tc>
      </w:tr>
      <w:tr>
        <w:trPr>
          <w:trHeight w:val="1151" w:hRule="atLeast"/>
        </w:trPr>
        <w:tc>
          <w:tcPr>
            <w:cnfStyle w:val="001000000000"/>
            <w:tcW w:w="1219" w:type="dxa"/>
          </w:tcPr>
          <w:p w14:paraId="00000149">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46937086</w:t>
            </w:r>
          </w:p>
        </w:tc>
        <w:tc>
          <w:tcPr>
            <w:cnfStyle w:val="000000000000"/>
            <w:tcW w:w="3593" w:type="dxa"/>
          </w:tcPr>
          <w:p w14:paraId="0000014A">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1-[2-DEOXYRIBOFURANOSYL]</w:t>
            </w:r>
          </w:p>
          <w:p w14:paraId="0000014B">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-2,4-</w:t>
            </w:r>
            <w:r>
              <w:rPr>
                <w:rFonts w:ascii="Book Antiqua" w:cs="Book Antiqua" w:eastAsia="Book Antiqua" w:hAnsi="Book Antiqua"/>
                <w:b w:val="off"/>
                <w:bCs w:val="off"/>
                <w:i w:val="off"/>
                <w:iCs w:val="off"/>
                <w:sz w:val="22"/>
                <w:szCs w:val="22"/>
              </w:rPr>
              <w:t>DIFLUORO</w:t>
            </w:r>
            <w:r>
              <w:rPr>
                <w:rFonts w:ascii="Book Antiqua" w:cs="Book Antiqua" w:eastAsia="Book Antiqua" w:hAnsi="Book Antiqua"/>
                <w:b w:val="off"/>
                <w:bCs w:val="off"/>
                <w:i w:val="off"/>
                <w:iCs w:val="off"/>
                <w:sz w:val="22"/>
                <w:szCs w:val="22"/>
              </w:rPr>
              <w:t>-5-METHYL-</w:t>
            </w:r>
          </w:p>
          <w:p w14:paraId="0000014C">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BENZENE-5'MONOPHOSPHATE</w:t>
            </w:r>
          </w:p>
        </w:tc>
        <w:tc>
          <w:tcPr>
            <w:cnfStyle w:val="000000000000"/>
            <w:tcW w:w="7114" w:type="dxa"/>
          </w:tcPr>
          <w:p w14:paraId="0000014D">
            <w:pPr>
              <w:spacing w:before="0" w:after="0" w:line="240"/>
              <w:jc w:val="center"/>
              <w:rPr>
                <w:rFonts w:ascii="Book Antiqua" w:cs="Book Antiqua" w:eastAsia="Book Antiqua" w:hAnsi="Book Antiqua"/>
                <w:b w:val="off"/>
                <w:bCs w:val="off"/>
                <w:i w:val="off"/>
                <w:iCs w:val="off"/>
                <w:sz w:val="22"/>
                <w:szCs w:val="22"/>
                <w:lang w:val="it-IT"/>
              </w:rPr>
            </w:pPr>
            <w:r>
              <w:rPr>
                <w:rFonts w:ascii="Book Antiqua" w:cs="Book Antiqua" w:eastAsia="Book Antiqua" w:hAnsi="Book Antiqua"/>
                <w:b w:val="off"/>
                <w:bCs w:val="off"/>
                <w:i w:val="off"/>
                <w:iCs w:val="off"/>
                <w:sz w:val="22"/>
                <w:szCs w:val="22"/>
                <w:lang w:val="it-IT"/>
              </w:rPr>
              <w:t>O[C@H]1C[C@@</w:t>
            </w:r>
            <w:r>
              <w:rPr>
                <w:rFonts w:ascii="Book Antiqua" w:cs="Book Antiqua" w:eastAsia="Book Antiqua" w:hAnsi="Book Antiqua"/>
                <w:b w:val="off"/>
                <w:bCs w:val="off"/>
                <w:i w:val="off"/>
                <w:iCs w:val="off"/>
                <w:sz w:val="22"/>
                <w:szCs w:val="22"/>
                <w:lang w:val="it-IT"/>
              </w:rPr>
              <w:t>H](</w:t>
            </w:r>
            <w:r>
              <w:rPr>
                <w:rFonts w:ascii="Book Antiqua" w:cs="Book Antiqua" w:eastAsia="Book Antiqua" w:hAnsi="Book Antiqua"/>
                <w:b w:val="off"/>
                <w:bCs w:val="off"/>
                <w:i w:val="off"/>
                <w:iCs w:val="off"/>
                <w:sz w:val="22"/>
                <w:szCs w:val="22"/>
                <w:lang w:val="it-IT"/>
              </w:rPr>
              <w:t>O[C@@H]1COP(=</w:t>
            </w:r>
            <w:r>
              <w:rPr>
                <w:rFonts w:ascii="Book Antiqua" w:cs="Book Antiqua" w:eastAsia="Book Antiqua" w:hAnsi="Book Antiqua"/>
                <w:b w:val="off"/>
                <w:bCs w:val="off"/>
                <w:i w:val="off"/>
                <w:iCs w:val="off"/>
                <w:sz w:val="22"/>
                <w:szCs w:val="22"/>
                <w:lang w:val="it-IT"/>
              </w:rPr>
              <w:t>O)(</w:t>
            </w:r>
            <w:r>
              <w:rPr>
                <w:rFonts w:ascii="Book Antiqua" w:cs="Book Antiqua" w:eastAsia="Book Antiqua" w:hAnsi="Book Antiqua"/>
                <w:b w:val="off"/>
                <w:bCs w:val="off"/>
                <w:i w:val="off"/>
                <w:iCs w:val="off"/>
                <w:sz w:val="22"/>
                <w:szCs w:val="22"/>
                <w:lang w:val="it-IT"/>
              </w:rPr>
              <w:t>O)</w:t>
            </w:r>
            <w:r>
              <w:rPr>
                <w:rFonts w:ascii="Book Antiqua" w:cs="Book Antiqua" w:eastAsia="Book Antiqua" w:hAnsi="Book Antiqua"/>
                <w:b w:val="off"/>
                <w:bCs w:val="off"/>
                <w:i w:val="off"/>
                <w:iCs w:val="off"/>
                <w:sz w:val="22"/>
                <w:szCs w:val="22"/>
                <w:lang w:val="it-IT"/>
              </w:rPr>
              <w:t>O)c</w:t>
            </w:r>
            <w:r>
              <w:rPr>
                <w:rFonts w:ascii="Book Antiqua" w:cs="Book Antiqua" w:eastAsia="Book Antiqua" w:hAnsi="Book Antiqua"/>
                <w:b w:val="off"/>
                <w:bCs w:val="off"/>
                <w:i w:val="off"/>
                <w:iCs w:val="off"/>
                <w:sz w:val="22"/>
                <w:szCs w:val="22"/>
                <w:lang w:val="it-IT"/>
              </w:rPr>
              <w:t>1cc(C)c(cc1</w:t>
            </w:r>
            <w:r>
              <w:rPr>
                <w:rFonts w:ascii="Book Antiqua" w:cs="Book Antiqua" w:eastAsia="Book Antiqua" w:hAnsi="Book Antiqua"/>
                <w:b w:val="off"/>
                <w:bCs w:val="off"/>
                <w:i w:val="off"/>
                <w:iCs w:val="off"/>
                <w:sz w:val="22"/>
                <w:szCs w:val="22"/>
                <w:lang w:val="it-IT"/>
              </w:rPr>
              <w:t>F)F</w:t>
            </w:r>
          </w:p>
        </w:tc>
        <w:tc>
          <w:tcPr>
            <w:cnfStyle w:val="000000000000"/>
            <w:tcW w:w="1376" w:type="dxa"/>
          </w:tcPr>
          <w:p w14:paraId="0000014E">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-8.142</w:t>
            </w:r>
          </w:p>
        </w:tc>
      </w:tr>
      <w:tr>
        <w:trPr>
          <w:trHeight w:val="603" w:hRule="atLeast"/>
        </w:trPr>
        <w:tc>
          <w:tcPr>
            <w:cnfStyle w:val="001000000000"/>
            <w:tcW w:w="1219" w:type="dxa"/>
          </w:tcPr>
          <w:p w14:paraId="0000014F">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134018</w:t>
            </w:r>
          </w:p>
        </w:tc>
        <w:tc>
          <w:tcPr>
            <w:cnfStyle w:val="000000000000"/>
            <w:tcW w:w="3593" w:type="dxa"/>
          </w:tcPr>
          <w:p w14:paraId="00000150">
            <w:pPr>
              <w:pStyle w:val="Normal"/>
              <w:bidi w:val="off"/>
              <w:spacing w:before="0" w:after="0" w:line="240" w:lineRule="auto"/>
              <w:ind w:left="0" w:right="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FABUXOSTAT</w:t>
            </w:r>
          </w:p>
        </w:tc>
        <w:tc>
          <w:tcPr>
            <w:cnfStyle w:val="000000000000"/>
            <w:tcW w:w="7114" w:type="dxa"/>
          </w:tcPr>
          <w:p w14:paraId="00000151">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N#Cc1cc(ccc1OCC(C)</w:t>
            </w:r>
            <w:r>
              <w:rPr>
                <w:rFonts w:ascii="Book Antiqua" w:cs="Book Antiqua" w:eastAsia="Book Antiqua" w:hAnsi="Book Antiqua"/>
                <w:b w:val="off"/>
                <w:bCs w:val="off"/>
                <w:i w:val="off"/>
                <w:iCs w:val="off"/>
                <w:sz w:val="22"/>
                <w:szCs w:val="22"/>
              </w:rPr>
              <w:t>C)c</w:t>
            </w:r>
            <w:r>
              <w:rPr>
                <w:rFonts w:ascii="Book Antiqua" w:cs="Book Antiqua" w:eastAsia="Book Antiqua" w:hAnsi="Book Antiqua"/>
                <w:b w:val="off"/>
                <w:bCs w:val="off"/>
                <w:i w:val="off"/>
                <w:iCs w:val="off"/>
                <w:sz w:val="22"/>
                <w:szCs w:val="22"/>
              </w:rPr>
              <w:t>1nc(c(s</w:t>
            </w:r>
            <w:r>
              <w:rPr>
                <w:rFonts w:ascii="Book Antiqua" w:cs="Book Antiqua" w:eastAsia="Book Antiqua" w:hAnsi="Book Antiqua"/>
                <w:b w:val="off"/>
                <w:bCs w:val="off"/>
                <w:i w:val="off"/>
                <w:iCs w:val="off"/>
                <w:sz w:val="22"/>
                <w:szCs w:val="22"/>
              </w:rPr>
              <w:t>1)C</w:t>
            </w:r>
            <w:r>
              <w:rPr>
                <w:rFonts w:ascii="Book Antiqua" w:cs="Book Antiqua" w:eastAsia="Book Antiqua" w:hAnsi="Book Antiqua"/>
                <w:b w:val="off"/>
                <w:bCs w:val="off"/>
                <w:i w:val="off"/>
                <w:iCs w:val="off"/>
                <w:sz w:val="22"/>
                <w:szCs w:val="22"/>
              </w:rPr>
              <w:t>(=</w:t>
            </w:r>
            <w:r>
              <w:rPr>
                <w:rFonts w:ascii="Book Antiqua" w:cs="Book Antiqua" w:eastAsia="Book Antiqua" w:hAnsi="Book Antiqua"/>
                <w:b w:val="off"/>
                <w:bCs w:val="off"/>
                <w:i w:val="off"/>
                <w:iCs w:val="off"/>
                <w:sz w:val="22"/>
                <w:szCs w:val="22"/>
              </w:rPr>
              <w:t>O)O</w:t>
            </w:r>
            <w:r>
              <w:rPr>
                <w:rFonts w:ascii="Book Antiqua" w:cs="Book Antiqua" w:eastAsia="Book Antiqua" w:hAnsi="Book Antiqua"/>
                <w:b w:val="off"/>
                <w:bCs w:val="off"/>
                <w:i w:val="off"/>
                <w:iCs w:val="off"/>
                <w:sz w:val="22"/>
                <w:szCs w:val="22"/>
              </w:rPr>
              <w:t>)C</w:t>
            </w:r>
          </w:p>
        </w:tc>
        <w:tc>
          <w:tcPr>
            <w:cnfStyle w:val="000000000000"/>
            <w:tcW w:w="1376" w:type="dxa"/>
          </w:tcPr>
          <w:p w14:paraId="00000152">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-7.505</w:t>
            </w:r>
          </w:p>
        </w:tc>
      </w:tr>
      <w:tr>
        <w:trPr>
          <w:trHeight w:val="1243" w:hRule="atLeast"/>
        </w:trPr>
        <w:tc>
          <w:tcPr>
            <w:cnfStyle w:val="001000000000"/>
            <w:tcW w:w="1219" w:type="dxa"/>
          </w:tcPr>
          <w:p w14:paraId="00000153">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444107</w:t>
            </w:r>
          </w:p>
        </w:tc>
        <w:tc>
          <w:tcPr>
            <w:cnfStyle w:val="000000000000"/>
            <w:tcW w:w="3593" w:type="dxa"/>
          </w:tcPr>
          <w:p w14:paraId="00000154">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PHENYL</w:t>
            </w:r>
          </w:p>
          <w:p w14:paraId="00000155">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[1-(N-SUCCINYLAMINO)</w:t>
            </w:r>
          </w:p>
          <w:p w14:paraId="00000156">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PENTYL]PHOSPHONATE</w:t>
            </w:r>
          </w:p>
        </w:tc>
        <w:tc>
          <w:tcPr>
            <w:cnfStyle w:val="000000000000"/>
            <w:tcW w:w="7114" w:type="dxa"/>
          </w:tcPr>
          <w:p w14:paraId="00000157">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CCCC[C@@</w:t>
            </w:r>
            <w:r>
              <w:rPr>
                <w:rFonts w:ascii="Book Antiqua" w:cs="Book Antiqua" w:eastAsia="Book Antiqua" w:hAnsi="Book Antiqua"/>
                <w:b w:val="off"/>
                <w:bCs w:val="off"/>
                <w:i w:val="off"/>
                <w:iCs w:val="off"/>
                <w:sz w:val="22"/>
                <w:szCs w:val="22"/>
              </w:rPr>
              <w:t>H](</w:t>
            </w:r>
            <w:r>
              <w:rPr>
                <w:rFonts w:ascii="Book Antiqua" w:cs="Book Antiqua" w:eastAsia="Book Antiqua" w:hAnsi="Book Antiqua"/>
                <w:b w:val="off"/>
                <w:bCs w:val="off"/>
                <w:i w:val="off"/>
                <w:iCs w:val="off"/>
                <w:sz w:val="22"/>
                <w:szCs w:val="22"/>
              </w:rPr>
              <w:t>[P</w:t>
            </w:r>
            <w:r>
              <w:rPr>
                <w:rFonts w:ascii="Book Antiqua" w:cs="Book Antiqua" w:eastAsia="Book Antiqua" w:hAnsi="Book Antiqua"/>
                <w:b w:val="off"/>
                <w:bCs w:val="off"/>
                <w:i w:val="off"/>
                <w:iCs w:val="off"/>
                <w:sz w:val="22"/>
                <w:szCs w:val="22"/>
              </w:rPr>
              <w:t>@](</w:t>
            </w:r>
            <w:r>
              <w:rPr>
                <w:rFonts w:ascii="Book Antiqua" w:cs="Book Antiqua" w:eastAsia="Book Antiqua" w:hAnsi="Book Antiqua"/>
                <w:b w:val="off"/>
                <w:bCs w:val="off"/>
                <w:i w:val="off"/>
                <w:iCs w:val="off"/>
                <w:sz w:val="22"/>
                <w:szCs w:val="22"/>
              </w:rPr>
              <w:t>=</w:t>
            </w:r>
            <w:r>
              <w:rPr>
                <w:rFonts w:ascii="Book Antiqua" w:cs="Book Antiqua" w:eastAsia="Book Antiqua" w:hAnsi="Book Antiqua"/>
                <w:b w:val="off"/>
                <w:bCs w:val="off"/>
                <w:i w:val="off"/>
                <w:iCs w:val="off"/>
                <w:sz w:val="22"/>
                <w:szCs w:val="22"/>
              </w:rPr>
              <w:t>O)(</w:t>
            </w:r>
            <w:r>
              <w:rPr>
                <w:rFonts w:ascii="Book Antiqua" w:cs="Book Antiqua" w:eastAsia="Book Antiqua" w:hAnsi="Book Antiqua"/>
                <w:b w:val="off"/>
                <w:bCs w:val="off"/>
                <w:i w:val="off"/>
                <w:iCs w:val="off"/>
                <w:sz w:val="22"/>
                <w:szCs w:val="22"/>
              </w:rPr>
              <w:t>Oc1ccccc</w:t>
            </w:r>
            <w:r>
              <w:rPr>
                <w:rFonts w:ascii="Book Antiqua" w:cs="Book Antiqua" w:eastAsia="Book Antiqua" w:hAnsi="Book Antiqua"/>
                <w:b w:val="off"/>
                <w:bCs w:val="off"/>
                <w:i w:val="off"/>
                <w:iCs w:val="off"/>
                <w:sz w:val="22"/>
                <w:szCs w:val="22"/>
              </w:rPr>
              <w:t>1)O</w:t>
            </w:r>
            <w:r>
              <w:rPr>
                <w:rFonts w:ascii="Book Antiqua" w:cs="Book Antiqua" w:eastAsia="Book Antiqua" w:hAnsi="Book Antiqua"/>
                <w:b w:val="off"/>
                <w:bCs w:val="off"/>
                <w:i w:val="off"/>
                <w:iCs w:val="off"/>
                <w:sz w:val="22"/>
                <w:szCs w:val="22"/>
              </w:rPr>
              <w:t>)NC(=</w:t>
            </w:r>
            <w:r>
              <w:rPr>
                <w:rFonts w:ascii="Book Antiqua" w:cs="Book Antiqua" w:eastAsia="Book Antiqua" w:hAnsi="Book Antiqua"/>
                <w:b w:val="off"/>
                <w:bCs w:val="off"/>
                <w:i w:val="off"/>
                <w:iCs w:val="off"/>
                <w:sz w:val="22"/>
                <w:szCs w:val="22"/>
              </w:rPr>
              <w:t>O)CCC</w:t>
            </w:r>
            <w:r>
              <w:rPr>
                <w:rFonts w:ascii="Book Antiqua" w:cs="Book Antiqua" w:eastAsia="Book Antiqua" w:hAnsi="Book Antiqua"/>
                <w:b w:val="off"/>
                <w:bCs w:val="off"/>
                <w:i w:val="off"/>
                <w:iCs w:val="off"/>
                <w:sz w:val="22"/>
                <w:szCs w:val="22"/>
              </w:rPr>
              <w:t>(=</w:t>
            </w:r>
            <w:r>
              <w:rPr>
                <w:rFonts w:ascii="Book Antiqua" w:cs="Book Antiqua" w:eastAsia="Book Antiqua" w:hAnsi="Book Antiqua"/>
                <w:b w:val="off"/>
                <w:bCs w:val="off"/>
                <w:i w:val="off"/>
                <w:iCs w:val="off"/>
                <w:sz w:val="22"/>
                <w:szCs w:val="22"/>
              </w:rPr>
              <w:t>O)O</w:t>
            </w:r>
          </w:p>
        </w:tc>
        <w:tc>
          <w:tcPr>
            <w:cnfStyle w:val="000000000000"/>
            <w:tcW w:w="1376" w:type="dxa"/>
          </w:tcPr>
          <w:p w14:paraId="00000158">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-7.403</w:t>
            </w:r>
          </w:p>
        </w:tc>
      </w:tr>
      <w:tr>
        <w:trPr>
          <w:trHeight w:val="710" w:hRule="atLeast"/>
        </w:trPr>
        <w:tc>
          <w:tcPr>
            <w:cnfStyle w:val="001000000000"/>
            <w:tcW w:w="1219" w:type="dxa"/>
          </w:tcPr>
          <w:p w14:paraId="00000159">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444150</w:t>
            </w:r>
          </w:p>
        </w:tc>
        <w:tc>
          <w:tcPr>
            <w:cnfStyle w:val="000000000000"/>
            <w:tcW w:w="3593" w:type="dxa"/>
          </w:tcPr>
          <w:p w14:paraId="0000015A">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Indole-3-Glycerol Phosphate</w:t>
            </w:r>
          </w:p>
        </w:tc>
        <w:tc>
          <w:tcPr>
            <w:cnfStyle w:val="000000000000"/>
            <w:tcW w:w="7114" w:type="dxa"/>
          </w:tcPr>
          <w:p w14:paraId="0000015B">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O[C@@</w:t>
            </w:r>
            <w:r>
              <w:rPr>
                <w:rFonts w:ascii="Book Antiqua" w:cs="Book Antiqua" w:eastAsia="Book Antiqua" w:hAnsi="Book Antiqua"/>
                <w:b w:val="off"/>
                <w:bCs w:val="off"/>
                <w:i w:val="off"/>
                <w:iCs w:val="off"/>
                <w:sz w:val="22"/>
                <w:szCs w:val="22"/>
              </w:rPr>
              <w:t>H](</w:t>
            </w:r>
            <w:r>
              <w:rPr>
                <w:rFonts w:ascii="Book Antiqua" w:cs="Book Antiqua" w:eastAsia="Book Antiqua" w:hAnsi="Book Antiqua"/>
                <w:b w:val="off"/>
                <w:bCs w:val="off"/>
                <w:i w:val="off"/>
                <w:iCs w:val="off"/>
                <w:sz w:val="22"/>
                <w:szCs w:val="22"/>
              </w:rPr>
              <w:t>[C@</w:t>
            </w:r>
            <w:r>
              <w:rPr>
                <w:rFonts w:ascii="Book Antiqua" w:cs="Book Antiqua" w:eastAsia="Book Antiqua" w:hAnsi="Book Antiqua"/>
                <w:b w:val="off"/>
                <w:bCs w:val="off"/>
                <w:i w:val="off"/>
                <w:iCs w:val="off"/>
                <w:sz w:val="22"/>
                <w:szCs w:val="22"/>
              </w:rPr>
              <w:t>H](</w:t>
            </w:r>
            <w:r>
              <w:rPr>
                <w:rFonts w:ascii="Book Antiqua" w:cs="Book Antiqua" w:eastAsia="Book Antiqua" w:hAnsi="Book Antiqua"/>
                <w:b w:val="off"/>
                <w:bCs w:val="off"/>
                <w:i w:val="off"/>
                <w:iCs w:val="off"/>
                <w:sz w:val="22"/>
                <w:szCs w:val="22"/>
              </w:rPr>
              <w:t>c1c[</w:t>
            </w:r>
            <w:r>
              <w:rPr>
                <w:rFonts w:ascii="Book Antiqua" w:cs="Book Antiqua" w:eastAsia="Book Antiqua" w:hAnsi="Book Antiqua"/>
                <w:b w:val="off"/>
                <w:bCs w:val="off"/>
                <w:i w:val="off"/>
                <w:iCs w:val="off"/>
                <w:sz w:val="22"/>
                <w:szCs w:val="22"/>
              </w:rPr>
              <w:t>nH</w:t>
            </w:r>
            <w:r>
              <w:rPr>
                <w:rFonts w:ascii="Book Antiqua" w:cs="Book Antiqua" w:eastAsia="Book Antiqua" w:hAnsi="Book Antiqua"/>
                <w:b w:val="off"/>
                <w:bCs w:val="off"/>
                <w:i w:val="off"/>
                <w:iCs w:val="off"/>
                <w:sz w:val="22"/>
                <w:szCs w:val="22"/>
              </w:rPr>
              <w:t>]c2c1cccc</w:t>
            </w:r>
            <w:r>
              <w:rPr>
                <w:rFonts w:ascii="Book Antiqua" w:cs="Book Antiqua" w:eastAsia="Book Antiqua" w:hAnsi="Book Antiqua"/>
                <w:b w:val="off"/>
                <w:bCs w:val="off"/>
                <w:i w:val="off"/>
                <w:iCs w:val="off"/>
                <w:sz w:val="22"/>
                <w:szCs w:val="22"/>
              </w:rPr>
              <w:t>2)O</w:t>
            </w:r>
            <w:r>
              <w:rPr>
                <w:rFonts w:ascii="Book Antiqua" w:cs="Book Antiqua" w:eastAsia="Book Antiqua" w:hAnsi="Book Antiqua"/>
                <w:b w:val="off"/>
                <w:bCs w:val="off"/>
                <w:i w:val="off"/>
                <w:iCs w:val="off"/>
                <w:sz w:val="22"/>
                <w:szCs w:val="22"/>
              </w:rPr>
              <w:t>)COP(=</w:t>
            </w:r>
            <w:r>
              <w:rPr>
                <w:rFonts w:ascii="Book Antiqua" w:cs="Book Antiqua" w:eastAsia="Book Antiqua" w:hAnsi="Book Antiqua"/>
                <w:b w:val="off"/>
                <w:bCs w:val="off"/>
                <w:i w:val="off"/>
                <w:iCs w:val="off"/>
                <w:sz w:val="22"/>
                <w:szCs w:val="22"/>
              </w:rPr>
              <w:t>O)(</w:t>
            </w:r>
            <w:r>
              <w:rPr>
                <w:rFonts w:ascii="Book Antiqua" w:cs="Book Antiqua" w:eastAsia="Book Antiqua" w:hAnsi="Book Antiqua"/>
                <w:b w:val="off"/>
                <w:bCs w:val="off"/>
                <w:i w:val="off"/>
                <w:iCs w:val="off"/>
                <w:sz w:val="22"/>
                <w:szCs w:val="22"/>
              </w:rPr>
              <w:t>O)O</w:t>
            </w:r>
          </w:p>
        </w:tc>
        <w:tc>
          <w:tcPr>
            <w:cnfStyle w:val="000000000000"/>
            <w:tcW w:w="1376" w:type="dxa"/>
          </w:tcPr>
          <w:p w14:paraId="0000015C">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-7.065</w:t>
            </w:r>
          </w:p>
        </w:tc>
      </w:tr>
      <w:tr>
        <w:trPr>
          <w:trHeight w:val="935" w:hRule="atLeast"/>
        </w:trPr>
        <w:tc>
          <w:tcPr>
            <w:cnfStyle w:val="001000000000"/>
            <w:tcW w:w="1219" w:type="dxa"/>
          </w:tcPr>
          <w:p w14:paraId="0000015D">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52938427</w:t>
            </w:r>
          </w:p>
        </w:tc>
        <w:tc>
          <w:tcPr>
            <w:cnfStyle w:val="000000000000"/>
            <w:tcW w:w="3593" w:type="dxa"/>
          </w:tcPr>
          <w:p w14:paraId="0000015E">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OZANIMOD-</w:t>
            </w:r>
          </w:p>
          <w:p w14:paraId="0000015F">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[JEU-Reference-ligand]</w:t>
            </w:r>
          </w:p>
        </w:tc>
        <w:tc>
          <w:tcPr>
            <w:cnfStyle w:val="000000000000"/>
            <w:tcW w:w="7114" w:type="dxa"/>
          </w:tcPr>
          <w:p w14:paraId="00000160">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CC(C)OC1=C(C=C(C=C</w:t>
            </w:r>
            <w:r>
              <w:rPr>
                <w:rFonts w:ascii="Book Antiqua" w:cs="Book Antiqua" w:eastAsia="Book Antiqua" w:hAnsi="Book Antiqua"/>
                <w:b w:val="off"/>
                <w:bCs w:val="off"/>
                <w:i w:val="off"/>
                <w:iCs w:val="off"/>
                <w:sz w:val="22"/>
                <w:szCs w:val="22"/>
              </w:rPr>
              <w:t>1)C</w:t>
            </w:r>
            <w:r>
              <w:rPr>
                <w:rFonts w:ascii="Book Antiqua" w:cs="Book Antiqua" w:eastAsia="Book Antiqua" w:hAnsi="Book Antiqua"/>
                <w:b w:val="off"/>
                <w:bCs w:val="off"/>
                <w:i w:val="off"/>
                <w:iCs w:val="off"/>
                <w:sz w:val="22"/>
                <w:szCs w:val="22"/>
              </w:rPr>
              <w:t>2=NC(=NO</w:t>
            </w:r>
            <w:r>
              <w:rPr>
                <w:rFonts w:ascii="Book Antiqua" w:cs="Book Antiqua" w:eastAsia="Book Antiqua" w:hAnsi="Book Antiqua"/>
                <w:b w:val="off"/>
                <w:bCs w:val="off"/>
                <w:i w:val="off"/>
                <w:iCs w:val="off"/>
                <w:sz w:val="22"/>
                <w:szCs w:val="22"/>
              </w:rPr>
              <w:t>2)C</w:t>
            </w:r>
            <w:r>
              <w:rPr>
                <w:rFonts w:ascii="Book Antiqua" w:cs="Book Antiqua" w:eastAsia="Book Antiqua" w:hAnsi="Book Antiqua"/>
                <w:b w:val="off"/>
                <w:bCs w:val="off"/>
                <w:i w:val="off"/>
                <w:iCs w:val="off"/>
                <w:sz w:val="22"/>
                <w:szCs w:val="22"/>
              </w:rPr>
              <w:t>3=C4CC[C@@</w:t>
            </w:r>
            <w:r>
              <w:rPr>
                <w:rFonts w:ascii="Book Antiqua" w:cs="Book Antiqua" w:eastAsia="Book Antiqua" w:hAnsi="Book Antiqua"/>
                <w:b w:val="off"/>
                <w:bCs w:val="off"/>
                <w:i w:val="off"/>
                <w:iCs w:val="off"/>
                <w:sz w:val="22"/>
                <w:szCs w:val="22"/>
              </w:rPr>
              <w:t>H](</w:t>
            </w:r>
            <w:r>
              <w:rPr>
                <w:rFonts w:ascii="Book Antiqua" w:cs="Book Antiqua" w:eastAsia="Book Antiqua" w:hAnsi="Book Antiqua"/>
                <w:b w:val="off"/>
                <w:bCs w:val="off"/>
                <w:i w:val="off"/>
                <w:iCs w:val="off"/>
                <w:sz w:val="22"/>
                <w:szCs w:val="22"/>
              </w:rPr>
              <w:t>C4=CC=C</w:t>
            </w:r>
            <w:r>
              <w:rPr>
                <w:rFonts w:ascii="Book Antiqua" w:cs="Book Antiqua" w:eastAsia="Book Antiqua" w:hAnsi="Book Antiqua"/>
                <w:b w:val="off"/>
                <w:bCs w:val="off"/>
                <w:i w:val="off"/>
                <w:iCs w:val="off"/>
                <w:sz w:val="22"/>
                <w:szCs w:val="22"/>
              </w:rPr>
              <w:t>3)NCCO</w:t>
            </w:r>
            <w:r>
              <w:rPr>
                <w:rFonts w:ascii="Book Antiqua" w:cs="Book Antiqua" w:eastAsia="Book Antiqua" w:hAnsi="Book Antiqua"/>
                <w:b w:val="off"/>
                <w:bCs w:val="off"/>
                <w:i w:val="off"/>
                <w:iCs w:val="off"/>
                <w:sz w:val="22"/>
                <w:szCs w:val="22"/>
              </w:rPr>
              <w:t>)C#N</w:t>
            </w:r>
          </w:p>
        </w:tc>
        <w:tc>
          <w:tcPr>
            <w:cnfStyle w:val="000000000000"/>
            <w:tcW w:w="1376" w:type="dxa"/>
          </w:tcPr>
          <w:p w14:paraId="00000161">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-9.45</w:t>
            </w:r>
          </w:p>
        </w:tc>
      </w:tr>
    </w:tbl>
    <w:p w14:paraId="00000162">
      <w:pPr>
        <w:spacing w:before="0" w:after="150" w:line="240"/>
        <w:jc w:val="both"/>
        <w:rPr>
          <w:rFonts w:ascii="Book Antiqua" w:cs="Book Antiqua" w:eastAsia="Book Antiqua" w:hAnsi="Book Antiqua"/>
          <w:b/>
          <w:bCs/>
          <w:i w:val="off"/>
          <w:iCs w:val="off"/>
          <w:color w:val="0c0c0c"/>
          <w:sz w:val="22"/>
          <w:szCs w:val="22"/>
          <w:lang w:val="en-GB"/>
        </w:rPr>
      </w:pPr>
    </w:p>
    <w:p w14:paraId="00000163">
      <w:pPr>
        <w:spacing w:before="0" w:after="150" w:line="240" w:lineRule="auto"/>
        <w:jc w:val="both"/>
        <w:rPr>
          <w:rFonts w:ascii="Book Antiqua" w:cs="Book Antiqua" w:eastAsia="Book Antiqua" w:hAnsi="Book Antiqua"/>
          <w:b w:val="off"/>
          <w:bCs w:val="off"/>
          <w:i w:val="off"/>
          <w:iCs w:val="off"/>
          <w:sz w:val="22"/>
          <w:szCs w:val="22"/>
          <w:lang w:val="en-GB"/>
        </w:rPr>
      </w:pPr>
      <w:r>
        <w:rPr>
          <w:rFonts w:ascii="Book Antiqua" w:cs="Book Antiqua" w:eastAsia="Book Antiqua" w:hAnsi="Book Antiqua"/>
          <w:b/>
          <w:bCs/>
          <w:i w:val="off"/>
          <w:iCs w:val="off"/>
          <w:color w:val="0c0c0c"/>
          <w:sz w:val="22"/>
          <w:szCs w:val="22"/>
          <w:lang w:val="en-GB"/>
        </w:rPr>
        <w:t xml:space="preserve">Table </w:t>
      </w:r>
      <w:r>
        <w:rPr>
          <w:rFonts w:ascii="Book Antiqua" w:cs="Book Antiqua" w:eastAsia="Book Antiqua" w:hAnsi="Book Antiqua"/>
          <w:b/>
          <w:bCs/>
          <w:i w:val="off"/>
          <w:iCs w:val="off"/>
          <w:sz w:val="22"/>
          <w:szCs w:val="22"/>
          <w:lang w:val="en-GB"/>
        </w:rPr>
        <w:t>IV</w:t>
      </w:r>
      <w:r>
        <w:rPr>
          <w:rFonts w:ascii="Book Antiqua" w:cs="Book Antiqua" w:eastAsia="Book Antiqua" w:hAnsi="Book Antiqua"/>
          <w:b w:val="off"/>
          <w:bCs w:val="off"/>
          <w:i w:val="off"/>
          <w:iCs w:val="off"/>
          <w:sz w:val="22"/>
          <w:szCs w:val="22"/>
          <w:lang w:val="en-GB"/>
        </w:rPr>
        <w:t xml:space="preserve"> Predicted binding energies and </w:t>
      </w:r>
      <w:r>
        <w:rPr>
          <w:rFonts w:ascii="Book Antiqua" w:cs="Book Antiqua" w:eastAsia="Book Antiqua" w:hAnsi="Book Antiqua"/>
          <w:b w:val="off"/>
          <w:bCs w:val="off"/>
          <w:i w:val="off"/>
          <w:iCs w:val="off"/>
          <w:sz w:val="22"/>
          <w:szCs w:val="22"/>
          <w:lang w:val="en-GB"/>
        </w:rPr>
        <w:t>c</w:t>
      </w:r>
      <w:r>
        <w:rPr>
          <w:rFonts w:ascii="Book Antiqua" w:cs="Book Antiqua" w:eastAsia="Book Antiqua" w:hAnsi="Book Antiqua"/>
          <w:b w:val="off"/>
          <w:bCs w:val="off"/>
          <w:i w:val="off"/>
          <w:iCs w:val="off"/>
          <w:sz w:val="22"/>
          <w:szCs w:val="22"/>
          <w:lang w:val="en-GB"/>
        </w:rPr>
        <w:t>anonical SMILES notations for selected drug candidates</w:t>
      </w:r>
      <w:r>
        <w:rPr>
          <w:rFonts w:ascii="Book Antiqua" w:cs="Book Antiqua" w:eastAsia="Book Antiqua" w:hAnsi="Book Antiqua"/>
          <w:b w:val="off"/>
          <w:bCs w:val="off"/>
          <w:i w:val="off"/>
          <w:iCs w:val="off"/>
          <w:sz w:val="22"/>
          <w:szCs w:val="22"/>
          <w:lang w:val="en-GB"/>
        </w:rPr>
        <w:t>. V</w:t>
      </w:r>
      <w:r>
        <w:rPr>
          <w:rFonts w:ascii="Book Antiqua" w:cs="Book Antiqua" w:eastAsia="Book Antiqua" w:hAnsi="Book Antiqua"/>
          <w:b w:val="off"/>
          <w:bCs w:val="off"/>
          <w:i w:val="off"/>
          <w:iCs w:val="off"/>
          <w:sz w:val="22"/>
          <w:szCs w:val="22"/>
          <w:lang w:val="en-GB"/>
        </w:rPr>
        <w:t xml:space="preserve">alues obtained via molecular docking simulations highlight the binding affinity of screened compounds </w:t>
      </w:r>
      <w:r>
        <w:rPr>
          <w:rFonts w:ascii="Book Antiqua" w:cs="Book Antiqua" w:eastAsia="Book Antiqua" w:hAnsi="Book Antiqua"/>
          <w:b w:val="off"/>
          <w:bCs w:val="off"/>
          <w:i w:val="off"/>
          <w:iCs w:val="off"/>
          <w:sz w:val="22"/>
          <w:szCs w:val="22"/>
          <w:lang w:val="en-GB"/>
        </w:rPr>
        <w:t xml:space="preserve"> </w:t>
      </w:r>
      <w:r>
        <w:rPr>
          <w:rFonts w:ascii="Book Antiqua" w:cs="Book Antiqua" w:eastAsia="Book Antiqua" w:hAnsi="Book Antiqua"/>
          <w:b w:val="off"/>
          <w:bCs w:val="off"/>
          <w:i w:val="off"/>
          <w:iCs w:val="off"/>
          <w:sz w:val="22"/>
          <w:szCs w:val="22"/>
          <w:lang w:val="en-GB"/>
        </w:rPr>
        <w:t xml:space="preserve">with </w:t>
      </w:r>
      <w:r>
        <w:rPr>
          <w:rFonts w:ascii="Book Antiqua" w:cs="Book Antiqua" w:eastAsia="Book Antiqua" w:hAnsi="Book Antiqua"/>
          <w:b w:val="off"/>
          <w:bCs w:val="off"/>
          <w:i w:val="off"/>
          <w:iCs w:val="off"/>
          <w:sz w:val="22"/>
          <w:szCs w:val="22"/>
          <w:lang w:val="en-GB"/>
        </w:rPr>
        <w:t>Ozanimod as the reference ligand.</w:t>
      </w:r>
    </w:p>
    <w:p w14:paraId="00000164">
      <w:pPr>
        <w:spacing w:line="240"/>
        <w:rPr>
          <w:rFonts w:ascii="Book Antiqua" w:cs="Book Antiqua" w:eastAsia="Book Antiqua" w:hAnsi="Book Antiqua"/>
          <w:b/>
          <w:bCs/>
          <w:i w:val="off"/>
          <w:iCs w:val="off"/>
          <w:sz w:val="22"/>
          <w:szCs w:val="22"/>
          <w:lang w:val="en-GB"/>
        </w:rPr>
      </w:pPr>
    </w:p>
    <w:p w14:paraId="00000165">
      <w:pPr>
        <w:spacing w:before="0" w:after="150" w:line="240" w:lineRule="auto"/>
        <w:jc w:val="both"/>
        <w:rPr>
          <w:rFonts w:ascii="Book Antiqua" w:cs="Book Antiqua" w:eastAsia="Book Antiqua" w:hAnsi="Book Antiqua"/>
          <w:b w:val="off"/>
          <w:bCs w:val="off"/>
          <w:i w:val="off"/>
          <w:iCs w:val="off"/>
          <w:sz w:val="22"/>
          <w:szCs w:val="22"/>
          <w:lang w:val="en-GB"/>
        </w:rPr>
      </w:pPr>
    </w:p>
    <w:p w14:paraId="00000166">
      <w:pPr>
        <w:spacing w:before="0" w:after="150" w:line="240"/>
        <w:jc w:val="both"/>
        <w:rPr>
          <w:rFonts w:ascii="Book Antiqua" w:cs="Book Antiqua" w:eastAsia="Book Antiqua" w:hAnsi="Book Antiqua"/>
          <w:b w:val="off"/>
          <w:bCs w:val="off"/>
          <w:i w:val="off"/>
          <w:iCs w:val="off"/>
          <w:sz w:val="22"/>
          <w:szCs w:val="22"/>
          <w:lang w:val="en-GB"/>
        </w:rPr>
      </w:pPr>
      <w:r>
        <w:rPr>
          <w:rFonts w:ascii="Book Antiqua" w:cs="Book Antiqua" w:eastAsia="Book Antiqua" w:hAnsi="Book Antiqua"/>
          <w:b/>
          <w:bCs/>
          <w:i w:val="off"/>
          <w:iCs w:val="off"/>
          <w:color w:val="0e0e0e"/>
          <w:sz w:val="22"/>
          <w:szCs w:val="22"/>
          <w:lang w:val="en-GB"/>
        </w:rPr>
        <w:t>Table  V</w:t>
      </w:r>
      <w:r>
        <w:rPr>
          <w:rFonts w:ascii="Book Antiqua" w:cs="Book Antiqua" w:eastAsia="Book Antiqua" w:hAnsi="Book Antiqua"/>
          <w:b/>
          <w:bCs/>
          <w:i w:val="off"/>
          <w:iCs w:val="off"/>
          <w:color w:val="0e0e0e"/>
          <w:sz w:val="22"/>
          <w:szCs w:val="22"/>
          <w:lang w:val="en-GB"/>
        </w:rPr>
        <w:t xml:space="preserve"> : </w:t>
      </w:r>
      <w:r>
        <w:rPr>
          <w:rFonts w:ascii="Book Antiqua" w:cs="Book Antiqua" w:eastAsia="Book Antiqua" w:hAnsi="Book Antiqua"/>
          <w:b/>
          <w:bCs/>
          <w:i w:val="off"/>
          <w:iCs w:val="off"/>
          <w:sz w:val="22"/>
          <w:szCs w:val="22"/>
          <w:lang w:val="en-GB"/>
        </w:rPr>
        <w:t>Molecular Docking Scores and Drug-likeness Evaluation of Selected Candidates based on Lipinski and Veber Rules</w:t>
      </w:r>
    </w:p>
    <w:p w14:paraId="00000167">
      <w:pPr>
        <w:spacing w:before="0" w:after="150" w:line="240"/>
        <w:jc w:val="both"/>
        <w:rPr>
          <w:rFonts w:ascii="Book Antiqua" w:cs="Book Antiqua" w:eastAsia="Book Antiqua" w:hAnsi="Book Antiqua"/>
          <w:b w:val="off"/>
          <w:bCs w:val="off"/>
          <w:i w:val="off"/>
          <w:iCs w:val="off"/>
          <w:sz w:val="22"/>
          <w:szCs w:val="22"/>
          <w:lang w:val="en-GB"/>
        </w:rPr>
      </w:pPr>
    </w:p>
    <w:p w14:paraId="00000168">
      <w:pPr>
        <w:spacing w:before="0" w:after="0" w:line="240"/>
        <w:ind w:left="108" w:right="0"/>
        <w:jc w:val="both"/>
        <w:rPr>
          <w:rFonts w:ascii="Book Antiqua" w:cs="Book Antiqua" w:eastAsia="Book Antiqua" w:hAnsi="Book Antiqua"/>
          <w:b/>
          <w:bCs/>
          <w:i w:val="off"/>
          <w:iCs w:val="off"/>
          <w:color w:val="0e0e0e"/>
          <w:sz w:val="22"/>
          <w:szCs w:val="22"/>
          <w:lang w:val="en-GB"/>
        </w:rPr>
      </w:pPr>
    </w:p>
    <w:p w14:paraId="00000169">
      <w:pPr>
        <w:spacing w:line="240" w:lineRule="auto"/>
        <w:rPr>
          <w:rFonts w:ascii="Book Antiqua" w:cs="Book Antiqua" w:eastAsia="Book Antiqua" w:hAnsi="Book Antiqua"/>
          <w:b/>
          <w:bCs/>
          <w:i w:val="off"/>
          <w:iCs w:val="off"/>
          <w:color w:val="0e0e0e"/>
          <w:sz w:val="22"/>
          <w:szCs w:val="22"/>
          <w:lang w:val="en-GB"/>
        </w:rPr>
      </w:pPr>
    </w:p>
    <w:p w14:paraId="0000016A">
      <w:pPr>
        <w:pStyle w:val="Normal"/>
        <w:spacing w:before="0" w:after="0" w:line="240"/>
        <w:ind w:left="108" w:right="0"/>
        <w:jc w:val="both"/>
        <w:rPr>
          <w:rFonts w:ascii="Book Antiqua" w:cs="Book Antiqua" w:eastAsia="Book Antiqua" w:hAnsi="Book Antiqua"/>
          <w:b w:val="off"/>
          <w:bCs w:val="off"/>
          <w:i w:val="off"/>
          <w:iCs w:val="off"/>
          <w:sz w:val="22"/>
          <w:szCs w:val="22"/>
          <w:lang w:val="en-GB"/>
        </w:rPr>
      </w:pPr>
    </w:p>
    <w:tbl>
      <w:tblPr>
        <w:tblStyle w:val="PlainTable2"/>
        <w:tblpPr w:leftFromText="187" w:rightFromText="187" w:topFromText="0" w:bottomFromText="0" w:vertAnchor="page" w:horzAnchor="page" w:tblpX="975" w:tblpY="2535"/>
        <w:tblOverlap w:val="never"/>
        <w:tblW w:w="14210" w:type="dxa"/>
        <w:tblInd w:w="108" w:type="dxa"/>
        <w:tblLook w:val="06A0"/>
      </w:tblPr>
      <w:tblGrid>
        <w:gridCol w:w="1646"/>
        <w:gridCol w:w="3593"/>
        <w:gridCol w:w="1603"/>
        <w:gridCol w:w="1514"/>
        <w:gridCol w:w="1368"/>
        <w:gridCol w:w="999"/>
        <w:gridCol w:w="1049"/>
        <w:gridCol w:w="1219"/>
        <w:gridCol w:w="1219"/>
      </w:tblGrid>
      <w:tr>
        <w:trPr>
          <w:trHeight w:val="425" w:hRule="atLeast"/>
        </w:trPr>
        <w:tc>
          <w:tcPr>
            <w:cnfStyle w:val="101000000000"/>
            <w:tcW w:w="1238" w:type="dxa"/>
            <w:vMerge w:val="restart"/>
          </w:tcPr>
          <w:p w14:paraId="0000016B">
            <w:pPr>
              <w:pStyle w:val="Normal"/>
              <w:spacing w:line="240"/>
              <w:jc w:val="center"/>
              <w:rPr>
                <w:rFonts w:ascii="Book Antiqua" w:cs="Book Antiqua" w:eastAsia="Book Antiqua" w:hAnsi="Book Antiqua"/>
                <w:b/>
                <w:bCs/>
                <w:i w:val="off"/>
                <w:iCs w:val="off"/>
                <w:sz w:val="22"/>
                <w:szCs w:val="22"/>
                <w:lang w:val="en-GB"/>
              </w:rPr>
            </w:pPr>
          </w:p>
          <w:p w14:paraId="0000016C">
            <w:pPr>
              <w:spacing w:before="0" w:after="0" w:line="240" w:lineRule="auto"/>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PubChem</w:t>
            </w:r>
            <w:r>
              <w:rPr>
                <w:rFonts w:ascii="Book Antiqua" w:cs="Book Antiqua" w:eastAsia="Book Antiqua" w:hAnsi="Book Antiqua"/>
                <w:b/>
                <w:bCs/>
                <w:i w:val="off"/>
                <w:iCs w:val="off"/>
                <w:sz w:val="22"/>
                <w:szCs w:val="22"/>
              </w:rPr>
              <w:t>CID</w:t>
            </w:r>
          </w:p>
        </w:tc>
        <w:tc>
          <w:tcPr>
            <w:cnfStyle w:val="100000000000"/>
            <w:tcW w:w="3593" w:type="dxa"/>
            <w:vMerge w:val="restart"/>
          </w:tcPr>
          <w:p w14:paraId="0000016D">
            <w:pPr>
              <w:pStyle w:val="Normal"/>
              <w:spacing w:line="240"/>
              <w:jc w:val="center"/>
              <w:rPr>
                <w:rFonts w:ascii="Book Antiqua" w:cs="Book Antiqua" w:eastAsia="Book Antiqua" w:hAnsi="Book Antiqua"/>
                <w:b/>
                <w:bCs/>
                <w:i w:val="off"/>
                <w:iCs w:val="off"/>
                <w:sz w:val="22"/>
                <w:szCs w:val="22"/>
                <w:lang w:val="en-GB"/>
              </w:rPr>
            </w:pPr>
          </w:p>
          <w:p w14:paraId="0000016E">
            <w:pPr>
              <w:spacing w:before="0" w:after="0" w:line="240" w:lineRule="auto"/>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Drug</w:t>
            </w:r>
          </w:p>
          <w:p w14:paraId="0000016F">
            <w:pPr>
              <w:spacing w:before="0" w:after="0" w:line="240" w:lineRule="auto"/>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Candidates</w:t>
            </w:r>
          </w:p>
        </w:tc>
        <w:tc>
          <w:tcPr>
            <w:cnfStyle w:val="100000000000"/>
            <w:tcW w:w="1718" w:type="dxa"/>
            <w:vMerge w:val="restart"/>
          </w:tcPr>
          <w:p w14:paraId="00000170">
            <w:pPr>
              <w:pStyle w:val="Normal"/>
              <w:spacing w:line="240"/>
              <w:jc w:val="center"/>
              <w:rPr>
                <w:rFonts w:ascii="Book Antiqua" w:cs="Book Antiqua" w:eastAsia="Book Antiqua" w:hAnsi="Book Antiqua"/>
                <w:b/>
                <w:bCs/>
                <w:i w:val="off"/>
                <w:iCs w:val="off"/>
                <w:sz w:val="22"/>
                <w:szCs w:val="22"/>
                <w:lang w:val="en-GB"/>
              </w:rPr>
            </w:pPr>
          </w:p>
          <w:p w14:paraId="00000171">
            <w:pPr>
              <w:spacing w:before="0" w:after="0" w:line="240"/>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Binding</w:t>
            </w:r>
            <w:r>
              <w:rPr>
                <w:rFonts w:ascii="Book Antiqua" w:cs="Book Antiqua" w:eastAsia="Book Antiqua" w:hAnsi="Book Antiqua"/>
                <w:b/>
                <w:bCs/>
                <w:i w:val="off"/>
                <w:iCs w:val="off"/>
                <w:sz w:val="22"/>
                <w:szCs w:val="22"/>
              </w:rPr>
              <w:t xml:space="preserve"> </w:t>
            </w:r>
            <w:r>
              <w:rPr>
                <w:rFonts w:ascii="Book Antiqua" w:cs="Book Antiqua" w:eastAsia="Book Antiqua" w:hAnsi="Book Antiqua"/>
                <w:b/>
                <w:bCs/>
                <w:i w:val="off"/>
                <w:iCs w:val="off"/>
                <w:sz w:val="22"/>
                <w:szCs w:val="22"/>
              </w:rPr>
              <w:t>Affinity</w:t>
            </w:r>
          </w:p>
          <w:p w14:paraId="00000172">
            <w:pPr>
              <w:spacing w:before="0" w:after="0" w:line="240"/>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(kcal/mol)</w:t>
            </w:r>
          </w:p>
        </w:tc>
        <w:tc>
          <w:tcPr>
            <w:cnfStyle w:val="100000000000"/>
            <w:tcW w:w="7661" w:type="dxa"/>
            <w:gridSpan w:val="6"/>
          </w:tcPr>
          <w:p w14:paraId="00000173">
            <w:pPr>
              <w:spacing w:before="0" w:after="150" w:line="240"/>
              <w:jc w:val="center"/>
              <w:rPr>
                <w:rFonts w:ascii="Book Antiqua" w:cs="Book Antiqua" w:eastAsia="Book Antiqua" w:hAnsi="Book Antiqua"/>
                <w:b/>
                <w:bCs/>
                <w:i w:val="off"/>
                <w:iCs w:val="off"/>
                <w:sz w:val="22"/>
                <w:szCs w:val="22"/>
                <w:lang w:val="en-GB"/>
              </w:rPr>
            </w:pPr>
            <w:r>
              <w:rPr>
                <w:rFonts w:ascii="Book Antiqua" w:cs="Book Antiqua" w:eastAsia="Book Antiqua" w:hAnsi="Book Antiqua"/>
                <w:b/>
                <w:bCs/>
                <w:i w:val="off"/>
                <w:iCs w:val="off"/>
                <w:sz w:val="22"/>
                <w:szCs w:val="22"/>
                <w:lang w:val="en-GB"/>
              </w:rPr>
              <w:t>Drug-likeness</w:t>
            </w:r>
          </w:p>
        </w:tc>
      </w:tr>
      <w:tr>
        <w:trPr>
          <w:trHeight w:val="1086" w:hRule="atLeast"/>
        </w:trPr>
        <w:tc>
          <w:tcPr>
            <w:cnfStyle w:val="001000000000"/>
            <w:tcW w:w="1238" w:type="dxa"/>
            <w:vMerge w:val="continue"/>
          </w:tcPr>
          <w:p w14:paraId="00000174">
            <w:pPr>
              <w:spacing w:line="240"/>
              <w:rPr>
                <w:rFonts w:ascii="Book Antiqua" w:cs="Book Antiqua" w:hAnsi="Book Antiqua"/>
                <w:sz w:val="22"/>
                <w:szCs w:val="22"/>
              </w:rPr>
            </w:pPr>
          </w:p>
        </w:tc>
        <w:tc>
          <w:tcPr>
            <w:cnfStyle w:val="000000000000"/>
            <w:tcW w:w="3593" w:type="dxa"/>
            <w:vMerge w:val="continue"/>
          </w:tcPr>
          <w:p w14:paraId="00000175">
            <w:pPr>
              <w:spacing w:line="240"/>
              <w:rPr>
                <w:rFonts w:ascii="Book Antiqua" w:cs="Book Antiqua" w:hAnsi="Book Antiqua"/>
                <w:sz w:val="22"/>
                <w:szCs w:val="22"/>
              </w:rPr>
            </w:pPr>
          </w:p>
        </w:tc>
        <w:tc>
          <w:tcPr>
            <w:cnfStyle w:val="000000000000"/>
            <w:tcW w:w="1718" w:type="dxa"/>
            <w:vMerge w:val="continue"/>
          </w:tcPr>
          <w:p w14:paraId="00000176">
            <w:pPr>
              <w:spacing w:line="240"/>
              <w:rPr>
                <w:rFonts w:ascii="Book Antiqua" w:cs="Book Antiqua" w:hAnsi="Book Antiqua"/>
                <w:sz w:val="22"/>
                <w:szCs w:val="22"/>
              </w:rPr>
            </w:pPr>
          </w:p>
        </w:tc>
        <w:tc>
          <w:tcPr>
            <w:cnfStyle w:val="000000000000"/>
            <w:tcW w:w="1623" w:type="dxa"/>
          </w:tcPr>
          <w:p w14:paraId="00000177">
            <w:pPr>
              <w:pStyle w:val="Normal"/>
              <w:bidi w:val="off"/>
              <w:spacing w:before="0" w:after="0" w:line="240" w:lineRule="auto"/>
              <w:ind w:left="0" w:right="0"/>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Molecular weight</w:t>
            </w:r>
          </w:p>
          <w:p w14:paraId="00000178">
            <w:pPr>
              <w:pStyle w:val="Normal"/>
              <w:bidi w:val="off"/>
              <w:spacing w:before="0" w:after="0" w:line="240" w:lineRule="auto"/>
              <w:ind w:left="0" w:right="0"/>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Da</w:t>
            </w:r>
          </w:p>
        </w:tc>
        <w:tc>
          <w:tcPr>
            <w:cnfStyle w:val="000000000000"/>
            <w:tcW w:w="1466" w:type="dxa"/>
          </w:tcPr>
          <w:p w14:paraId="00000179">
            <w:pPr>
              <w:spacing w:before="0" w:after="0" w:line="240"/>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H-bond acceptors</w:t>
            </w:r>
          </w:p>
        </w:tc>
        <w:tc>
          <w:tcPr>
            <w:cnfStyle w:val="000000000000"/>
            <w:tcW w:w="1009" w:type="dxa"/>
          </w:tcPr>
          <w:p w14:paraId="0000017A">
            <w:pPr>
              <w:spacing w:before="0" w:after="0" w:line="240"/>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H-bond donors</w:t>
            </w:r>
          </w:p>
        </w:tc>
        <w:tc>
          <w:tcPr>
            <w:cnfStyle w:val="000000000000"/>
            <w:tcW w:w="1125" w:type="dxa"/>
          </w:tcPr>
          <w:p w14:paraId="0000017B">
            <w:pPr>
              <w:spacing w:before="0" w:after="0" w:line="240"/>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MlogP</w:t>
            </w:r>
          </w:p>
        </w:tc>
        <w:tc>
          <w:tcPr>
            <w:cnfStyle w:val="000000000000"/>
            <w:tcW w:w="1219" w:type="dxa"/>
          </w:tcPr>
          <w:p w14:paraId="0000017C">
            <w:pPr>
              <w:spacing w:before="0" w:after="0" w:line="240"/>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Lipinski violations</w:t>
            </w:r>
          </w:p>
        </w:tc>
        <w:tc>
          <w:tcPr>
            <w:cnfStyle w:val="000000000000"/>
            <w:tcW w:w="1219" w:type="dxa"/>
          </w:tcPr>
          <w:p w14:paraId="0000017D">
            <w:pPr>
              <w:spacing w:before="0" w:after="0" w:line="240"/>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Veber violations</w:t>
            </w:r>
          </w:p>
        </w:tc>
      </w:tr>
      <w:tr>
        <w:trPr>
          <w:trHeight w:val="1229" w:hRule="atLeast"/>
        </w:trPr>
        <w:tc>
          <w:tcPr>
            <w:cnfStyle w:val="001000000000"/>
            <w:tcW w:w="1238" w:type="dxa"/>
          </w:tcPr>
          <w:p w14:paraId="0000017E">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46937086</w:t>
            </w:r>
          </w:p>
        </w:tc>
        <w:tc>
          <w:tcPr>
            <w:cnfStyle w:val="000000000000"/>
            <w:tcW w:w="3593" w:type="dxa"/>
          </w:tcPr>
          <w:p w14:paraId="0000017F">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1-[2-DEOXYRIBOFURANOSYL]</w:t>
            </w:r>
          </w:p>
          <w:p w14:paraId="00000180">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-2,4-</w:t>
            </w:r>
            <w:r>
              <w:rPr>
                <w:rFonts w:ascii="Book Antiqua" w:cs="Book Antiqua" w:eastAsia="Book Antiqua" w:hAnsi="Book Antiqua"/>
                <w:b w:val="off"/>
                <w:bCs w:val="off"/>
                <w:i w:val="off"/>
                <w:iCs w:val="off"/>
                <w:sz w:val="22"/>
                <w:szCs w:val="22"/>
              </w:rPr>
              <w:t>DIFLUORO</w:t>
            </w:r>
            <w:r>
              <w:rPr>
                <w:rFonts w:ascii="Book Antiqua" w:cs="Book Antiqua" w:eastAsia="Book Antiqua" w:hAnsi="Book Antiqua"/>
                <w:b w:val="off"/>
                <w:bCs w:val="off"/>
                <w:i w:val="off"/>
                <w:iCs w:val="off"/>
                <w:sz w:val="22"/>
                <w:szCs w:val="22"/>
              </w:rPr>
              <w:t>-5-METHYL-</w:t>
            </w:r>
          </w:p>
          <w:p w14:paraId="00000181">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BENZENE-5'MONOPHOSPHATE</w:t>
            </w:r>
          </w:p>
        </w:tc>
        <w:tc>
          <w:tcPr>
            <w:cnfStyle w:val="000000000000"/>
            <w:tcW w:w="1718" w:type="dxa"/>
          </w:tcPr>
          <w:p w14:paraId="00000182">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-8.142</w:t>
            </w:r>
          </w:p>
        </w:tc>
        <w:tc>
          <w:tcPr>
            <w:cnfStyle w:val="000000000000"/>
            <w:tcW w:w="1623" w:type="dxa"/>
          </w:tcPr>
          <w:p w14:paraId="00000183">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324.21</w:t>
            </w:r>
          </w:p>
        </w:tc>
        <w:tc>
          <w:tcPr>
            <w:cnfStyle w:val="000000000000"/>
            <w:tcW w:w="1466" w:type="dxa"/>
          </w:tcPr>
          <w:p w14:paraId="00000184">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8</w:t>
            </w:r>
          </w:p>
        </w:tc>
        <w:tc>
          <w:tcPr>
            <w:cnfStyle w:val="000000000000"/>
            <w:tcW w:w="1009" w:type="dxa"/>
          </w:tcPr>
          <w:p w14:paraId="00000185">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3</w:t>
            </w:r>
          </w:p>
        </w:tc>
        <w:tc>
          <w:tcPr>
            <w:cnfStyle w:val="000000000000"/>
            <w:tcW w:w="1125" w:type="dxa"/>
          </w:tcPr>
          <w:p w14:paraId="00000186">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0.71</w:t>
            </w:r>
          </w:p>
        </w:tc>
        <w:tc>
          <w:tcPr>
            <w:cnfStyle w:val="000000000000"/>
            <w:tcW w:w="1219" w:type="dxa"/>
          </w:tcPr>
          <w:p w14:paraId="00000187">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w:t>
            </w:r>
          </w:p>
        </w:tc>
        <w:tc>
          <w:tcPr>
            <w:cnfStyle w:val="000000000000"/>
            <w:tcW w:w="1219" w:type="dxa"/>
          </w:tcPr>
          <w:p w14:paraId="00000188">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w:t>
            </w:r>
          </w:p>
        </w:tc>
      </w:tr>
      <w:tr>
        <w:trPr>
          <w:trHeight w:val="605" w:hRule="atLeast"/>
        </w:trPr>
        <w:tc>
          <w:tcPr>
            <w:cnfStyle w:val="001000000000"/>
            <w:tcW w:w="1238" w:type="dxa"/>
          </w:tcPr>
          <w:p w14:paraId="00000189">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134018</w:t>
            </w:r>
          </w:p>
        </w:tc>
        <w:tc>
          <w:tcPr>
            <w:cnfStyle w:val="000000000000"/>
            <w:tcW w:w="3593" w:type="dxa"/>
          </w:tcPr>
          <w:p w14:paraId="0000018A">
            <w:pPr>
              <w:pStyle w:val="Normal"/>
              <w:bidi w:val="off"/>
              <w:spacing w:before="0" w:after="0" w:line="240" w:lineRule="auto"/>
              <w:ind w:left="0" w:right="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FABUXOSTAT</w:t>
            </w:r>
          </w:p>
        </w:tc>
        <w:tc>
          <w:tcPr>
            <w:cnfStyle w:val="000000000000"/>
            <w:tcW w:w="1718" w:type="dxa"/>
          </w:tcPr>
          <w:p w14:paraId="0000018B">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-7.505</w:t>
            </w:r>
          </w:p>
        </w:tc>
        <w:tc>
          <w:tcPr>
            <w:cnfStyle w:val="000000000000"/>
            <w:tcW w:w="1623" w:type="dxa"/>
          </w:tcPr>
          <w:p w14:paraId="0000018C">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316.37</w:t>
            </w:r>
          </w:p>
        </w:tc>
        <w:tc>
          <w:tcPr>
            <w:cnfStyle w:val="000000000000"/>
            <w:tcW w:w="1466" w:type="dxa"/>
          </w:tcPr>
          <w:p w14:paraId="0000018D">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5</w:t>
            </w:r>
          </w:p>
        </w:tc>
        <w:tc>
          <w:tcPr>
            <w:cnfStyle w:val="000000000000"/>
            <w:tcW w:w="1009" w:type="dxa"/>
          </w:tcPr>
          <w:p w14:paraId="0000018E">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w:t>
            </w:r>
          </w:p>
        </w:tc>
        <w:tc>
          <w:tcPr>
            <w:cnfStyle w:val="000000000000"/>
            <w:tcW w:w="1125" w:type="dxa"/>
          </w:tcPr>
          <w:p w14:paraId="0000018F">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1.46</w:t>
            </w:r>
          </w:p>
        </w:tc>
        <w:tc>
          <w:tcPr>
            <w:cnfStyle w:val="000000000000"/>
            <w:tcW w:w="1219" w:type="dxa"/>
          </w:tcPr>
          <w:p w14:paraId="00000190">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w:t>
            </w:r>
          </w:p>
        </w:tc>
        <w:tc>
          <w:tcPr>
            <w:cnfStyle w:val="000000000000"/>
            <w:tcW w:w="1219" w:type="dxa"/>
          </w:tcPr>
          <w:p w14:paraId="00000191">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w:t>
            </w:r>
          </w:p>
        </w:tc>
      </w:tr>
      <w:tr>
        <w:trPr>
          <w:trHeight w:val="1029" w:hRule="atLeast"/>
        </w:trPr>
        <w:tc>
          <w:tcPr>
            <w:cnfStyle w:val="001000000000"/>
            <w:tcW w:w="1238" w:type="dxa"/>
          </w:tcPr>
          <w:p w14:paraId="00000192">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444107</w:t>
            </w:r>
          </w:p>
        </w:tc>
        <w:tc>
          <w:tcPr>
            <w:cnfStyle w:val="000000000000"/>
            <w:tcW w:w="3593" w:type="dxa"/>
          </w:tcPr>
          <w:p w14:paraId="00000193">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PHENYL</w:t>
            </w:r>
          </w:p>
          <w:p w14:paraId="00000194">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[1-(N-SUCCINYLAMINO)</w:t>
            </w:r>
          </w:p>
          <w:p w14:paraId="00000195">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PENTYL]PHOSPHONATE</w:t>
            </w:r>
          </w:p>
        </w:tc>
        <w:tc>
          <w:tcPr>
            <w:cnfStyle w:val="000000000000"/>
            <w:tcW w:w="1718" w:type="dxa"/>
          </w:tcPr>
          <w:p w14:paraId="00000196">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-7.403</w:t>
            </w:r>
          </w:p>
        </w:tc>
        <w:tc>
          <w:tcPr>
            <w:cnfStyle w:val="000000000000"/>
            <w:tcW w:w="1623" w:type="dxa"/>
          </w:tcPr>
          <w:p w14:paraId="00000197">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343.31</w:t>
            </w:r>
          </w:p>
        </w:tc>
        <w:tc>
          <w:tcPr>
            <w:cnfStyle w:val="000000000000"/>
            <w:tcW w:w="1466" w:type="dxa"/>
          </w:tcPr>
          <w:p w14:paraId="00000198">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6</w:t>
            </w:r>
          </w:p>
        </w:tc>
        <w:tc>
          <w:tcPr>
            <w:cnfStyle w:val="000000000000"/>
            <w:tcW w:w="1009" w:type="dxa"/>
          </w:tcPr>
          <w:p w14:paraId="00000199">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3</w:t>
            </w:r>
          </w:p>
        </w:tc>
        <w:tc>
          <w:tcPr>
            <w:cnfStyle w:val="000000000000"/>
            <w:tcW w:w="1125" w:type="dxa"/>
          </w:tcPr>
          <w:p w14:paraId="0000019A">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1.2</w:t>
            </w:r>
          </w:p>
        </w:tc>
        <w:tc>
          <w:tcPr>
            <w:cnfStyle w:val="000000000000"/>
            <w:tcW w:w="1219" w:type="dxa"/>
          </w:tcPr>
          <w:p w14:paraId="0000019B">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w:t>
            </w:r>
          </w:p>
        </w:tc>
        <w:tc>
          <w:tcPr>
            <w:cnfStyle w:val="000000000000"/>
            <w:tcW w:w="1219" w:type="dxa"/>
          </w:tcPr>
          <w:p w14:paraId="0000019C">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w:t>
            </w:r>
          </w:p>
        </w:tc>
      </w:tr>
      <w:tr>
        <w:trPr>
          <w:trHeight w:val="647" w:hRule="atLeast"/>
        </w:trPr>
        <w:tc>
          <w:tcPr>
            <w:cnfStyle w:val="001000000000"/>
            <w:tcW w:w="1238" w:type="dxa"/>
          </w:tcPr>
          <w:p w14:paraId="0000019D">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444150</w:t>
            </w:r>
          </w:p>
        </w:tc>
        <w:tc>
          <w:tcPr>
            <w:cnfStyle w:val="000000000000"/>
            <w:tcW w:w="3593" w:type="dxa"/>
          </w:tcPr>
          <w:p w14:paraId="0000019E">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Indole-3-Glycerol Phosphate</w:t>
            </w:r>
          </w:p>
        </w:tc>
        <w:tc>
          <w:tcPr>
            <w:cnfStyle w:val="000000000000"/>
            <w:tcW w:w="1718" w:type="dxa"/>
          </w:tcPr>
          <w:p w14:paraId="0000019F">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-7.065</w:t>
            </w:r>
          </w:p>
        </w:tc>
        <w:tc>
          <w:tcPr>
            <w:cnfStyle w:val="000000000000"/>
            <w:tcW w:w="1623" w:type="dxa"/>
          </w:tcPr>
          <w:p w14:paraId="000001A0">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287.21</w:t>
            </w:r>
          </w:p>
        </w:tc>
        <w:tc>
          <w:tcPr>
            <w:cnfStyle w:val="000000000000"/>
            <w:tcW w:w="1466" w:type="dxa"/>
          </w:tcPr>
          <w:p w14:paraId="000001A1">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6</w:t>
            </w:r>
          </w:p>
        </w:tc>
        <w:tc>
          <w:tcPr>
            <w:cnfStyle w:val="000000000000"/>
            <w:tcW w:w="1009" w:type="dxa"/>
          </w:tcPr>
          <w:p w14:paraId="000001A2">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5</w:t>
            </w:r>
          </w:p>
        </w:tc>
        <w:tc>
          <w:tcPr>
            <w:cnfStyle w:val="000000000000"/>
            <w:tcW w:w="1125" w:type="dxa"/>
          </w:tcPr>
          <w:p w14:paraId="000001A3">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-1.08</w:t>
            </w:r>
          </w:p>
        </w:tc>
        <w:tc>
          <w:tcPr>
            <w:cnfStyle w:val="000000000000"/>
            <w:tcW w:w="1219" w:type="dxa"/>
          </w:tcPr>
          <w:p w14:paraId="000001A4">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w:t>
            </w:r>
          </w:p>
        </w:tc>
        <w:tc>
          <w:tcPr>
            <w:cnfStyle w:val="000000000000"/>
            <w:tcW w:w="1219" w:type="dxa"/>
          </w:tcPr>
          <w:p w14:paraId="000001A5">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0</w:t>
            </w:r>
          </w:p>
        </w:tc>
      </w:tr>
    </w:tbl>
    <w:p w14:paraId="000001A6">
      <w:pPr>
        <w:spacing w:before="0" w:after="0" w:line="240"/>
        <w:ind w:left="108" w:right="0"/>
        <w:jc w:val="both"/>
        <w:rPr>
          <w:rFonts w:ascii="Book Antiqua" w:cs="Book Antiqua" w:eastAsia="Book Antiqua" w:hAnsi="Book Antiqua"/>
          <w:b w:val="off"/>
          <w:bCs w:val="off"/>
          <w:i w:val="off"/>
          <w:iCs w:val="off"/>
          <w:sz w:val="22"/>
          <w:szCs w:val="22"/>
          <w:lang w:val="en-GB"/>
        </w:rPr>
      </w:pPr>
      <w:r>
        <w:rPr>
          <w:rFonts w:ascii="Book Antiqua" w:cs="Book Antiqua" w:eastAsia="Book Antiqua" w:hAnsi="Book Antiqua"/>
          <w:b/>
          <w:bCs/>
          <w:i w:val="off"/>
          <w:iCs w:val="off"/>
          <w:color w:val="0e0e0e"/>
          <w:sz w:val="22"/>
          <w:szCs w:val="22"/>
          <w:lang w:val="en-GB"/>
        </w:rPr>
        <w:t>Table  V</w:t>
      </w:r>
      <w:r>
        <w:rPr>
          <w:rFonts w:ascii="Book Antiqua" w:cs="Book Antiqua" w:eastAsia="Book Antiqua" w:hAnsi="Book Antiqua"/>
          <w:b/>
          <w:bCs/>
          <w:i w:val="off"/>
          <w:iCs w:val="off"/>
          <w:color w:val="0e0e0e"/>
          <w:sz w:val="22"/>
          <w:szCs w:val="22"/>
          <w:lang w:val="en-GB"/>
        </w:rPr>
        <w:t xml:space="preserve"> </w:t>
      </w:r>
      <w:r>
        <w:rPr>
          <w:rFonts w:ascii="Book Antiqua" w:cs="Book Antiqua" w:eastAsia="Book Antiqua" w:hAnsi="Book Antiqua"/>
          <w:b/>
          <w:bCs/>
          <w:i w:val="off"/>
          <w:iCs w:val="off"/>
          <w:color w:val="0e0e0e"/>
          <w:sz w:val="22"/>
          <w:szCs w:val="22"/>
          <w:lang w:val="en-GB"/>
        </w:rPr>
        <w:t xml:space="preserve"> </w:t>
      </w:r>
      <w:r>
        <w:rPr>
          <w:rFonts w:ascii="Book Antiqua" w:cs="Book Antiqua" w:eastAsia="Book Antiqua" w:hAnsi="Book Antiqua"/>
          <w:b w:val="off"/>
          <w:bCs w:val="off"/>
          <w:i w:val="off"/>
          <w:iCs w:val="off"/>
          <w:sz w:val="22"/>
          <w:szCs w:val="22"/>
          <w:lang w:val="en-GB"/>
        </w:rPr>
        <w:t xml:space="preserve">Drug-likeness evaluation and molecular docking scores for selected candidates. Physicochemical properties were assessed using Lipinski’s "Rule of Five" and Veber’s rules to determine oral bioavailability. Zero violations for most candidates </w:t>
      </w:r>
      <w:r>
        <w:rPr>
          <w:rFonts w:ascii="Book Antiqua" w:cs="Book Antiqua" w:eastAsia="Book Antiqua" w:hAnsi="Book Antiqua"/>
          <w:b w:val="off"/>
          <w:bCs w:val="off"/>
          <w:i w:val="off"/>
          <w:iCs w:val="off"/>
          <w:sz w:val="22"/>
          <w:szCs w:val="22"/>
          <w:lang w:val="en-GB"/>
        </w:rPr>
        <w:t>indicate</w:t>
      </w:r>
      <w:r>
        <w:rPr>
          <w:rFonts w:ascii="Book Antiqua" w:cs="Book Antiqua" w:eastAsia="Book Antiqua" w:hAnsi="Book Antiqua"/>
          <w:b w:val="off"/>
          <w:bCs w:val="off"/>
          <w:i w:val="off"/>
          <w:iCs w:val="off"/>
          <w:sz w:val="22"/>
          <w:szCs w:val="22"/>
          <w:lang w:val="en-GB"/>
        </w:rPr>
        <w:t xml:space="preserve"> high potential for favorable pharmacokinetic profiles.</w:t>
      </w:r>
    </w:p>
    <w:p w14:paraId="000001A7">
      <w:pPr>
        <w:spacing w:before="0" w:after="0" w:line="240" w:lineRule="auto"/>
        <w:ind w:left="108" w:right="0"/>
        <w:jc w:val="both"/>
        <w:rPr>
          <w:rFonts w:ascii="Book Antiqua" w:cs="Book Antiqua" w:eastAsia="Book Antiqua" w:hAnsi="Book Antiqua"/>
          <w:sz w:val="22"/>
          <w:szCs w:val="22"/>
        </w:rPr>
      </w:pPr>
    </w:p>
    <w:p w14:paraId="000001A8">
      <w:pPr>
        <w:spacing w:line="240"/>
        <w:rPr>
          <w:rFonts w:ascii="Book Antiqua" w:cs="Book Antiqua" w:eastAsia="Book Antiqua" w:hAnsi="Book Antiqua"/>
          <w:sz w:val="22"/>
          <w:szCs w:val="22"/>
        </w:rPr>
      </w:pPr>
    </w:p>
    <w:p w14:paraId="000001A9">
      <w:pPr>
        <w:pStyle w:val="Normal"/>
        <w:spacing w:before="0" w:after="0" w:line="240" w:lineRule="auto"/>
        <w:ind w:left="108" w:right="0"/>
        <w:jc w:val="both"/>
        <w:rPr>
          <w:rFonts w:ascii="Book Antiqua" w:cs="Book Antiqua" w:eastAsia="Book Antiqua" w:hAnsi="Book Antiqua"/>
          <w:b/>
          <w:bCs/>
          <w:i w:val="off"/>
          <w:iCs w:val="off"/>
          <w:color w:val="0e0e0e"/>
          <w:sz w:val="22"/>
          <w:szCs w:val="22"/>
          <w:lang w:val="en-GB"/>
        </w:rPr>
      </w:pPr>
    </w:p>
    <w:p w14:paraId="000001AA">
      <w:pPr>
        <w:pStyle w:val="Normal"/>
        <w:spacing w:before="0" w:after="0" w:line="240" w:lineRule="auto"/>
        <w:ind w:left="108" w:right="0"/>
        <w:jc w:val="both"/>
        <w:rPr>
          <w:rFonts w:ascii="Book Antiqua" w:cs="Book Antiqua" w:eastAsia="Book Antiqua" w:hAnsi="Book Antiqua"/>
          <w:b/>
          <w:bCs/>
          <w:i w:val="off"/>
          <w:iCs w:val="off"/>
          <w:sz w:val="22"/>
          <w:szCs w:val="22"/>
          <w:lang w:val="en-GB"/>
        </w:rPr>
      </w:pPr>
      <w:r>
        <w:rPr>
          <w:rFonts w:ascii="Book Antiqua" w:cs="Book Antiqua" w:eastAsia="Book Antiqua" w:hAnsi="Book Antiqua"/>
          <w:b/>
          <w:bCs/>
          <w:i w:val="off"/>
          <w:iCs w:val="off"/>
          <w:color w:val="0e0e0e"/>
          <w:sz w:val="22"/>
          <w:szCs w:val="22"/>
          <w:lang w:val="en-GB"/>
        </w:rPr>
        <w:t xml:space="preserve">Table  VI : </w:t>
      </w:r>
      <w:r>
        <w:rPr>
          <w:rFonts w:ascii="Book Antiqua" w:cs="Book Antiqua" w:eastAsia="Book Antiqua" w:hAnsi="Book Antiqua"/>
          <w:b/>
          <w:bCs/>
          <w:i w:val="off"/>
          <w:iCs w:val="off"/>
          <w:sz w:val="22"/>
          <w:szCs w:val="22"/>
          <w:lang w:val="en-GB"/>
        </w:rPr>
        <w:t>Predicted ADMET Profiles and Safety Assessment of Top-Ranked Drug Candidates.</w:t>
      </w:r>
    </w:p>
    <w:p w14:paraId="000001AB">
      <w:pPr>
        <w:pStyle w:val="Normal"/>
        <w:bidi w:val="off"/>
        <w:spacing w:before="0" w:after="150" w:line="240" w:lineRule="auto"/>
        <w:ind w:left="0" w:right="0"/>
        <w:jc w:val="both"/>
        <w:rPr>
          <w:rFonts w:ascii="Book Antiqua" w:cs="Book Antiqua" w:eastAsia="Book Antiqua" w:hAnsi="Book Antiqua"/>
          <w:b w:val="off"/>
          <w:bCs w:val="off"/>
          <w:i w:val="off"/>
          <w:iCs w:val="off"/>
          <w:sz w:val="22"/>
          <w:szCs w:val="22"/>
          <w:lang w:val="en-GB"/>
        </w:rPr>
      </w:pPr>
    </w:p>
    <w:tbl>
      <w:tblPr>
        <w:tblStyle w:val="LightShading"/>
        <w:tblW w:w="0" w:type="auto"/>
        <w:tblLook w:val="06A0"/>
      </w:tblPr>
      <w:tblGrid>
        <w:gridCol w:w="941"/>
        <w:gridCol w:w="3329"/>
        <w:gridCol w:w="1117"/>
        <w:gridCol w:w="1117"/>
        <w:gridCol w:w="1260"/>
        <w:gridCol w:w="962"/>
        <w:gridCol w:w="962"/>
        <w:gridCol w:w="1034"/>
        <w:gridCol w:w="962"/>
        <w:gridCol w:w="1446"/>
        <w:gridCol w:w="828"/>
      </w:tblGrid>
      <w:tr>
        <w:trPr>
          <w:trHeight w:val="727"/>
        </w:trPr>
        <w:tc>
          <w:tcPr>
            <w:cnfStyle w:val="101000000000"/>
            <w:tcW w:w="1069" w:type="dxa"/>
            <w:vMerge w:val="restart"/>
            <w:vAlign w:val="center"/>
          </w:tcPr>
          <w:p w14:paraId="000001AC">
            <w:pPr>
              <w:pStyle w:val="Normal"/>
              <w:spacing w:line="240" w:lineRule="auto"/>
              <w:jc w:val="center"/>
              <w:rPr>
                <w:rFonts w:ascii="Book Antiqua" w:cs="Book Antiqua" w:eastAsia="Book Antiqua" w:hAnsi="Book Antiqua"/>
                <w:b/>
                <w:bCs/>
                <w:i w:val="off"/>
                <w:iCs w:val="off"/>
                <w:sz w:val="20"/>
                <w:szCs w:val="20"/>
                <w:lang w:val="en-GB"/>
              </w:rPr>
            </w:pPr>
          </w:p>
          <w:p w14:paraId="000001AD">
            <w:pPr>
              <w:spacing w:before="0" w:after="0" w:line="240" w:lineRule="auto"/>
              <w:jc w:val="center"/>
              <w:rPr>
                <w:rFonts w:ascii="Book Antiqua" w:cs="Book Antiqua" w:eastAsia="Book Antiqua" w:hAnsi="Book Antiqua"/>
                <w:b/>
                <w:bCs/>
                <w:i w:val="off"/>
                <w:iCs w:val="off"/>
                <w:sz w:val="20"/>
                <w:szCs w:val="20"/>
              </w:rPr>
            </w:pPr>
            <w:r>
              <w:rPr>
                <w:rFonts w:ascii="Book Antiqua" w:cs="Book Antiqua" w:eastAsia="Book Antiqua" w:hAnsi="Book Antiqua"/>
                <w:b/>
                <w:bCs/>
                <w:i w:val="off"/>
                <w:iCs w:val="off"/>
                <w:sz w:val="20"/>
                <w:szCs w:val="20"/>
              </w:rPr>
              <w:t>Pub</w:t>
            </w:r>
          </w:p>
          <w:p w14:paraId="000001AE">
            <w:pPr>
              <w:spacing w:before="0" w:after="0" w:line="240" w:lineRule="auto"/>
              <w:jc w:val="center"/>
              <w:rPr>
                <w:rFonts w:ascii="Book Antiqua" w:cs="Book Antiqua" w:eastAsia="Book Antiqua" w:hAnsi="Book Antiqua"/>
                <w:b/>
                <w:bCs/>
                <w:i w:val="off"/>
                <w:iCs w:val="off"/>
                <w:sz w:val="20"/>
                <w:szCs w:val="20"/>
              </w:rPr>
            </w:pPr>
            <w:r>
              <w:rPr>
                <w:rFonts w:ascii="Book Antiqua" w:cs="Book Antiqua" w:eastAsia="Book Antiqua" w:hAnsi="Book Antiqua"/>
                <w:b/>
                <w:bCs/>
                <w:i w:val="off"/>
                <w:iCs w:val="off"/>
                <w:sz w:val="20"/>
                <w:szCs w:val="20"/>
              </w:rPr>
              <w:t>Chem CID</w:t>
            </w:r>
          </w:p>
        </w:tc>
        <w:tc>
          <w:tcPr>
            <w:cnfStyle w:val="100000000000"/>
            <w:tcW w:w="3529" w:type="dxa"/>
            <w:vMerge w:val="restart"/>
            <w:vAlign w:val="center"/>
          </w:tcPr>
          <w:p w14:paraId="000001AF">
            <w:pPr>
              <w:pStyle w:val="Normal"/>
              <w:spacing w:line="240" w:lineRule="auto"/>
              <w:jc w:val="center"/>
              <w:rPr>
                <w:rFonts w:ascii="Book Antiqua" w:cs="Book Antiqua" w:eastAsia="Book Antiqua" w:hAnsi="Book Antiqua"/>
                <w:b/>
                <w:bCs/>
                <w:i w:val="off"/>
                <w:iCs w:val="off"/>
                <w:sz w:val="20"/>
                <w:szCs w:val="20"/>
                <w:lang w:val="en-GB"/>
              </w:rPr>
            </w:pPr>
          </w:p>
          <w:p w14:paraId="000001B0">
            <w:pPr>
              <w:spacing w:before="0" w:after="0" w:line="240" w:lineRule="auto"/>
              <w:jc w:val="center"/>
              <w:rPr>
                <w:rFonts w:ascii="Book Antiqua" w:cs="Book Antiqua" w:eastAsia="Book Antiqua" w:hAnsi="Book Antiqua"/>
                <w:b/>
                <w:bCs/>
                <w:i w:val="off"/>
                <w:iCs w:val="off"/>
                <w:sz w:val="20"/>
                <w:szCs w:val="20"/>
              </w:rPr>
            </w:pPr>
            <w:r>
              <w:rPr>
                <w:rFonts w:ascii="Book Antiqua" w:cs="Book Antiqua" w:eastAsia="Book Antiqua" w:hAnsi="Book Antiqua"/>
                <w:b/>
                <w:bCs/>
                <w:i w:val="off"/>
                <w:iCs w:val="off"/>
                <w:sz w:val="20"/>
                <w:szCs w:val="20"/>
              </w:rPr>
              <w:t xml:space="preserve">Drug </w:t>
            </w:r>
          </w:p>
          <w:p w14:paraId="000001B1">
            <w:pPr>
              <w:spacing w:before="0" w:after="0" w:line="240" w:lineRule="auto"/>
              <w:jc w:val="center"/>
              <w:rPr>
                <w:rFonts w:ascii="Book Antiqua" w:cs="Book Antiqua" w:eastAsia="Book Antiqua" w:hAnsi="Book Antiqua"/>
                <w:b/>
                <w:bCs/>
                <w:i w:val="off"/>
                <w:iCs w:val="off"/>
                <w:sz w:val="20"/>
                <w:szCs w:val="20"/>
              </w:rPr>
            </w:pPr>
            <w:r>
              <w:rPr>
                <w:rFonts w:ascii="Book Antiqua" w:cs="Book Antiqua" w:eastAsia="Book Antiqua" w:hAnsi="Book Antiqua"/>
                <w:b/>
                <w:bCs/>
                <w:i w:val="off"/>
                <w:iCs w:val="off"/>
                <w:sz w:val="20"/>
                <w:szCs w:val="20"/>
              </w:rPr>
              <w:t>Candidates</w:t>
            </w:r>
          </w:p>
        </w:tc>
        <w:tc>
          <w:tcPr>
            <w:cnfStyle w:val="100000000000"/>
            <w:tcW w:w="2423" w:type="dxa"/>
            <w:gridSpan w:val="2"/>
            <w:vAlign w:val="center"/>
          </w:tcPr>
          <w:p w14:paraId="000001B2">
            <w:pPr>
              <w:spacing w:before="0" w:after="150" w:line="240" w:lineRule="auto"/>
              <w:jc w:val="center"/>
              <w:rPr>
                <w:rFonts w:ascii="Book Antiqua" w:cs="Book Antiqua" w:eastAsia="Book Antiqua" w:hAnsi="Book Antiqua"/>
                <w:b/>
                <w:bCs/>
                <w:i w:val="off"/>
                <w:iCs w:val="off"/>
                <w:sz w:val="20"/>
                <w:szCs w:val="20"/>
                <w:lang w:val="en-GB"/>
              </w:rPr>
            </w:pPr>
            <w:r>
              <w:rPr>
                <w:rFonts w:ascii="Book Antiqua" w:cs="Book Antiqua" w:eastAsia="Book Antiqua" w:hAnsi="Book Antiqua"/>
                <w:b/>
                <w:bCs/>
                <w:i w:val="off"/>
                <w:iCs w:val="off"/>
                <w:sz w:val="20"/>
                <w:szCs w:val="20"/>
                <w:lang w:val="en-GB"/>
              </w:rPr>
              <w:t>Absorption</w:t>
            </w:r>
          </w:p>
        </w:tc>
        <w:tc>
          <w:tcPr>
            <w:cnfStyle w:val="100000000000"/>
            <w:tcW w:w="1427" w:type="dxa"/>
            <w:vAlign w:val="center"/>
          </w:tcPr>
          <w:p w14:paraId="000001B3">
            <w:pPr>
              <w:spacing w:before="0" w:after="150" w:line="240" w:lineRule="auto"/>
              <w:jc w:val="center"/>
              <w:rPr>
                <w:rFonts w:ascii="Book Antiqua" w:cs="Book Antiqua" w:eastAsia="Book Antiqua" w:hAnsi="Book Antiqua"/>
                <w:b/>
                <w:bCs/>
                <w:i w:val="off"/>
                <w:iCs w:val="off"/>
                <w:sz w:val="20"/>
                <w:szCs w:val="20"/>
                <w:lang w:val="en-GB"/>
              </w:rPr>
            </w:pPr>
            <w:r>
              <w:rPr>
                <w:rFonts w:ascii="Book Antiqua" w:cs="Book Antiqua" w:eastAsia="Book Antiqua" w:hAnsi="Book Antiqua"/>
                <w:b/>
                <w:bCs/>
                <w:i w:val="off"/>
                <w:iCs w:val="off"/>
                <w:sz w:val="20"/>
                <w:szCs w:val="20"/>
                <w:lang w:val="en-GB"/>
              </w:rPr>
              <w:t>Distribution</w:t>
            </w:r>
          </w:p>
        </w:tc>
        <w:tc>
          <w:tcPr>
            <w:cnfStyle w:val="100000000000"/>
            <w:tcW w:w="2185" w:type="dxa"/>
            <w:gridSpan w:val="2"/>
            <w:vAlign w:val="center"/>
          </w:tcPr>
          <w:p w14:paraId="000001B4">
            <w:pPr>
              <w:spacing w:before="0" w:after="150" w:line="240" w:lineRule="auto"/>
              <w:jc w:val="center"/>
              <w:rPr>
                <w:rFonts w:ascii="Book Antiqua" w:cs="Book Antiqua" w:eastAsia="Book Antiqua" w:hAnsi="Book Antiqua"/>
                <w:b/>
                <w:bCs/>
                <w:i w:val="off"/>
                <w:iCs w:val="off"/>
                <w:sz w:val="20"/>
                <w:szCs w:val="20"/>
                <w:lang w:val="en-GB"/>
              </w:rPr>
            </w:pPr>
            <w:r>
              <w:rPr>
                <w:rFonts w:ascii="Book Antiqua" w:cs="Book Antiqua" w:eastAsia="Book Antiqua" w:hAnsi="Book Antiqua"/>
                <w:b/>
                <w:bCs/>
                <w:i w:val="off"/>
                <w:iCs w:val="off"/>
                <w:sz w:val="20"/>
                <w:szCs w:val="20"/>
                <w:lang w:val="en-GB"/>
              </w:rPr>
              <w:t>Metabolism</w:t>
            </w:r>
          </w:p>
          <w:p w14:paraId="000001B5">
            <w:pPr>
              <w:pStyle w:val="Normal"/>
              <w:spacing w:line="240" w:lineRule="auto"/>
              <w:jc w:val="center"/>
              <w:rPr>
                <w:rFonts w:ascii="Book Antiqua" w:cs="Book Antiqua" w:eastAsia="Book Antiqua" w:hAnsi="Book Antiqua"/>
                <w:b/>
                <w:bCs/>
                <w:i w:val="off"/>
                <w:iCs w:val="off"/>
                <w:sz w:val="20"/>
                <w:szCs w:val="20"/>
                <w:lang w:val="en-GB"/>
              </w:rPr>
            </w:pPr>
          </w:p>
        </w:tc>
        <w:tc>
          <w:tcPr>
            <w:cnfStyle w:val="100000000000"/>
            <w:tcW w:w="1131" w:type="dxa"/>
            <w:vAlign w:val="center"/>
          </w:tcPr>
          <w:p w14:paraId="000001B6">
            <w:pPr>
              <w:spacing w:before="0" w:after="150" w:line="240" w:lineRule="auto"/>
              <w:jc w:val="center"/>
              <w:rPr>
                <w:rFonts w:ascii="Book Antiqua" w:cs="Book Antiqua" w:eastAsia="Book Antiqua" w:hAnsi="Book Antiqua"/>
                <w:b/>
                <w:bCs/>
                <w:i w:val="off"/>
                <w:iCs w:val="off"/>
                <w:sz w:val="20"/>
                <w:szCs w:val="20"/>
                <w:lang w:val="en-GB"/>
              </w:rPr>
            </w:pPr>
            <w:r>
              <w:rPr>
                <w:rFonts w:ascii="Book Antiqua" w:cs="Book Antiqua" w:eastAsia="Book Antiqua" w:hAnsi="Book Antiqua"/>
                <w:b/>
                <w:bCs/>
                <w:i w:val="off"/>
                <w:iCs w:val="off"/>
                <w:sz w:val="20"/>
                <w:szCs w:val="20"/>
                <w:lang w:val="en-GB"/>
              </w:rPr>
              <w:t>Excretion</w:t>
            </w:r>
          </w:p>
        </w:tc>
        <w:tc>
          <w:tcPr>
            <w:cnfStyle w:val="100000000000"/>
            <w:tcW w:w="3366" w:type="dxa"/>
            <w:gridSpan w:val="3"/>
            <w:vAlign w:val="center"/>
          </w:tcPr>
          <w:p w14:paraId="000001B7">
            <w:pPr>
              <w:spacing w:before="0" w:after="150" w:line="240" w:lineRule="auto"/>
              <w:jc w:val="center"/>
              <w:rPr>
                <w:rFonts w:ascii="Book Antiqua" w:cs="Book Antiqua" w:eastAsia="Book Antiqua" w:hAnsi="Book Antiqua"/>
                <w:b/>
                <w:bCs/>
                <w:i w:val="off"/>
                <w:iCs w:val="off"/>
                <w:sz w:val="20"/>
                <w:szCs w:val="20"/>
                <w:lang w:val="en-GB"/>
              </w:rPr>
            </w:pPr>
            <w:r>
              <w:rPr>
                <w:rFonts w:ascii="Book Antiqua" w:cs="Book Antiqua" w:eastAsia="Book Antiqua" w:hAnsi="Book Antiqua"/>
                <w:b/>
                <w:bCs/>
                <w:i w:val="off"/>
                <w:iCs w:val="off"/>
                <w:sz w:val="20"/>
                <w:szCs w:val="20"/>
                <w:lang w:val="en-GB"/>
              </w:rPr>
              <w:t>Toxicity</w:t>
            </w:r>
          </w:p>
        </w:tc>
      </w:tr>
      <w:tr>
        <w:trPr>
          <w:trHeight w:val="865"/>
        </w:trPr>
        <w:tc>
          <w:tcPr>
            <w:cnfStyle w:val="001000000000"/>
            <w:tcW w:w="1069" w:type="dxa"/>
            <w:vMerge w:val="continue"/>
          </w:tcPr>
          <w:p w14:paraId="000001B8"/>
        </w:tc>
        <w:tc>
          <w:tcPr>
            <w:cnfStyle w:val="000000000000"/>
            <w:tcW w:w="3529" w:type="dxa"/>
            <w:vMerge w:val="continue"/>
          </w:tcPr>
          <w:p w14:paraId="000001B9"/>
        </w:tc>
        <w:tc>
          <w:tcPr>
            <w:cnfStyle w:val="000000000000"/>
            <w:tcW w:w="1221" w:type="dxa"/>
            <w:vAlign w:val="center"/>
          </w:tcPr>
          <w:p w14:paraId="000001BA">
            <w:pPr>
              <w:spacing w:before="0" w:after="0" w:line="240" w:lineRule="auto"/>
              <w:jc w:val="center"/>
              <w:rPr>
                <w:rFonts w:ascii="Book Antiqua" w:cs="Book Antiqua" w:eastAsia="Book Antiqua" w:hAnsi="Book Antiqua"/>
                <w:b/>
                <w:bCs/>
                <w:i w:val="off"/>
                <w:iCs w:val="off"/>
                <w:sz w:val="20"/>
                <w:szCs w:val="20"/>
              </w:rPr>
            </w:pPr>
            <w:r>
              <w:rPr>
                <w:rFonts w:ascii="Book Antiqua" w:cs="Book Antiqua" w:eastAsia="Book Antiqua" w:hAnsi="Book Antiqua"/>
                <w:b/>
                <w:bCs/>
                <w:i w:val="off"/>
                <w:iCs w:val="off"/>
                <w:sz w:val="20"/>
                <w:szCs w:val="20"/>
              </w:rPr>
              <w:t>GI absorption</w:t>
            </w:r>
          </w:p>
        </w:tc>
        <w:tc>
          <w:tcPr>
            <w:cnfStyle w:val="000000000000"/>
            <w:tcW w:w="1202" w:type="dxa"/>
            <w:vAlign w:val="center"/>
          </w:tcPr>
          <w:p w14:paraId="000001BB">
            <w:pPr>
              <w:spacing w:before="0" w:after="0" w:line="240" w:lineRule="auto"/>
              <w:jc w:val="center"/>
              <w:rPr>
                <w:rFonts w:ascii="Book Antiqua" w:cs="Book Antiqua" w:eastAsia="Book Antiqua" w:hAnsi="Book Antiqua"/>
                <w:b/>
                <w:bCs/>
                <w:i w:val="off"/>
                <w:iCs w:val="off"/>
                <w:sz w:val="20"/>
                <w:szCs w:val="20"/>
              </w:rPr>
            </w:pPr>
            <w:r>
              <w:rPr>
                <w:rFonts w:ascii="Book Antiqua" w:cs="Book Antiqua" w:eastAsia="Book Antiqua" w:hAnsi="Book Antiqua"/>
                <w:b/>
                <w:bCs/>
                <w:i w:val="off"/>
                <w:iCs w:val="off"/>
                <w:sz w:val="20"/>
                <w:szCs w:val="20"/>
              </w:rPr>
              <w:t>Intestinal absorption (human)</w:t>
            </w:r>
          </w:p>
          <w:p w14:paraId="000001BC">
            <w:pPr>
              <w:spacing w:before="0" w:after="0" w:line="240" w:lineRule="auto"/>
              <w:jc w:val="center"/>
              <w:rPr>
                <w:rFonts w:ascii="Book Antiqua" w:cs="Book Antiqua" w:eastAsia="Book Antiqua" w:hAnsi="Book Antiqua"/>
                <w:b/>
                <w:bCs/>
                <w:i w:val="off"/>
                <w:iCs w:val="off"/>
                <w:sz w:val="20"/>
                <w:szCs w:val="20"/>
              </w:rPr>
            </w:pPr>
            <w:r>
              <w:rPr>
                <w:rFonts w:ascii="Book Antiqua" w:cs="Book Antiqua" w:eastAsia="Book Antiqua" w:hAnsi="Book Antiqua"/>
                <w:b/>
                <w:bCs/>
                <w:i w:val="off"/>
                <w:iCs w:val="off"/>
                <w:sz w:val="20"/>
                <w:szCs w:val="20"/>
              </w:rPr>
              <w:t>(%)</w:t>
            </w:r>
          </w:p>
        </w:tc>
        <w:tc>
          <w:tcPr>
            <w:cnfStyle w:val="000000000000"/>
            <w:tcW w:w="1427" w:type="dxa"/>
            <w:vAlign w:val="center"/>
          </w:tcPr>
          <w:p w14:paraId="000001BD">
            <w:pPr>
              <w:spacing w:before="0" w:after="0" w:line="240" w:lineRule="auto"/>
              <w:jc w:val="center"/>
              <w:rPr>
                <w:rFonts w:ascii="Book Antiqua" w:cs="Book Antiqua" w:eastAsia="Book Antiqua" w:hAnsi="Book Antiqua"/>
                <w:b/>
                <w:bCs/>
                <w:i w:val="off"/>
                <w:iCs w:val="off"/>
                <w:sz w:val="20"/>
                <w:szCs w:val="20"/>
              </w:rPr>
            </w:pPr>
            <w:r>
              <w:rPr>
                <w:rFonts w:ascii="Book Antiqua" w:cs="Book Antiqua" w:eastAsia="Book Antiqua" w:hAnsi="Book Antiqua"/>
                <w:b/>
                <w:bCs/>
                <w:i w:val="off"/>
                <w:iCs w:val="off"/>
                <w:sz w:val="20"/>
                <w:szCs w:val="20"/>
              </w:rPr>
              <w:t>BBB permeant</w:t>
            </w:r>
          </w:p>
        </w:tc>
        <w:tc>
          <w:tcPr>
            <w:cnfStyle w:val="000000000000"/>
            <w:tcW w:w="1107" w:type="dxa"/>
            <w:vAlign w:val="center"/>
          </w:tcPr>
          <w:p w14:paraId="000001BE">
            <w:pPr>
              <w:spacing w:before="0" w:after="0" w:line="240" w:lineRule="auto"/>
              <w:jc w:val="center"/>
              <w:rPr>
                <w:rFonts w:ascii="Book Antiqua" w:cs="Book Antiqua" w:eastAsia="Book Antiqua" w:hAnsi="Book Antiqua"/>
                <w:b/>
                <w:bCs/>
                <w:i w:val="off"/>
                <w:iCs w:val="off"/>
                <w:sz w:val="20"/>
                <w:szCs w:val="20"/>
              </w:rPr>
            </w:pPr>
            <w:r>
              <w:rPr>
                <w:rFonts w:ascii="Book Antiqua" w:cs="Book Antiqua" w:eastAsia="Book Antiqua" w:hAnsi="Book Antiqua"/>
                <w:b/>
                <w:bCs/>
                <w:i w:val="off"/>
                <w:iCs w:val="off"/>
                <w:sz w:val="20"/>
                <w:szCs w:val="20"/>
              </w:rPr>
              <w:t>CYP2D6 inhibitor</w:t>
            </w:r>
          </w:p>
        </w:tc>
        <w:tc>
          <w:tcPr>
            <w:cnfStyle w:val="000000000000"/>
            <w:tcW w:w="1078" w:type="dxa"/>
            <w:vAlign w:val="center"/>
          </w:tcPr>
          <w:p w14:paraId="000001BF">
            <w:pPr>
              <w:spacing w:before="0" w:after="0" w:line="240" w:lineRule="auto"/>
              <w:jc w:val="center"/>
              <w:rPr>
                <w:rFonts w:ascii="Book Antiqua" w:cs="Book Antiqua" w:eastAsia="Book Antiqua" w:hAnsi="Book Antiqua"/>
                <w:b/>
                <w:bCs/>
                <w:i w:val="off"/>
                <w:iCs w:val="off"/>
                <w:sz w:val="20"/>
                <w:szCs w:val="20"/>
              </w:rPr>
            </w:pPr>
            <w:r>
              <w:rPr>
                <w:rFonts w:ascii="Book Antiqua" w:cs="Book Antiqua" w:eastAsia="Book Antiqua" w:hAnsi="Book Antiqua"/>
                <w:b/>
                <w:bCs/>
                <w:i w:val="off"/>
                <w:iCs w:val="off"/>
                <w:sz w:val="20"/>
                <w:szCs w:val="20"/>
              </w:rPr>
              <w:t>CYP3A4 inhibitor</w:t>
            </w:r>
          </w:p>
        </w:tc>
        <w:tc>
          <w:tcPr>
            <w:cnfStyle w:val="000000000000"/>
            <w:tcW w:w="1131" w:type="dxa"/>
            <w:vAlign w:val="center"/>
          </w:tcPr>
          <w:p w14:paraId="000001C0">
            <w:pPr>
              <w:spacing w:before="0" w:after="0" w:line="240" w:lineRule="auto"/>
              <w:jc w:val="center"/>
              <w:rPr>
                <w:rFonts w:ascii="Book Antiqua" w:cs="Book Antiqua" w:eastAsia="Book Antiqua" w:hAnsi="Book Antiqua"/>
                <w:b/>
                <w:bCs/>
                <w:i w:val="off"/>
                <w:iCs w:val="off"/>
                <w:sz w:val="20"/>
                <w:szCs w:val="20"/>
              </w:rPr>
            </w:pPr>
            <w:r>
              <w:rPr>
                <w:rFonts w:ascii="Book Antiqua" w:cs="Book Antiqua" w:eastAsia="Book Antiqua" w:hAnsi="Book Antiqua"/>
                <w:b/>
                <w:bCs/>
                <w:i w:val="off"/>
                <w:iCs w:val="off"/>
                <w:sz w:val="20"/>
                <w:szCs w:val="20"/>
              </w:rPr>
              <w:t>Total Clearance</w:t>
            </w:r>
          </w:p>
        </w:tc>
        <w:tc>
          <w:tcPr>
            <w:cnfStyle w:val="000000000000"/>
            <w:tcW w:w="1080" w:type="dxa"/>
            <w:vAlign w:val="center"/>
          </w:tcPr>
          <w:p w14:paraId="000001C1">
            <w:pPr>
              <w:spacing w:before="0" w:after="0" w:line="240" w:lineRule="auto"/>
              <w:jc w:val="center"/>
              <w:rPr>
                <w:rFonts w:ascii="Book Antiqua" w:cs="Book Antiqua" w:eastAsia="Book Antiqua" w:hAnsi="Book Antiqua"/>
                <w:b/>
                <w:bCs/>
                <w:i w:val="off"/>
                <w:iCs w:val="off"/>
                <w:sz w:val="20"/>
                <w:szCs w:val="20"/>
              </w:rPr>
            </w:pPr>
            <w:r>
              <w:rPr>
                <w:rFonts w:ascii="Book Antiqua" w:cs="Book Antiqua" w:eastAsia="Book Antiqua" w:hAnsi="Book Antiqua"/>
                <w:b/>
                <w:bCs/>
                <w:i w:val="off"/>
                <w:iCs w:val="off"/>
                <w:sz w:val="20"/>
                <w:szCs w:val="20"/>
              </w:rPr>
              <w:t>hERG I inhibitor</w:t>
            </w:r>
          </w:p>
        </w:tc>
        <w:tc>
          <w:tcPr>
            <w:cnfStyle w:val="000000000000"/>
            <w:tcW w:w="1249" w:type="dxa"/>
            <w:vAlign w:val="center"/>
          </w:tcPr>
          <w:p w14:paraId="000001C2">
            <w:pPr>
              <w:spacing w:before="0" w:after="0" w:line="240" w:lineRule="auto"/>
              <w:jc w:val="center"/>
              <w:rPr>
                <w:rFonts w:ascii="Book Antiqua" w:cs="Book Antiqua" w:eastAsia="Book Antiqua" w:hAnsi="Book Antiqua"/>
                <w:b/>
                <w:bCs/>
                <w:i w:val="off"/>
                <w:iCs w:val="off"/>
                <w:sz w:val="20"/>
                <w:szCs w:val="20"/>
              </w:rPr>
            </w:pPr>
            <w:r>
              <w:rPr>
                <w:rFonts w:ascii="Book Antiqua" w:cs="Book Antiqua" w:eastAsia="Book Antiqua" w:hAnsi="Book Antiqua"/>
                <w:b/>
                <w:bCs/>
                <w:i w:val="off"/>
                <w:iCs w:val="off"/>
                <w:sz w:val="20"/>
                <w:szCs w:val="20"/>
              </w:rPr>
              <w:t>Hepatotoxicity</w:t>
            </w:r>
          </w:p>
        </w:tc>
        <w:tc>
          <w:tcPr>
            <w:cnfStyle w:val="000000000000"/>
            <w:tcW w:w="1037" w:type="dxa"/>
            <w:vAlign w:val="center"/>
          </w:tcPr>
          <w:p w14:paraId="000001C3">
            <w:pPr>
              <w:spacing w:before="0" w:after="0" w:line="240" w:lineRule="auto"/>
              <w:jc w:val="center"/>
              <w:rPr>
                <w:rFonts w:ascii="Book Antiqua" w:cs="Book Antiqua" w:eastAsia="Book Antiqua" w:hAnsi="Book Antiqua"/>
                <w:b/>
                <w:bCs/>
                <w:i w:val="off"/>
                <w:iCs w:val="off"/>
                <w:sz w:val="20"/>
                <w:szCs w:val="20"/>
              </w:rPr>
            </w:pPr>
            <w:r>
              <w:rPr>
                <w:rFonts w:ascii="Book Antiqua" w:cs="Book Antiqua" w:eastAsia="Book Antiqua" w:hAnsi="Book Antiqua"/>
                <w:b/>
                <w:bCs/>
                <w:i w:val="off"/>
                <w:iCs w:val="off"/>
                <w:sz w:val="20"/>
                <w:szCs w:val="20"/>
              </w:rPr>
              <w:t>AMES toxicity</w:t>
            </w:r>
          </w:p>
        </w:tc>
      </w:tr>
      <w:tr>
        <w:trPr>
          <w:trHeight w:val="1191"/>
        </w:trPr>
        <w:tc>
          <w:tcPr>
            <w:cnfStyle w:val="001000000000"/>
            <w:tcW w:w="1069" w:type="dxa"/>
            <w:vAlign w:val="center"/>
          </w:tcPr>
          <w:p w14:paraId="000001C4">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46937086</w:t>
            </w:r>
          </w:p>
        </w:tc>
        <w:tc>
          <w:tcPr>
            <w:cnfStyle w:val="000000000000"/>
            <w:tcW w:w="3529" w:type="dxa"/>
            <w:vAlign w:val="center"/>
          </w:tcPr>
          <w:p w14:paraId="000001C5">
            <w:pPr>
              <w:spacing w:before="0" w:after="0" w:line="240" w:lineRule="auto"/>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1-[2-DEOXYRIBOFURANOSYL]</w:t>
            </w:r>
          </w:p>
          <w:p w14:paraId="000001C6">
            <w:pPr>
              <w:spacing w:before="0" w:after="0" w:line="240" w:lineRule="auto"/>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-2,4-</w:t>
            </w:r>
            <w:r>
              <w:rPr>
                <w:rFonts w:ascii="Book Antiqua" w:cs="Book Antiqua" w:eastAsia="Book Antiqua" w:hAnsi="Book Antiqua"/>
                <w:b w:val="off"/>
                <w:bCs w:val="off"/>
                <w:i w:val="off"/>
                <w:iCs w:val="off"/>
                <w:sz w:val="22"/>
                <w:szCs w:val="22"/>
              </w:rPr>
              <w:t>DIFLUORO</w:t>
            </w:r>
            <w:r>
              <w:rPr>
                <w:rFonts w:ascii="Book Antiqua" w:cs="Book Antiqua" w:eastAsia="Book Antiqua" w:hAnsi="Book Antiqua"/>
                <w:b w:val="off"/>
                <w:bCs w:val="off"/>
                <w:i w:val="off"/>
                <w:iCs w:val="off"/>
                <w:sz w:val="22"/>
                <w:szCs w:val="22"/>
              </w:rPr>
              <w:t>-5-METHYL-</w:t>
            </w:r>
          </w:p>
          <w:p w14:paraId="000001C7">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2"/>
                <w:szCs w:val="22"/>
              </w:rPr>
              <w:t>BENZENE-5'MONOPHOSPHATE</w:t>
            </w:r>
          </w:p>
        </w:tc>
        <w:tc>
          <w:tcPr>
            <w:cnfStyle w:val="000000000000"/>
            <w:tcW w:w="1221" w:type="dxa"/>
            <w:vAlign w:val="center"/>
          </w:tcPr>
          <w:p w14:paraId="000001C8">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High</w:t>
            </w:r>
          </w:p>
        </w:tc>
        <w:tc>
          <w:tcPr>
            <w:cnfStyle w:val="000000000000"/>
            <w:tcW w:w="1202" w:type="dxa"/>
            <w:vAlign w:val="center"/>
          </w:tcPr>
          <w:p w14:paraId="000001C9">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62.58</w:t>
            </w:r>
          </w:p>
        </w:tc>
        <w:tc>
          <w:tcPr>
            <w:cnfStyle w:val="000000000000"/>
            <w:tcW w:w="1427" w:type="dxa"/>
            <w:vAlign w:val="center"/>
          </w:tcPr>
          <w:p w14:paraId="000001CA">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No</w:t>
            </w:r>
          </w:p>
        </w:tc>
        <w:tc>
          <w:tcPr>
            <w:cnfStyle w:val="000000000000"/>
            <w:tcW w:w="1107" w:type="dxa"/>
            <w:vAlign w:val="center"/>
          </w:tcPr>
          <w:p w14:paraId="000001CB">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No</w:t>
            </w:r>
          </w:p>
        </w:tc>
        <w:tc>
          <w:tcPr>
            <w:cnfStyle w:val="000000000000"/>
            <w:tcW w:w="1078" w:type="dxa"/>
            <w:vAlign w:val="center"/>
          </w:tcPr>
          <w:p w14:paraId="000001CC">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No</w:t>
            </w:r>
          </w:p>
        </w:tc>
        <w:tc>
          <w:tcPr>
            <w:cnfStyle w:val="000000000000"/>
            <w:tcW w:w="1131" w:type="dxa"/>
            <w:vAlign w:val="center"/>
          </w:tcPr>
          <w:p w14:paraId="000001CD">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0.305</w:t>
            </w:r>
          </w:p>
        </w:tc>
        <w:tc>
          <w:tcPr>
            <w:cnfStyle w:val="000000000000"/>
            <w:tcW w:w="1080" w:type="dxa"/>
            <w:vAlign w:val="center"/>
          </w:tcPr>
          <w:p w14:paraId="000001CE">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No</w:t>
            </w:r>
          </w:p>
        </w:tc>
        <w:tc>
          <w:tcPr>
            <w:cnfStyle w:val="000000000000"/>
            <w:tcW w:w="1249" w:type="dxa"/>
            <w:vAlign w:val="center"/>
          </w:tcPr>
          <w:p w14:paraId="000001CF">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No</w:t>
            </w:r>
          </w:p>
        </w:tc>
        <w:tc>
          <w:tcPr>
            <w:cnfStyle w:val="000000000000"/>
            <w:tcW w:w="1037" w:type="dxa"/>
            <w:vAlign w:val="center"/>
          </w:tcPr>
          <w:p w14:paraId="000001D0">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No</w:t>
            </w:r>
          </w:p>
        </w:tc>
      </w:tr>
      <w:tr>
        <w:trPr>
          <w:trHeight w:val="650"/>
        </w:trPr>
        <w:tc>
          <w:tcPr>
            <w:cnfStyle w:val="001000000000"/>
            <w:tcW w:w="1069" w:type="dxa"/>
            <w:vAlign w:val="center"/>
          </w:tcPr>
          <w:p w14:paraId="000001D1">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134018</w:t>
            </w:r>
          </w:p>
        </w:tc>
        <w:tc>
          <w:tcPr>
            <w:cnfStyle w:val="000000000000"/>
            <w:tcW w:w="3529" w:type="dxa"/>
            <w:vAlign w:val="center"/>
          </w:tcPr>
          <w:p w14:paraId="000001D2">
            <w:pPr>
              <w:pStyle w:val="Normal"/>
              <w:bidi w:val="off"/>
              <w:spacing w:before="0" w:after="0" w:line="240" w:lineRule="auto"/>
              <w:ind w:left="0" w:right="0"/>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2"/>
                <w:szCs w:val="22"/>
              </w:rPr>
              <w:t>FABUXOSTAT</w:t>
            </w:r>
          </w:p>
        </w:tc>
        <w:tc>
          <w:tcPr>
            <w:cnfStyle w:val="000000000000"/>
            <w:tcW w:w="1221" w:type="dxa"/>
            <w:vAlign w:val="center"/>
          </w:tcPr>
          <w:p w14:paraId="000001D3">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High</w:t>
            </w:r>
          </w:p>
        </w:tc>
        <w:tc>
          <w:tcPr>
            <w:cnfStyle w:val="000000000000"/>
            <w:tcW w:w="1202" w:type="dxa"/>
            <w:vAlign w:val="center"/>
          </w:tcPr>
          <w:p w14:paraId="000001D4">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94.132</w:t>
            </w:r>
          </w:p>
        </w:tc>
        <w:tc>
          <w:tcPr>
            <w:cnfStyle w:val="000000000000"/>
            <w:tcW w:w="1427" w:type="dxa"/>
            <w:vAlign w:val="center"/>
          </w:tcPr>
          <w:p w14:paraId="000001D5">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No</w:t>
            </w:r>
          </w:p>
        </w:tc>
        <w:tc>
          <w:tcPr>
            <w:cnfStyle w:val="000000000000"/>
            <w:tcW w:w="1107" w:type="dxa"/>
            <w:vAlign w:val="center"/>
          </w:tcPr>
          <w:p w14:paraId="000001D6">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No</w:t>
            </w:r>
          </w:p>
        </w:tc>
        <w:tc>
          <w:tcPr>
            <w:cnfStyle w:val="000000000000"/>
            <w:tcW w:w="1078" w:type="dxa"/>
            <w:vAlign w:val="center"/>
          </w:tcPr>
          <w:p w14:paraId="000001D7">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No</w:t>
            </w:r>
          </w:p>
        </w:tc>
        <w:tc>
          <w:tcPr>
            <w:cnfStyle w:val="000000000000"/>
            <w:tcW w:w="1131" w:type="dxa"/>
            <w:vAlign w:val="center"/>
          </w:tcPr>
          <w:p w14:paraId="000001D8">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0.303</w:t>
            </w:r>
          </w:p>
        </w:tc>
        <w:tc>
          <w:tcPr>
            <w:cnfStyle w:val="000000000000"/>
            <w:tcW w:w="1080" w:type="dxa"/>
            <w:vAlign w:val="center"/>
          </w:tcPr>
          <w:p w14:paraId="000001D9">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No</w:t>
            </w:r>
          </w:p>
        </w:tc>
        <w:tc>
          <w:tcPr>
            <w:cnfStyle w:val="000000000000"/>
            <w:tcW w:w="1249" w:type="dxa"/>
            <w:vAlign w:val="center"/>
          </w:tcPr>
          <w:p w14:paraId="000001DA">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No</w:t>
            </w:r>
          </w:p>
        </w:tc>
        <w:tc>
          <w:tcPr>
            <w:cnfStyle w:val="000000000000"/>
            <w:tcW w:w="1037" w:type="dxa"/>
            <w:vAlign w:val="center"/>
          </w:tcPr>
          <w:p w14:paraId="000001DB">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No</w:t>
            </w:r>
          </w:p>
        </w:tc>
      </w:tr>
      <w:tr>
        <w:trPr>
          <w:trHeight w:val="1425"/>
        </w:trPr>
        <w:tc>
          <w:tcPr>
            <w:cnfStyle w:val="001000000000"/>
            <w:tcW w:w="1069" w:type="dxa"/>
            <w:vAlign w:val="center"/>
          </w:tcPr>
          <w:p w14:paraId="000001DC">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444107</w:t>
            </w:r>
          </w:p>
        </w:tc>
        <w:tc>
          <w:tcPr>
            <w:cnfStyle w:val="000000000000"/>
            <w:tcW w:w="3529" w:type="dxa"/>
            <w:vAlign w:val="center"/>
          </w:tcPr>
          <w:p w14:paraId="000001DD">
            <w:pPr>
              <w:spacing w:before="0" w:after="0" w:line="240" w:lineRule="auto"/>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PHENYL</w:t>
            </w:r>
          </w:p>
          <w:p w14:paraId="000001DE">
            <w:pPr>
              <w:spacing w:before="0" w:after="0" w:line="240" w:lineRule="auto"/>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[1-(N-SUCCINYLAMINO)</w:t>
            </w:r>
          </w:p>
          <w:p w14:paraId="000001DF">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2"/>
                <w:szCs w:val="22"/>
              </w:rPr>
              <w:t>PENTYL]PHOSPHONATE</w:t>
            </w:r>
          </w:p>
        </w:tc>
        <w:tc>
          <w:tcPr>
            <w:cnfStyle w:val="000000000000"/>
            <w:tcW w:w="1221" w:type="dxa"/>
            <w:vAlign w:val="center"/>
          </w:tcPr>
          <w:p w14:paraId="000001E0">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High</w:t>
            </w:r>
          </w:p>
        </w:tc>
        <w:tc>
          <w:tcPr>
            <w:cnfStyle w:val="000000000000"/>
            <w:tcW w:w="1202" w:type="dxa"/>
            <w:vAlign w:val="center"/>
          </w:tcPr>
          <w:p w14:paraId="000001E1">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39.978</w:t>
            </w:r>
          </w:p>
        </w:tc>
        <w:tc>
          <w:tcPr>
            <w:cnfStyle w:val="000000000000"/>
            <w:tcW w:w="1427" w:type="dxa"/>
            <w:vAlign w:val="center"/>
          </w:tcPr>
          <w:p w14:paraId="000001E2">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No</w:t>
            </w:r>
          </w:p>
        </w:tc>
        <w:tc>
          <w:tcPr>
            <w:cnfStyle w:val="000000000000"/>
            <w:tcW w:w="1107" w:type="dxa"/>
            <w:vAlign w:val="center"/>
          </w:tcPr>
          <w:p w14:paraId="000001E3">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Yes</w:t>
            </w:r>
          </w:p>
        </w:tc>
        <w:tc>
          <w:tcPr>
            <w:cnfStyle w:val="000000000000"/>
            <w:tcW w:w="1078" w:type="dxa"/>
            <w:vAlign w:val="center"/>
          </w:tcPr>
          <w:p w14:paraId="000001E4">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No</w:t>
            </w:r>
          </w:p>
        </w:tc>
        <w:tc>
          <w:tcPr>
            <w:cnfStyle w:val="000000000000"/>
            <w:tcW w:w="1131" w:type="dxa"/>
            <w:vAlign w:val="center"/>
          </w:tcPr>
          <w:p w14:paraId="000001E5">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0.195</w:t>
            </w:r>
          </w:p>
        </w:tc>
        <w:tc>
          <w:tcPr>
            <w:cnfStyle w:val="000000000000"/>
            <w:tcW w:w="1080" w:type="dxa"/>
            <w:vAlign w:val="center"/>
          </w:tcPr>
          <w:p w14:paraId="000001E6">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No</w:t>
            </w:r>
          </w:p>
        </w:tc>
        <w:tc>
          <w:tcPr>
            <w:cnfStyle w:val="000000000000"/>
            <w:tcW w:w="1249" w:type="dxa"/>
            <w:vAlign w:val="center"/>
          </w:tcPr>
          <w:p w14:paraId="000001E7">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No</w:t>
            </w:r>
          </w:p>
        </w:tc>
        <w:tc>
          <w:tcPr>
            <w:cnfStyle w:val="000000000000"/>
            <w:tcW w:w="1037" w:type="dxa"/>
            <w:vAlign w:val="center"/>
          </w:tcPr>
          <w:p w14:paraId="000001E8">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No</w:t>
            </w:r>
          </w:p>
        </w:tc>
      </w:tr>
      <w:tr>
        <w:trPr>
          <w:trHeight w:val="682"/>
        </w:trPr>
        <w:tc>
          <w:tcPr>
            <w:cnfStyle w:val="001000000000"/>
            <w:tcW w:w="1069" w:type="dxa"/>
            <w:vAlign w:val="center"/>
          </w:tcPr>
          <w:p w14:paraId="000001E9">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444150</w:t>
            </w:r>
          </w:p>
        </w:tc>
        <w:tc>
          <w:tcPr>
            <w:cnfStyle w:val="000000000000"/>
            <w:tcW w:w="3529" w:type="dxa"/>
            <w:vAlign w:val="center"/>
          </w:tcPr>
          <w:p w14:paraId="000001EA">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2"/>
                <w:szCs w:val="22"/>
              </w:rPr>
              <w:t>Indole-3-Glycerol Phosphate</w:t>
            </w:r>
          </w:p>
        </w:tc>
        <w:tc>
          <w:tcPr>
            <w:cnfStyle w:val="000000000000"/>
            <w:tcW w:w="1221" w:type="dxa"/>
            <w:vAlign w:val="center"/>
          </w:tcPr>
          <w:p w14:paraId="000001EB">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High</w:t>
            </w:r>
          </w:p>
        </w:tc>
        <w:tc>
          <w:tcPr>
            <w:cnfStyle w:val="000000000000"/>
            <w:tcW w:w="1202" w:type="dxa"/>
            <w:vAlign w:val="center"/>
          </w:tcPr>
          <w:p w14:paraId="000001EC">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55.264</w:t>
            </w:r>
          </w:p>
        </w:tc>
        <w:tc>
          <w:tcPr>
            <w:cnfStyle w:val="000000000000"/>
            <w:tcW w:w="1427" w:type="dxa"/>
            <w:vAlign w:val="center"/>
          </w:tcPr>
          <w:p w14:paraId="000001ED">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No</w:t>
            </w:r>
          </w:p>
        </w:tc>
        <w:tc>
          <w:tcPr>
            <w:cnfStyle w:val="000000000000"/>
            <w:tcW w:w="1107" w:type="dxa"/>
            <w:vAlign w:val="center"/>
          </w:tcPr>
          <w:p w14:paraId="000001EE">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No</w:t>
            </w:r>
          </w:p>
        </w:tc>
        <w:tc>
          <w:tcPr>
            <w:cnfStyle w:val="000000000000"/>
            <w:tcW w:w="1078" w:type="dxa"/>
            <w:vAlign w:val="center"/>
          </w:tcPr>
          <w:p w14:paraId="000001EF">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No</w:t>
            </w:r>
          </w:p>
        </w:tc>
        <w:tc>
          <w:tcPr>
            <w:cnfStyle w:val="000000000000"/>
            <w:tcW w:w="1131" w:type="dxa"/>
            <w:vAlign w:val="center"/>
          </w:tcPr>
          <w:p w14:paraId="000001F0">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0.317</w:t>
            </w:r>
          </w:p>
        </w:tc>
        <w:tc>
          <w:tcPr>
            <w:cnfStyle w:val="000000000000"/>
            <w:tcW w:w="1080" w:type="dxa"/>
            <w:vAlign w:val="center"/>
          </w:tcPr>
          <w:p w14:paraId="000001F1">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No</w:t>
            </w:r>
          </w:p>
        </w:tc>
        <w:tc>
          <w:tcPr>
            <w:cnfStyle w:val="000000000000"/>
            <w:tcW w:w="1249" w:type="dxa"/>
            <w:vAlign w:val="center"/>
          </w:tcPr>
          <w:p w14:paraId="000001F2">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No</w:t>
            </w:r>
          </w:p>
        </w:tc>
        <w:tc>
          <w:tcPr>
            <w:cnfStyle w:val="000000000000"/>
            <w:tcW w:w="1037" w:type="dxa"/>
            <w:vAlign w:val="center"/>
          </w:tcPr>
          <w:p w14:paraId="000001F3">
            <w:pPr>
              <w:spacing w:before="0" w:after="0" w:line="240" w:lineRule="auto"/>
              <w:jc w:val="center"/>
              <w:rPr>
                <w:rFonts w:ascii="Book Antiqua" w:cs="Book Antiqua" w:eastAsia="Book Antiqua" w:hAnsi="Book Antiqua"/>
                <w:b w:val="off"/>
                <w:bCs w:val="off"/>
                <w:i w:val="off"/>
                <w:iCs w:val="off"/>
                <w:sz w:val="20"/>
                <w:szCs w:val="20"/>
              </w:rPr>
            </w:pPr>
            <w:r>
              <w:rPr>
                <w:rFonts w:ascii="Book Antiqua" w:cs="Book Antiqua" w:eastAsia="Book Antiqua" w:hAnsi="Book Antiqua"/>
                <w:b w:val="off"/>
                <w:bCs w:val="off"/>
                <w:i w:val="off"/>
                <w:iCs w:val="off"/>
                <w:sz w:val="20"/>
                <w:szCs w:val="20"/>
              </w:rPr>
              <w:t>No</w:t>
            </w:r>
          </w:p>
        </w:tc>
      </w:tr>
    </w:tbl>
    <w:p w14:paraId="000001F4">
      <w:pPr>
        <w:pStyle w:val="Normal"/>
        <w:bidi w:val="off"/>
        <w:spacing w:before="0" w:after="150" w:line="240" w:lineRule="auto"/>
        <w:ind w:left="0" w:right="0"/>
        <w:jc w:val="both"/>
        <w:rPr>
          <w:rFonts w:ascii="Book Antiqua" w:cs="Book Antiqua" w:eastAsia="Book Antiqua" w:hAnsi="Book Antiqua"/>
          <w:b w:val="off"/>
          <w:bCs w:val="off"/>
          <w:i w:val="off"/>
          <w:iCs w:val="off"/>
          <w:sz w:val="22"/>
          <w:szCs w:val="22"/>
          <w:lang w:val="en-GB"/>
        </w:rPr>
      </w:pPr>
    </w:p>
    <w:p w14:paraId="000001F5">
      <w:pPr>
        <w:pStyle w:val="Normal"/>
        <w:bidi w:val="off"/>
        <w:spacing w:before="0" w:after="150" w:line="240" w:lineRule="auto"/>
        <w:ind w:left="0" w:right="0"/>
        <w:jc w:val="both"/>
        <w:rPr>
          <w:rFonts w:ascii="Book Antiqua" w:cs="Book Antiqua" w:eastAsia="Book Antiqua" w:hAnsi="Book Antiqua"/>
          <w:b w:val="off"/>
          <w:bCs w:val="off"/>
          <w:i w:val="off"/>
          <w:iCs w:val="off"/>
          <w:sz w:val="22"/>
          <w:szCs w:val="22"/>
          <w:lang w:val="en-GB"/>
        </w:rPr>
      </w:pPr>
    </w:p>
    <w:p w14:paraId="000001F6">
      <w:pPr>
        <w:spacing w:before="0" w:after="150" w:line="240" w:lineRule="auto"/>
        <w:ind w:left="0"/>
        <w:jc w:val="both"/>
        <w:rPr>
          <w:rFonts w:ascii="Book Antiqua" w:cs="Book Antiqua" w:eastAsia="Book Antiqua" w:hAnsi="Book Antiqua"/>
          <w:b w:val="off"/>
          <w:bCs w:val="off"/>
          <w:i w:val="off"/>
          <w:iCs w:val="off"/>
          <w:sz w:val="22"/>
          <w:szCs w:val="22"/>
          <w:lang w:val="en-GB"/>
        </w:rPr>
      </w:pPr>
      <w:r>
        <w:rPr>
          <w:rFonts w:ascii="Book Antiqua" w:cs="Book Antiqua" w:eastAsia="Book Antiqua" w:hAnsi="Book Antiqua"/>
          <w:b/>
          <w:bCs/>
          <w:i w:val="off"/>
          <w:iCs w:val="off"/>
          <w:color w:val="0e0e0e"/>
          <w:sz w:val="22"/>
          <w:szCs w:val="22"/>
          <w:lang w:val="en-GB"/>
        </w:rPr>
        <w:t xml:space="preserve">Table  VI </w:t>
      </w:r>
      <w:r>
        <w:rPr>
          <w:rFonts w:ascii="Book Antiqua" w:cs="Book Antiqua" w:eastAsia="Book Antiqua" w:hAnsi="Book Antiqua"/>
          <w:b w:val="off"/>
          <w:bCs w:val="off"/>
          <w:i w:val="off"/>
          <w:iCs w:val="off"/>
          <w:sz w:val="22"/>
          <w:szCs w:val="22"/>
          <w:lang w:val="en-GB"/>
        </w:rPr>
        <w:t xml:space="preserve">. Predicted ADMET (Absorption, Distribution, Metabolism, Excretion, and Toxicity) profiles and safety assessment of lead candidates. Results indicate high gastrointestinal absorption and </w:t>
      </w:r>
      <w:r>
        <w:rPr>
          <w:rFonts w:ascii="Book Antiqua" w:cs="Book Antiqua" w:eastAsia="Book Antiqua" w:hAnsi="Book Antiqua"/>
          <w:b w:val="off"/>
          <w:bCs w:val="off"/>
          <w:i w:val="off"/>
          <w:iCs w:val="off"/>
          <w:sz w:val="22"/>
          <w:szCs w:val="22"/>
          <w:lang w:val="en-GB"/>
        </w:rPr>
        <w:t>favorable</w:t>
      </w:r>
      <w:r>
        <w:rPr>
          <w:rFonts w:ascii="Book Antiqua" w:cs="Book Antiqua" w:eastAsia="Book Antiqua" w:hAnsi="Book Antiqua"/>
          <w:b w:val="off"/>
          <w:bCs w:val="off"/>
          <w:i w:val="off"/>
          <w:iCs w:val="off"/>
          <w:sz w:val="22"/>
          <w:szCs w:val="22"/>
          <w:lang w:val="en-GB"/>
        </w:rPr>
        <w:t xml:space="preserve"> safety profiles, with no predicted AMES toxicity or hepatotoxicity for the selected compounds.</w:t>
      </w:r>
    </w:p>
    <w:p w14:paraId="000001F7">
      <w:pPr>
        <w:spacing w:before="0" w:after="150" w:line="240" w:lineRule="auto"/>
        <w:ind w:left="0"/>
        <w:jc w:val="both"/>
        <w:rPr>
          <w:rFonts w:ascii="Book Antiqua" w:cs="Book Antiqua" w:eastAsia="Book Antiqua" w:hAnsi="Book Antiqua"/>
          <w:b w:val="off"/>
          <w:bCs w:val="off"/>
          <w:i w:val="off"/>
          <w:iCs w:val="off"/>
          <w:sz w:val="22"/>
          <w:szCs w:val="22"/>
          <w:lang w:val="en-GB"/>
        </w:rPr>
      </w:pPr>
      <w:r>
        <w:rPr>
          <w:rFonts w:ascii="Book Antiqua" w:cs="Book Antiqua" w:eastAsia="Book Antiqua" w:hAnsi="Book Antiqua"/>
          <w:b w:val="off"/>
          <w:bCs w:val="off"/>
          <w:i w:val="off"/>
          <w:iCs w:val="off"/>
          <w:sz w:val="22"/>
          <w:szCs w:val="22"/>
          <w:lang w:val="en-GB"/>
        </w:rPr>
        <w:br w:type="page"/>
      </w:r>
    </w:p>
    <w:p w14:paraId="000001F8">
      <w:pPr>
        <w:spacing w:before="0" w:after="150" w:line="240"/>
        <w:jc w:val="both"/>
        <w:rPr>
          <w:rFonts w:ascii="Book Antiqua" w:cs="Book Antiqua" w:eastAsia="Book Antiqua" w:hAnsi="Book Antiqua"/>
          <w:sz w:val="22"/>
          <w:szCs w:val="22"/>
        </w:rPr>
      </w:pPr>
    </w:p>
    <w:p w14:paraId="000001F9">
      <w:pPr>
        <w:spacing w:before="0" w:after="150" w:line="240"/>
        <w:jc w:val="both"/>
        <w:rPr>
          <w:rFonts w:ascii="Book Antiqua" w:cs="Book Antiqua" w:eastAsia="Book Antiqua" w:hAnsi="Book Antiqua"/>
          <w:b w:val="off"/>
          <w:bCs w:val="off"/>
          <w:i w:val="off"/>
          <w:iCs w:val="off"/>
          <w:color w:val="0e0e0e"/>
          <w:sz w:val="22"/>
          <w:szCs w:val="22"/>
          <w:lang w:val="en-GB"/>
        </w:rPr>
      </w:pPr>
      <w:r>
        <w:rPr>
          <w:rFonts w:ascii="Book Antiqua" w:cs="Book Antiqua" w:eastAsia="Book Antiqua" w:hAnsi="Book Antiqua"/>
          <w:b/>
          <w:bCs/>
          <w:i w:val="off"/>
          <w:iCs w:val="off"/>
          <w:color w:val="0e0e0e"/>
          <w:sz w:val="22"/>
          <w:szCs w:val="22"/>
          <w:lang w:val="en-GB"/>
        </w:rPr>
        <w:t xml:space="preserve">Table </w:t>
      </w:r>
      <w:r>
        <w:rPr>
          <w:rFonts w:ascii="Book Antiqua" w:cs="Book Antiqua" w:eastAsia="Book Antiqua" w:hAnsi="Book Antiqua"/>
          <w:b/>
          <w:bCs/>
          <w:i w:val="off"/>
          <w:iCs w:val="off"/>
          <w:color w:val="0e0e0e"/>
          <w:sz w:val="22"/>
          <w:szCs w:val="22"/>
          <w:lang w:val="en-GB"/>
        </w:rPr>
        <w:t>VII :</w:t>
      </w:r>
      <w:r>
        <w:rPr>
          <w:rFonts w:ascii="Book Antiqua" w:cs="Book Antiqua" w:eastAsia="Book Antiqua" w:hAnsi="Book Antiqua"/>
          <w:b/>
          <w:bCs/>
          <w:i w:val="off"/>
          <w:iCs w:val="off"/>
          <w:color w:val="0e0e0e"/>
          <w:sz w:val="22"/>
          <w:szCs w:val="22"/>
          <w:lang w:val="en-GB"/>
        </w:rPr>
        <w:t xml:space="preserve"> </w:t>
      </w:r>
      <w:r>
        <w:rPr>
          <w:rFonts w:ascii="Book Antiqua" w:cs="Book Antiqua" w:eastAsia="Book Antiqua" w:hAnsi="Book Antiqua"/>
          <w:b/>
          <w:bCs/>
          <w:i w:val="off"/>
          <w:iCs w:val="off"/>
          <w:sz w:val="22"/>
          <w:szCs w:val="22"/>
          <w:lang w:val="en-GB"/>
        </w:rPr>
        <w:t>Comparative Analysis of Intermolecular Interactions by PLIP Analysis</w:t>
      </w:r>
      <w:r>
        <w:rPr>
          <w:rFonts w:ascii="Book Antiqua" w:cs="Book Antiqua" w:eastAsia="Book Antiqua" w:hAnsi="Book Antiqua"/>
          <w:b/>
          <w:bCs/>
          <w:i w:val="off"/>
          <w:iCs w:val="off"/>
          <w:color w:val="0e0e0e"/>
          <w:sz w:val="22"/>
          <w:szCs w:val="22"/>
          <w:lang w:val="en-GB"/>
        </w:rPr>
        <w:t>.</w:t>
      </w:r>
    </w:p>
    <w:p w14:paraId="000001FA">
      <w:pPr>
        <w:spacing w:before="0" w:after="150" w:line="240"/>
        <w:jc w:val="both"/>
        <w:rPr>
          <w:rFonts w:ascii="Book Antiqua" w:cs="Book Antiqua" w:eastAsia="Book Antiqua" w:hAnsi="Book Antiqua"/>
          <w:b w:val="off"/>
          <w:bCs w:val="off"/>
          <w:i w:val="off"/>
          <w:iCs w:val="off"/>
          <w:color w:val="0e0e0e"/>
          <w:sz w:val="22"/>
          <w:szCs w:val="22"/>
          <w:lang w:val="en-GB"/>
        </w:rPr>
      </w:pPr>
    </w:p>
    <w:tbl>
      <w:tblPr>
        <w:tblStyle w:val="PlainTable2"/>
        <w:tblW w:w="11585" w:type="dxa"/>
        <w:tblLook w:val="06A0"/>
      </w:tblPr>
      <w:tblGrid>
        <w:gridCol w:w="1908"/>
        <w:gridCol w:w="1876"/>
        <w:gridCol w:w="2731"/>
        <w:gridCol w:w="1616"/>
        <w:gridCol w:w="1639"/>
        <w:gridCol w:w="1815"/>
      </w:tblGrid>
      <w:tr>
        <w:trPr>
          <w:trHeight w:val="508" w:hRule="atLeast"/>
        </w:trPr>
        <w:tc>
          <w:tcPr>
            <w:cnfStyle w:val="101000000000"/>
            <w:tcW w:w="1908" w:type="dxa"/>
            <w:vMerge w:val="restart"/>
          </w:tcPr>
          <w:p w14:paraId="000001FB">
            <w:pPr>
              <w:pStyle w:val="Normal"/>
              <w:spacing w:line="240"/>
              <w:jc w:val="center"/>
              <w:rPr>
                <w:rFonts w:ascii="Book Antiqua" w:cs="Book Antiqua" w:eastAsia="Book Antiqua" w:hAnsi="Book Antiqua"/>
                <w:b/>
                <w:bCs/>
                <w:i w:val="off"/>
                <w:iCs w:val="off"/>
                <w:sz w:val="22"/>
                <w:szCs w:val="22"/>
                <w:lang w:val="en-GB"/>
              </w:rPr>
            </w:pPr>
            <w:r>
              <w:rPr>
                <w:rFonts w:ascii="Book Antiqua" w:cs="Book Antiqua" w:eastAsia="Book Antiqua" w:hAnsi="Book Antiqua"/>
                <w:b/>
                <w:bCs/>
                <w:i w:val="off"/>
                <w:iCs w:val="off"/>
                <w:sz w:val="22"/>
                <w:szCs w:val="22"/>
                <w:lang w:val="en-GB"/>
              </w:rPr>
              <w:t xml:space="preserve">Interaction </w:t>
            </w:r>
          </w:p>
          <w:p w14:paraId="000001FC">
            <w:pPr>
              <w:spacing w:before="0" w:after="150" w:line="240"/>
              <w:jc w:val="center"/>
              <w:rPr>
                <w:rFonts w:ascii="Book Antiqua" w:cs="Book Antiqua" w:eastAsia="Book Antiqua" w:hAnsi="Book Antiqua"/>
                <w:b/>
                <w:bCs/>
                <w:i w:val="off"/>
                <w:iCs w:val="off"/>
                <w:sz w:val="22"/>
                <w:szCs w:val="22"/>
                <w:lang w:val="en-GB"/>
              </w:rPr>
            </w:pPr>
            <w:r>
              <w:rPr>
                <w:rFonts w:ascii="Book Antiqua" w:cs="Book Antiqua" w:eastAsia="Book Antiqua" w:hAnsi="Book Antiqua"/>
                <w:b/>
                <w:bCs/>
                <w:i w:val="off"/>
                <w:iCs w:val="off"/>
                <w:sz w:val="22"/>
                <w:szCs w:val="22"/>
                <w:lang w:val="en-GB"/>
              </w:rPr>
              <w:t>Type</w:t>
            </w:r>
          </w:p>
        </w:tc>
        <w:tc>
          <w:tcPr>
            <w:cnfStyle w:val="100000000000"/>
            <w:tcW w:w="1876" w:type="dxa"/>
            <w:vMerge w:val="restart"/>
          </w:tcPr>
          <w:p w14:paraId="000001FD">
            <w:pPr>
              <w:pStyle w:val="Normal"/>
              <w:spacing w:line="240"/>
              <w:jc w:val="center"/>
              <w:rPr>
                <w:rFonts w:ascii="Book Antiqua" w:cs="Book Antiqua" w:eastAsia="Book Antiqua" w:hAnsi="Book Antiqua"/>
                <w:b/>
                <w:bCs/>
                <w:i w:val="off"/>
                <w:iCs w:val="off"/>
                <w:sz w:val="22"/>
                <w:szCs w:val="22"/>
                <w:lang w:val="en-GB"/>
              </w:rPr>
            </w:pPr>
            <w:r>
              <w:rPr>
                <w:rFonts w:ascii="Book Antiqua" w:cs="Book Antiqua" w:eastAsia="Book Antiqua" w:hAnsi="Book Antiqua"/>
                <w:b/>
                <w:bCs/>
                <w:i w:val="off"/>
                <w:iCs w:val="off"/>
                <w:sz w:val="22"/>
                <w:szCs w:val="22"/>
                <w:lang w:val="en-GB"/>
              </w:rPr>
              <w:t xml:space="preserve">Key </w:t>
            </w:r>
          </w:p>
          <w:p w14:paraId="000001FE">
            <w:pPr>
              <w:pStyle w:val="Normal"/>
              <w:spacing w:line="240"/>
              <w:jc w:val="center"/>
              <w:rPr>
                <w:rFonts w:ascii="Book Antiqua" w:cs="Book Antiqua" w:eastAsia="Book Antiqua" w:hAnsi="Book Antiqua"/>
                <w:b/>
                <w:bCs/>
                <w:i w:val="off"/>
                <w:iCs w:val="off"/>
                <w:sz w:val="22"/>
                <w:szCs w:val="22"/>
                <w:lang w:val="en-GB"/>
              </w:rPr>
            </w:pPr>
            <w:r>
              <w:rPr>
                <w:rFonts w:ascii="Book Antiqua" w:cs="Book Antiqua" w:eastAsia="Book Antiqua" w:hAnsi="Book Antiqua"/>
                <w:b/>
                <w:bCs/>
                <w:i w:val="off"/>
                <w:iCs w:val="off"/>
                <w:sz w:val="22"/>
                <w:szCs w:val="22"/>
                <w:lang w:val="en-GB"/>
              </w:rPr>
              <w:t>Residues</w:t>
            </w:r>
          </w:p>
        </w:tc>
        <w:tc>
          <w:tcPr>
            <w:cnfStyle w:val="100000000000"/>
            <w:tcW w:w="2731" w:type="dxa"/>
            <w:vMerge w:val="restart"/>
          </w:tcPr>
          <w:p w14:paraId="000001FF">
            <w:pPr>
              <w:pStyle w:val="Normal"/>
              <w:spacing w:line="240"/>
              <w:jc w:val="center"/>
              <w:rPr>
                <w:rFonts w:ascii="Book Antiqua" w:cs="Book Antiqua" w:eastAsia="Book Antiqua" w:hAnsi="Book Antiqua"/>
                <w:b/>
                <w:bCs/>
                <w:i w:val="off"/>
                <w:iCs w:val="off"/>
                <w:sz w:val="22"/>
                <w:szCs w:val="22"/>
                <w:lang w:val="en-GB"/>
              </w:rPr>
            </w:pPr>
            <w:r>
              <w:rPr>
                <w:rFonts w:ascii="Book Antiqua" w:cs="Book Antiqua" w:eastAsia="Book Antiqua" w:hAnsi="Book Antiqua"/>
                <w:b/>
                <w:bCs/>
                <w:i w:val="off"/>
                <w:iCs w:val="off"/>
                <w:sz w:val="22"/>
                <w:szCs w:val="22"/>
                <w:lang w:val="en-GB"/>
              </w:rPr>
              <w:t xml:space="preserve">S1PR1-Ozanimod Complex </w:t>
            </w:r>
          </w:p>
          <w:p w14:paraId="00000200">
            <w:pPr>
              <w:pStyle w:val="Normal"/>
              <w:spacing w:line="240"/>
              <w:jc w:val="center"/>
              <w:rPr>
                <w:rFonts w:ascii="Book Antiqua" w:cs="Book Antiqua" w:eastAsia="Book Antiqua" w:hAnsi="Book Antiqua"/>
                <w:b/>
                <w:bCs/>
                <w:i w:val="off"/>
                <w:iCs w:val="off"/>
                <w:sz w:val="22"/>
                <w:szCs w:val="22"/>
                <w:lang w:val="en-GB"/>
              </w:rPr>
            </w:pPr>
            <w:r>
              <w:rPr>
                <w:rFonts w:ascii="Book Antiqua" w:cs="Book Antiqua" w:eastAsia="Book Antiqua" w:hAnsi="Book Antiqua"/>
                <w:b/>
                <w:bCs/>
                <w:i w:val="off"/>
                <w:iCs w:val="off"/>
                <w:sz w:val="22"/>
                <w:szCs w:val="22"/>
                <w:lang w:val="en-GB"/>
              </w:rPr>
              <w:t>(Reference)</w:t>
            </w:r>
          </w:p>
        </w:tc>
        <w:tc>
          <w:tcPr>
            <w:cnfStyle w:val="100000000000"/>
            <w:tcW w:w="5070" w:type="dxa"/>
            <w:gridSpan w:val="3"/>
          </w:tcPr>
          <w:p w14:paraId="00000201">
            <w:pPr>
              <w:spacing w:before="0" w:after="150" w:line="240"/>
              <w:jc w:val="center"/>
              <w:rPr>
                <w:rFonts w:ascii="Book Antiqua" w:cs="Book Antiqua" w:eastAsia="Book Antiqua" w:hAnsi="Book Antiqua"/>
                <w:b/>
                <w:bCs/>
                <w:i w:val="off"/>
                <w:iCs w:val="off"/>
                <w:sz w:val="22"/>
                <w:szCs w:val="22"/>
                <w:lang w:val="en-GB"/>
              </w:rPr>
            </w:pPr>
            <w:r>
              <w:rPr>
                <w:rFonts w:ascii="Book Antiqua" w:cs="Book Antiqua" w:eastAsia="Book Antiqua" w:hAnsi="Book Antiqua"/>
                <w:b/>
                <w:bCs/>
                <w:i w:val="off"/>
                <w:iCs w:val="off"/>
                <w:sz w:val="22"/>
                <w:szCs w:val="22"/>
                <w:lang w:val="en-GB"/>
              </w:rPr>
              <w:t>S1PR1-Febuxostat-Complex</w:t>
            </w:r>
          </w:p>
        </w:tc>
      </w:tr>
      <w:tr>
        <w:trPr>
          <w:trHeight w:val="649" w:hRule="atLeast"/>
        </w:trPr>
        <w:tc>
          <w:tcPr>
            <w:cnfStyle w:val="001000000000"/>
            <w:tcW w:w="1908" w:type="dxa"/>
            <w:vMerge w:val="continue"/>
          </w:tcPr>
          <w:p w14:paraId="00000202">
            <w:pPr>
              <w:spacing w:line="240"/>
              <w:rPr>
                <w:rFonts w:ascii="Book Antiqua" w:cs="Book Antiqua" w:hAnsi="Book Antiqua"/>
                <w:sz w:val="22"/>
                <w:szCs w:val="22"/>
              </w:rPr>
            </w:pPr>
          </w:p>
        </w:tc>
        <w:tc>
          <w:tcPr>
            <w:cnfStyle w:val="000000000000"/>
            <w:tcW w:w="1876" w:type="dxa"/>
            <w:vMerge w:val="continue"/>
          </w:tcPr>
          <w:p w14:paraId="00000203">
            <w:pPr>
              <w:spacing w:line="240"/>
              <w:rPr>
                <w:rFonts w:ascii="Book Antiqua" w:cs="Book Antiqua" w:hAnsi="Book Antiqua"/>
                <w:sz w:val="22"/>
                <w:szCs w:val="22"/>
              </w:rPr>
            </w:pPr>
          </w:p>
        </w:tc>
        <w:tc>
          <w:tcPr>
            <w:cnfStyle w:val="000000000000"/>
            <w:tcW w:w="2731" w:type="dxa"/>
            <w:vMerge w:val="continue"/>
          </w:tcPr>
          <w:p w14:paraId="00000204">
            <w:pPr>
              <w:spacing w:line="240"/>
              <w:rPr>
                <w:rFonts w:ascii="Book Antiqua" w:cs="Book Antiqua" w:hAnsi="Book Antiqua"/>
                <w:sz w:val="22"/>
                <w:szCs w:val="22"/>
              </w:rPr>
            </w:pPr>
          </w:p>
        </w:tc>
        <w:tc>
          <w:tcPr>
            <w:cnfStyle w:val="000000000000"/>
            <w:tcW w:w="1616" w:type="dxa"/>
          </w:tcPr>
          <w:p w14:paraId="00000205">
            <w:pPr>
              <w:spacing w:before="0" w:after="0" w:line="240"/>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Frame 12.6ns</w:t>
            </w:r>
          </w:p>
        </w:tc>
        <w:tc>
          <w:tcPr>
            <w:cnfStyle w:val="000000000000"/>
            <w:tcW w:w="1639" w:type="dxa"/>
          </w:tcPr>
          <w:p w14:paraId="00000206">
            <w:pPr>
              <w:spacing w:before="0" w:after="0" w:line="240"/>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Frame 14.2ns</w:t>
            </w:r>
          </w:p>
        </w:tc>
        <w:tc>
          <w:tcPr>
            <w:cnfStyle w:val="000000000000"/>
            <w:tcW w:w="1815" w:type="dxa"/>
          </w:tcPr>
          <w:p w14:paraId="00000207">
            <w:pPr>
              <w:spacing w:before="0" w:after="0" w:line="240"/>
              <w:jc w:val="center"/>
              <w:rPr>
                <w:rFonts w:ascii="Book Antiqua" w:cs="Book Antiqua" w:eastAsia="Book Antiqua" w:hAnsi="Book Antiqua"/>
                <w:b/>
                <w:bCs/>
                <w:i w:val="off"/>
                <w:iCs w:val="off"/>
                <w:sz w:val="22"/>
                <w:szCs w:val="22"/>
              </w:rPr>
            </w:pPr>
            <w:r>
              <w:rPr>
                <w:rFonts w:ascii="Book Antiqua" w:cs="Book Antiqua" w:eastAsia="Book Antiqua" w:hAnsi="Book Antiqua"/>
                <w:b/>
                <w:bCs/>
                <w:i w:val="off"/>
                <w:iCs w:val="off"/>
                <w:sz w:val="22"/>
                <w:szCs w:val="22"/>
              </w:rPr>
              <w:t>Frame 15.0ns</w:t>
            </w:r>
          </w:p>
        </w:tc>
      </w:tr>
      <w:tr>
        <w:trPr>
          <w:trHeight w:val="365" w:hRule="atLeast"/>
        </w:trPr>
        <w:tc>
          <w:tcPr>
            <w:cnfStyle w:val="001000000000"/>
            <w:tcW w:w="1908" w:type="dxa"/>
          </w:tcPr>
          <w:p w14:paraId="00000208">
            <w:pPr>
              <w:spacing w:before="0" w:after="0" w:line="240"/>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Hydrophobic</w:t>
            </w:r>
          </w:p>
        </w:tc>
        <w:tc>
          <w:tcPr>
            <w:cnfStyle w:val="000000000000"/>
            <w:tcW w:w="1876" w:type="dxa"/>
          </w:tcPr>
          <w:p w14:paraId="00000209">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PHE 125</w:t>
            </w:r>
          </w:p>
        </w:tc>
        <w:tc>
          <w:tcPr>
            <w:cnfStyle w:val="000000000000"/>
            <w:tcW w:w="2731" w:type="dxa"/>
          </w:tcPr>
          <w:p w14:paraId="0000020A">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Present</w:t>
            </w:r>
          </w:p>
        </w:tc>
        <w:tc>
          <w:tcPr>
            <w:cnfStyle w:val="000000000000"/>
            <w:tcW w:w="1616" w:type="dxa"/>
          </w:tcPr>
          <w:p w14:paraId="0000020B">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Absent</w:t>
            </w:r>
          </w:p>
        </w:tc>
        <w:tc>
          <w:tcPr>
            <w:cnfStyle w:val="000000000000"/>
            <w:tcW w:w="1639" w:type="dxa"/>
          </w:tcPr>
          <w:p w14:paraId="0000020C">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Absent</w:t>
            </w:r>
          </w:p>
        </w:tc>
        <w:tc>
          <w:tcPr>
            <w:cnfStyle w:val="000000000000"/>
            <w:tcW w:w="1815" w:type="dxa"/>
          </w:tcPr>
          <w:p w14:paraId="0000020D">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Absent</w:t>
            </w:r>
          </w:p>
        </w:tc>
      </w:tr>
      <w:tr>
        <w:trPr>
          <w:trHeight w:val="366" w:hRule="atLeast"/>
        </w:trPr>
        <w:tc>
          <w:tcPr>
            <w:cnfStyle w:val="001000000000"/>
            <w:tcW w:w="1908" w:type="dxa"/>
          </w:tcPr>
          <w:p w14:paraId="0000020E">
            <w:pPr>
              <w:spacing w:before="0" w:after="0" w:line="240"/>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Hydrophobic</w:t>
            </w:r>
          </w:p>
        </w:tc>
        <w:tc>
          <w:tcPr>
            <w:cnfStyle w:val="000000000000"/>
            <w:tcW w:w="1876" w:type="dxa"/>
          </w:tcPr>
          <w:p w14:paraId="0000020F">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PHE 210</w:t>
            </w:r>
          </w:p>
        </w:tc>
        <w:tc>
          <w:tcPr>
            <w:cnfStyle w:val="000000000000"/>
            <w:tcW w:w="2731" w:type="dxa"/>
          </w:tcPr>
          <w:p w14:paraId="00000210">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Present</w:t>
            </w:r>
          </w:p>
        </w:tc>
        <w:tc>
          <w:tcPr>
            <w:cnfStyle w:val="000000000000"/>
            <w:tcW w:w="1616" w:type="dxa"/>
          </w:tcPr>
          <w:p w14:paraId="00000211">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Present</w:t>
            </w:r>
          </w:p>
        </w:tc>
        <w:tc>
          <w:tcPr>
            <w:cnfStyle w:val="000000000000"/>
            <w:tcW w:w="1639" w:type="dxa"/>
          </w:tcPr>
          <w:p w14:paraId="00000212">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Present</w:t>
            </w:r>
          </w:p>
        </w:tc>
        <w:tc>
          <w:tcPr>
            <w:cnfStyle w:val="000000000000"/>
            <w:tcW w:w="1815" w:type="dxa"/>
          </w:tcPr>
          <w:p w14:paraId="00000213">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Present</w:t>
            </w:r>
          </w:p>
        </w:tc>
      </w:tr>
      <w:tr>
        <w:trPr>
          <w:trHeight w:val="365" w:hRule="atLeast"/>
        </w:trPr>
        <w:tc>
          <w:tcPr>
            <w:cnfStyle w:val="001000000000"/>
            <w:tcW w:w="1908" w:type="dxa"/>
          </w:tcPr>
          <w:p w14:paraId="00000214">
            <w:pPr>
              <w:spacing w:before="0" w:after="0" w:line="240"/>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Hydrophobic</w:t>
            </w:r>
          </w:p>
        </w:tc>
        <w:tc>
          <w:tcPr>
            <w:cnfStyle w:val="000000000000"/>
            <w:tcW w:w="1876" w:type="dxa"/>
          </w:tcPr>
          <w:p w14:paraId="00000215">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LEU 195</w:t>
            </w:r>
          </w:p>
        </w:tc>
        <w:tc>
          <w:tcPr>
            <w:cnfStyle w:val="000000000000"/>
            <w:tcW w:w="2731" w:type="dxa"/>
          </w:tcPr>
          <w:p w14:paraId="00000216">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Present</w:t>
            </w:r>
          </w:p>
        </w:tc>
        <w:tc>
          <w:tcPr>
            <w:cnfStyle w:val="000000000000"/>
            <w:tcW w:w="1616" w:type="dxa"/>
          </w:tcPr>
          <w:p w14:paraId="00000217">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Present</w:t>
            </w:r>
          </w:p>
        </w:tc>
        <w:tc>
          <w:tcPr>
            <w:cnfStyle w:val="000000000000"/>
            <w:tcW w:w="1639" w:type="dxa"/>
          </w:tcPr>
          <w:p w14:paraId="00000218">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Present</w:t>
            </w:r>
          </w:p>
        </w:tc>
        <w:tc>
          <w:tcPr>
            <w:cnfStyle w:val="000000000000"/>
            <w:tcW w:w="1815" w:type="dxa"/>
          </w:tcPr>
          <w:p w14:paraId="00000219">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Present</w:t>
            </w:r>
          </w:p>
        </w:tc>
      </w:tr>
      <w:tr>
        <w:trPr>
          <w:trHeight w:val="367" w:hRule="atLeast"/>
        </w:trPr>
        <w:tc>
          <w:tcPr>
            <w:cnfStyle w:val="001000000000"/>
            <w:tcW w:w="1908" w:type="dxa"/>
          </w:tcPr>
          <w:p w14:paraId="0000021A">
            <w:pPr>
              <w:spacing w:before="0" w:after="0" w:line="240"/>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π-Stacking</w:t>
            </w:r>
          </w:p>
        </w:tc>
        <w:tc>
          <w:tcPr>
            <w:cnfStyle w:val="000000000000"/>
            <w:tcW w:w="1876" w:type="dxa"/>
          </w:tcPr>
          <w:p w14:paraId="0000021B">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PHE 125</w:t>
            </w:r>
          </w:p>
        </w:tc>
        <w:tc>
          <w:tcPr>
            <w:cnfStyle w:val="000000000000"/>
            <w:tcW w:w="2731" w:type="dxa"/>
          </w:tcPr>
          <w:p w14:paraId="0000021C">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Absent</w:t>
            </w:r>
          </w:p>
        </w:tc>
        <w:tc>
          <w:tcPr>
            <w:cnfStyle w:val="000000000000"/>
            <w:tcW w:w="1616" w:type="dxa"/>
          </w:tcPr>
          <w:p w14:paraId="0000021D">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Present</w:t>
            </w:r>
          </w:p>
        </w:tc>
        <w:tc>
          <w:tcPr>
            <w:cnfStyle w:val="000000000000"/>
            <w:tcW w:w="1639" w:type="dxa"/>
          </w:tcPr>
          <w:p w14:paraId="0000021E">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Present</w:t>
            </w:r>
          </w:p>
        </w:tc>
        <w:tc>
          <w:tcPr>
            <w:cnfStyle w:val="000000000000"/>
            <w:tcW w:w="1815" w:type="dxa"/>
          </w:tcPr>
          <w:p w14:paraId="0000021F">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Present</w:t>
            </w:r>
          </w:p>
        </w:tc>
      </w:tr>
      <w:tr>
        <w:trPr>
          <w:trHeight w:val="365" w:hRule="atLeast"/>
        </w:trPr>
        <w:tc>
          <w:tcPr>
            <w:cnfStyle w:val="001000000000"/>
            <w:tcW w:w="1908" w:type="dxa"/>
          </w:tcPr>
          <w:p w14:paraId="00000220">
            <w:pPr>
              <w:spacing w:before="0" w:after="0" w:line="240"/>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π-Stacking</w:t>
            </w:r>
          </w:p>
        </w:tc>
        <w:tc>
          <w:tcPr>
            <w:cnfStyle w:val="000000000000"/>
            <w:tcW w:w="1876" w:type="dxa"/>
          </w:tcPr>
          <w:p w14:paraId="00000221">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PHE 210</w:t>
            </w:r>
          </w:p>
        </w:tc>
        <w:tc>
          <w:tcPr>
            <w:cnfStyle w:val="000000000000"/>
            <w:tcW w:w="2731" w:type="dxa"/>
          </w:tcPr>
          <w:p w14:paraId="00000222">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Absent</w:t>
            </w:r>
          </w:p>
        </w:tc>
        <w:tc>
          <w:tcPr>
            <w:cnfStyle w:val="000000000000"/>
            <w:tcW w:w="1616" w:type="dxa"/>
          </w:tcPr>
          <w:p w14:paraId="00000223">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Present</w:t>
            </w:r>
          </w:p>
        </w:tc>
        <w:tc>
          <w:tcPr>
            <w:cnfStyle w:val="000000000000"/>
            <w:tcW w:w="1639" w:type="dxa"/>
          </w:tcPr>
          <w:p w14:paraId="00000224">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Present</w:t>
            </w:r>
          </w:p>
        </w:tc>
        <w:tc>
          <w:tcPr>
            <w:cnfStyle w:val="000000000000"/>
            <w:tcW w:w="1815" w:type="dxa"/>
          </w:tcPr>
          <w:p w14:paraId="00000225">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Present</w:t>
            </w:r>
          </w:p>
        </w:tc>
      </w:tr>
      <w:tr>
        <w:trPr>
          <w:trHeight w:val="367" w:hRule="atLeast"/>
        </w:trPr>
        <w:tc>
          <w:tcPr>
            <w:cnfStyle w:val="001000000000"/>
            <w:tcW w:w="1908" w:type="dxa"/>
          </w:tcPr>
          <w:p w14:paraId="00000226">
            <w:pPr>
              <w:spacing w:before="0" w:after="0" w:line="240"/>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H-Bond</w:t>
            </w:r>
          </w:p>
        </w:tc>
        <w:tc>
          <w:tcPr>
            <w:cnfStyle w:val="000000000000"/>
            <w:tcW w:w="1876" w:type="dxa"/>
          </w:tcPr>
          <w:p w14:paraId="00000227">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LYS 34</w:t>
            </w:r>
          </w:p>
        </w:tc>
        <w:tc>
          <w:tcPr>
            <w:cnfStyle w:val="000000000000"/>
            <w:tcW w:w="2731" w:type="dxa"/>
          </w:tcPr>
          <w:p w14:paraId="00000228">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Present</w:t>
            </w:r>
          </w:p>
        </w:tc>
        <w:tc>
          <w:tcPr>
            <w:cnfStyle w:val="000000000000"/>
            <w:tcW w:w="1616" w:type="dxa"/>
          </w:tcPr>
          <w:p w14:paraId="00000229">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Absent</w:t>
            </w:r>
          </w:p>
        </w:tc>
        <w:tc>
          <w:tcPr>
            <w:cnfStyle w:val="000000000000"/>
            <w:tcW w:w="1639" w:type="dxa"/>
          </w:tcPr>
          <w:p w14:paraId="0000022A">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Absent</w:t>
            </w:r>
          </w:p>
        </w:tc>
        <w:tc>
          <w:tcPr>
            <w:cnfStyle w:val="000000000000"/>
            <w:tcW w:w="1815" w:type="dxa"/>
          </w:tcPr>
          <w:p w14:paraId="0000022B">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Absent</w:t>
            </w:r>
          </w:p>
        </w:tc>
      </w:tr>
      <w:tr>
        <w:trPr>
          <w:trHeight w:val="365" w:hRule="atLeast"/>
        </w:trPr>
        <w:tc>
          <w:tcPr>
            <w:cnfStyle w:val="001000000000"/>
            <w:tcW w:w="1908" w:type="dxa"/>
          </w:tcPr>
          <w:p w14:paraId="0000022C">
            <w:pPr>
              <w:spacing w:before="0" w:after="0" w:line="240"/>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H-Bond</w:t>
            </w:r>
          </w:p>
        </w:tc>
        <w:tc>
          <w:tcPr>
            <w:cnfStyle w:val="000000000000"/>
            <w:tcW w:w="1876" w:type="dxa"/>
          </w:tcPr>
          <w:p w14:paraId="0000022D">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SER 129</w:t>
            </w:r>
          </w:p>
        </w:tc>
        <w:tc>
          <w:tcPr>
            <w:cnfStyle w:val="000000000000"/>
            <w:tcW w:w="2731" w:type="dxa"/>
          </w:tcPr>
          <w:p w14:paraId="0000022E">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Absent</w:t>
            </w:r>
          </w:p>
        </w:tc>
        <w:tc>
          <w:tcPr>
            <w:cnfStyle w:val="000000000000"/>
            <w:tcW w:w="1616" w:type="dxa"/>
          </w:tcPr>
          <w:p w14:paraId="0000022F">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Present</w:t>
            </w:r>
          </w:p>
        </w:tc>
        <w:tc>
          <w:tcPr>
            <w:cnfStyle w:val="000000000000"/>
            <w:tcW w:w="1639" w:type="dxa"/>
          </w:tcPr>
          <w:p w14:paraId="00000230">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Absent</w:t>
            </w:r>
          </w:p>
        </w:tc>
        <w:tc>
          <w:tcPr>
            <w:cnfStyle w:val="000000000000"/>
            <w:tcW w:w="1815" w:type="dxa"/>
          </w:tcPr>
          <w:p w14:paraId="00000231">
            <w:pPr>
              <w:spacing w:before="0" w:after="0" w:line="240"/>
              <w:jc w:val="center"/>
              <w:rPr>
                <w:rFonts w:ascii="Book Antiqua" w:cs="Book Antiqua" w:eastAsia="Book Antiqua" w:hAnsi="Book Antiqua"/>
                <w:b w:val="off"/>
                <w:bCs w:val="off"/>
                <w:i w:val="off"/>
                <w:iCs w:val="off"/>
                <w:sz w:val="22"/>
                <w:szCs w:val="22"/>
              </w:rPr>
            </w:pPr>
            <w:r>
              <w:rPr>
                <w:rFonts w:ascii="Book Antiqua" w:cs="Book Antiqua" w:eastAsia="Book Antiqua" w:hAnsi="Book Antiqua"/>
                <w:b w:val="off"/>
                <w:bCs w:val="off"/>
                <w:i w:val="off"/>
                <w:iCs w:val="off"/>
                <w:sz w:val="22"/>
                <w:szCs w:val="22"/>
              </w:rPr>
              <w:t>Absent</w:t>
            </w:r>
          </w:p>
        </w:tc>
      </w:tr>
    </w:tbl>
    <w:p w14:paraId="00000232">
      <w:pPr>
        <w:spacing w:before="0" w:after="150" w:line="240"/>
        <w:jc w:val="both"/>
        <w:rPr>
          <w:rFonts w:ascii="Book Antiqua" w:cs="Book Antiqua" w:eastAsia="Book Antiqua" w:hAnsi="Book Antiqua"/>
          <w:sz w:val="22"/>
          <w:szCs w:val="22"/>
        </w:rPr>
      </w:pPr>
    </w:p>
    <w:p w14:paraId="00000233">
      <w:pPr>
        <w:spacing w:before="0" w:after="150" w:line="240"/>
        <w:jc w:val="both"/>
        <w:rPr>
          <w:rFonts w:ascii="Book Antiqua" w:cs="Book Antiqua" w:eastAsia="Book Antiqua" w:hAnsi="Book Antiqua"/>
          <w:b w:val="off"/>
          <w:bCs w:val="off"/>
          <w:i w:val="off"/>
          <w:iCs w:val="off"/>
          <w:color w:val="0e0e0e"/>
          <w:sz w:val="22"/>
          <w:szCs w:val="22"/>
          <w:lang w:val="en-GB"/>
        </w:rPr>
      </w:pPr>
      <w:r>
        <w:rPr>
          <w:rFonts w:ascii="Book Antiqua" w:cs="Book Antiqua" w:eastAsia="Book Antiqua" w:hAnsi="Book Antiqua"/>
          <w:b w:val="off"/>
          <w:bCs w:val="off"/>
          <w:i w:val="off"/>
          <w:iCs w:val="off"/>
          <w:color w:val="0e0e0e"/>
          <w:sz w:val="22"/>
          <w:szCs w:val="22"/>
          <w:lang w:val="en-GB"/>
        </w:rPr>
        <w:t>*Reference interactions were identified via PLIP analysis of the crystal structure PDB ID: 7EW0.</w:t>
      </w:r>
    </w:p>
    <w:p w14:paraId="00000234">
      <w:pPr>
        <w:spacing w:before="0" w:after="150" w:line="240" w:lineRule="auto"/>
        <w:jc w:val="both"/>
        <w:rPr>
          <w:rFonts w:ascii="Book Antiqua" w:cs="Book Antiqua" w:eastAsia="Book Antiqua" w:hAnsi="Book Antiqua"/>
          <w:b w:val="off"/>
          <w:bCs w:val="off"/>
          <w:i w:val="off"/>
          <w:iCs w:val="off"/>
          <w:sz w:val="22"/>
          <w:szCs w:val="22"/>
          <w:lang w:val="en-GB"/>
        </w:rPr>
      </w:pPr>
      <w:r>
        <w:rPr>
          <w:rFonts w:ascii="Book Antiqua" w:cs="Book Antiqua" w:eastAsia="Book Antiqua" w:hAnsi="Book Antiqua"/>
          <w:b/>
          <w:bCs/>
          <w:i w:val="off"/>
          <w:iCs w:val="off"/>
          <w:color w:val="0e0e0e"/>
          <w:sz w:val="22"/>
          <w:szCs w:val="22"/>
          <w:lang w:val="en-GB"/>
        </w:rPr>
        <w:t xml:space="preserve">Table VII </w:t>
      </w:r>
      <w:r>
        <w:rPr>
          <w:rFonts w:ascii="Book Antiqua" w:cs="Book Antiqua" w:eastAsia="Book Antiqua" w:hAnsi="Book Antiqua"/>
          <w:b w:val="off"/>
          <w:bCs w:val="off"/>
          <w:i w:val="off"/>
          <w:iCs w:val="off"/>
          <w:sz w:val="22"/>
          <w:szCs w:val="22"/>
          <w:lang w:val="en-GB"/>
        </w:rPr>
        <w:t xml:space="preserve">The table summarizes the binding site interactions of the S1PR1–Febuxostat complex across three representative MD simulation snapshots (12.6 ns, 14.2 ns, and 15.0 ns) compared to the S1PR1–Ozanimod reference crystal structure. Interactions were </w:t>
      </w:r>
      <w:r>
        <w:rPr>
          <w:rFonts w:ascii="Book Antiqua" w:cs="Book Antiqua" w:eastAsia="Book Antiqua" w:hAnsi="Book Antiqua"/>
          <w:b w:val="off"/>
          <w:bCs w:val="off"/>
          <w:i w:val="off"/>
          <w:iCs w:val="off"/>
          <w:sz w:val="22"/>
          <w:szCs w:val="22"/>
          <w:lang w:val="en-GB"/>
        </w:rPr>
        <w:t>identified</w:t>
      </w:r>
      <w:r>
        <w:rPr>
          <w:rFonts w:ascii="Book Antiqua" w:cs="Book Antiqua" w:eastAsia="Book Antiqua" w:hAnsi="Book Antiqua"/>
          <w:b w:val="off"/>
          <w:bCs w:val="off"/>
          <w:i w:val="off"/>
          <w:iCs w:val="off"/>
          <w:sz w:val="22"/>
          <w:szCs w:val="22"/>
          <w:lang w:val="en-GB"/>
        </w:rPr>
        <w:t xml:space="preserve"> using the Protein-Ligand Interaction Profiler (PLIP). Key residues such as PHE 210 and LEU 195 demonstrate highly conserved hydrophobic anchoring across all analyzed frames, matching the reference complex </w:t>
      </w:r>
      <w:r>
        <w:rPr>
          <w:rFonts w:ascii="Book Antiqua" w:cs="Book Antiqua" w:eastAsia="Book Antiqua" w:hAnsi="Book Antiqua"/>
          <w:b w:val="off"/>
          <w:bCs w:val="off"/>
          <w:i w:val="off"/>
          <w:iCs w:val="off"/>
          <w:sz w:val="22"/>
          <w:szCs w:val="22"/>
          <w:lang w:val="en-GB"/>
        </w:rPr>
        <w:t>behavior</w:t>
      </w:r>
      <w:r>
        <w:rPr>
          <w:rFonts w:ascii="Book Antiqua" w:cs="Book Antiqua" w:eastAsia="Book Antiqua" w:hAnsi="Book Antiqua"/>
          <w:b w:val="off"/>
          <w:bCs w:val="off"/>
          <w:i w:val="off"/>
          <w:iCs w:val="off"/>
          <w:sz w:val="22"/>
          <w:szCs w:val="22"/>
          <w:lang w:val="en-GB"/>
        </w:rPr>
        <w:t>. Variations in polar interactions (SER 129 vs. LYS 34) highlight the unique stabilizing features of the Febuxostat scaffold</w:t>
      </w:r>
    </w:p>
    <w:p w14:paraId="00000235">
      <w:pPr>
        <w:spacing w:line="240"/>
        <w:rPr>
          <w:rFonts w:ascii="Book Antiqua" w:cs="Book Antiqua" w:eastAsia="Book Antiqua" w:hAnsi="Book Antiqua"/>
          <w:b/>
          <w:bCs/>
          <w:i w:val="off"/>
          <w:iCs w:val="off"/>
          <w:color w:val="0c0c0c"/>
          <w:sz w:val="22"/>
          <w:szCs w:val="22"/>
          <w:lang w:val="en-GB"/>
        </w:rPr>
        <w:sectPr>
          <w:type w:val="nextPage"/>
          <w:pgSz w:w="16838" w:h="11906" w:orient="landscape"/>
          <w:pgMar w:top="1440" w:right="1440" w:bottom="1440" w:left="1440" w:header="720" w:footer="720" w:gutter="0"/>
          <w:cols w:space="720"/>
        </w:sectPr>
      </w:pPr>
      <w:r>
        <w:rPr>
          <w:rFonts w:ascii="Book Antiqua" w:cs="Book Antiqua" w:eastAsia="Book Antiqua" w:hAnsi="Book Antiqua"/>
          <w:sz w:val="22"/>
          <w:szCs w:val="22"/>
        </w:rPr>
        <w:br w:type="page"/>
      </w:r>
    </w:p>
    <w:p w14:paraId="00000236">
      <w:pPr>
        <w:pStyle w:val="Normal"/>
        <w:spacing w:line="240" w:lineRule="auto"/>
        <w:jc w:val="both"/>
        <w:rPr>
          <w:rFonts w:ascii="Book Antiqua" w:cs="Book Antiqua" w:eastAsia="Book Antiqua" w:hAnsi="Book Antiqua"/>
          <w:b w:val="off"/>
          <w:bCs w:val="off"/>
          <w:i w:val="off"/>
          <w:iCs w:val="off"/>
          <w:color w:val="0e0e0e"/>
          <w:sz w:val="22"/>
          <w:szCs w:val="22"/>
          <w:lang w:val="en-GB"/>
        </w:rPr>
      </w:pPr>
    </w:p>
    <w:p w14:paraId="00000237">
      <w:pPr>
        <w:pStyle w:val="Normal"/>
        <w:spacing w:before="0" w:after="150" w:line="240" w:lineRule="auto"/>
        <w:jc w:val="both"/>
        <w:rPr>
          <w:rFonts w:ascii="Book Antiqua" w:cs="Book Antiqua" w:eastAsia="Book Antiqua" w:hAnsi="Book Antiqua"/>
          <w:b w:val="off"/>
          <w:bCs w:val="off"/>
          <w:i w:val="off"/>
          <w:iCs w:val="off"/>
          <w:color w:val="0e0e0e"/>
          <w:sz w:val="22"/>
          <w:szCs w:val="22"/>
          <w:lang w:val="en-GB"/>
        </w:rPr>
        <w:sectPr>
          <w:type w:val="nextPage"/>
          <w:pgSz w:w="11906" w:h="16838" w:orient="portrait"/>
          <w:pgMar w:top="1440" w:right="1440" w:bottom="1440" w:left="1440" w:header="720" w:footer="720" w:gutter="0"/>
          <w:cols w:space="720"/>
        </w:sectPr>
      </w:pPr>
      <w:r>
        <w:rPr>
          <w:rFonts w:ascii="Book Antiqua" w:cs="Book Antiqua" w:eastAsia="Book Antiqua" w:hAnsi="Book Antiqua"/>
          <w:b w:val="off"/>
          <w:bCs w:val="off"/>
          <w:i w:val="off"/>
          <w:iCs w:val="off"/>
          <w:color w:val="0e0e0e"/>
          <w:sz w:val="22"/>
          <w:szCs w:val="22"/>
          <w:lang w:val="en-GB"/>
        </w:rPr>
        <w:br w:type="page"/>
      </w:r>
    </w:p>
    <w:p w14:paraId="00000238">
      <w:pPr>
        <w:pStyle w:val="Normal"/>
        <w:spacing w:before="0" w:after="150" w:line="240" w:lineRule="auto"/>
        <w:jc w:val="both"/>
        <w:rPr>
          <w:rFonts w:ascii="Book Antiqua" w:cs="Book Antiqua" w:eastAsia="Book Antiqua" w:hAnsi="Book Antiqua"/>
          <w:b w:val="off"/>
          <w:bCs w:val="off"/>
          <w:i w:val="off"/>
          <w:iCs w:val="off"/>
          <w:color w:val="0e0e0e"/>
          <w:sz w:val="22"/>
          <w:szCs w:val="22"/>
          <w:lang w:val="en-GB"/>
        </w:rPr>
      </w:pPr>
    </w:p>
    <w:p w14:paraId="00000239">
      <w:pPr>
        <w:pStyle w:val="Normal"/>
        <w:spacing w:before="0" w:after="150" w:line="240" w:lineRule="auto"/>
        <w:jc w:val="both"/>
        <w:rPr>
          <w:rFonts w:ascii="Book Antiqua" w:cs="Book Antiqua" w:eastAsia="Book Antiqua" w:hAnsi="Book Antiqua"/>
          <w:b w:val="off"/>
          <w:bCs w:val="off"/>
          <w:i w:val="off"/>
          <w:iCs w:val="off"/>
          <w:color w:val="0e0e0e"/>
          <w:sz w:val="22"/>
          <w:szCs w:val="22"/>
          <w:lang w:val="en-GB"/>
        </w:rPr>
      </w:pPr>
      <w:r>
        <w:rPr>
          <w:rFonts w:ascii="Book Antiqua" w:cs="Book Antiqua" w:eastAsia="Book Antiqua" w:hAnsi="Book Antiqua"/>
          <w:b w:val="off"/>
          <w:bCs w:val="off"/>
          <w:i w:val="off"/>
          <w:iCs w:val="off"/>
          <w:color w:val="0e0e0e"/>
          <w:sz w:val="22"/>
          <w:szCs w:val="22"/>
          <w:lang w:val="en-GB"/>
        </w:rPr>
        <w:drawing xmlns:mc="http://schemas.openxmlformats.org/markup-compatibility/2006">
          <wp:inline distT="0" distB="0" distL="0" distR="0">
            <wp:extent cx="8676005" cy="4699000"/>
            <wp:effectExtent l="0" t="0" r="0" b="0"/>
            <wp:docPr id="2128341028" name="Picture 212834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41015" name="Picture 2128340884"/>
                    <pic:cNvPicPr>
                      <a:picLocks noGrp="0" noSelect="0" noChangeAspect="1" noMove="0"/>
                    </pic:cNvPicPr>
                  </pic:nvPicPr>
                  <pic:blipFill>
                    <a:blip r:embed="rId2029819398"/>
                    <a:srcRect/>
                    <a:stretch>
                      <a:fillRect/>
                    </a:stretch>
                  </pic:blipFill>
                  <pic:spPr>
                    <a:xfrm>
                      <a:off x="0" y="0"/>
                      <a:ext cx="8676005" cy="4699000"/>
                    </a:xfrm>
                    <a:prstGeom prst="rect">
                      <a:avLst/>
                    </a:prstGeom>
                  </pic:spPr>
                </pic:pic>
              </a:graphicData>
            </a:graphic>
          </wp:inline>
        </w:drawing>
      </w:r>
    </w:p>
    <w:p w14:paraId="0000023A">
      <w:pPr>
        <w:pStyle w:val="Normal"/>
        <w:spacing w:before="0" w:after="150" w:line="240" w:lineRule="auto"/>
        <w:jc w:val="both"/>
        <w:rPr>
          <w:rFonts w:ascii="Book Antiqua" w:cs="Book Antiqua" w:eastAsia="Book Antiqua" w:hAnsi="Book Antiqua"/>
          <w:b w:val="off"/>
          <w:bCs w:val="off"/>
          <w:i w:val="off"/>
          <w:iCs w:val="off"/>
          <w:color w:val="0e0e0e"/>
          <w:sz w:val="22"/>
          <w:szCs w:val="22"/>
          <w:lang w:val="en-GB"/>
        </w:rPr>
      </w:pPr>
      <w:r>
        <w:rPr>
          <w:b/>
          <w:bCs/>
          <w:color w:val="000000"/>
          <w:position w:val="0"/>
          <w:sz w:val="22"/>
          <w:szCs w:val="22"/>
          <w:u w:val="none"/>
          <w:vertAlign w:val="baseline"/>
        </w:rPr>
        <w:t xml:space="preserve">Schematic overview of the </w:t>
      </w:r>
      <w:r>
        <w:rPr>
          <w:b/>
          <w:bCs/>
          <w:color w:val="000000"/>
          <w:position w:val="0"/>
          <w:sz w:val="22"/>
          <w:szCs w:val="22"/>
          <w:u w:val="none"/>
          <w:vertAlign w:val="baseline"/>
        </w:rPr>
        <w:t>integr</w:t>
      </w:r>
      <w:r>
        <w:rPr>
          <w:b/>
          <w:bCs/>
          <w:color w:val="000000"/>
          <w:position w:val="0"/>
          <w:sz w:val="22"/>
          <w:szCs w:val="22"/>
          <w:u w:val="none"/>
          <w:vertAlign w:val="baseline"/>
        </w:rPr>
        <w:t>ated AI-driven</w:t>
      </w:r>
      <w:r>
        <w:rPr>
          <w:b/>
          <w:bCs/>
          <w:color w:val="000000"/>
          <w:position w:val="0"/>
          <w:sz w:val="22"/>
          <w:szCs w:val="22"/>
          <w:u w:val="none"/>
          <w:vertAlign w:val="baseline"/>
        </w:rPr>
        <w:t xml:space="preserve"> drug </w:t>
      </w:r>
      <w:r>
        <w:rPr>
          <w:b/>
          <w:bCs/>
          <w:color w:val="000000"/>
          <w:position w:val="0"/>
          <w:sz w:val="22"/>
          <w:szCs w:val="22"/>
          <w:u w:val="none"/>
          <w:vertAlign w:val="baseline"/>
        </w:rPr>
        <w:t>disc</w:t>
      </w:r>
      <w:r>
        <w:rPr>
          <w:b/>
          <w:bCs/>
          <w:color w:val="000000"/>
          <w:position w:val="0"/>
          <w:sz w:val="22"/>
          <w:szCs w:val="22"/>
          <w:u w:val="none"/>
          <w:vertAlign w:val="baseline"/>
        </w:rPr>
        <w:t>overy wor</w:t>
      </w:r>
      <w:r>
        <w:rPr>
          <w:b/>
          <w:bCs/>
          <w:color w:val="000000"/>
          <w:position w:val="0"/>
          <w:sz w:val="22"/>
          <w:szCs w:val="22"/>
          <w:u w:val="none"/>
          <w:vertAlign w:val="baseline"/>
        </w:rPr>
        <w:t>k</w:t>
      </w:r>
      <w:r>
        <w:rPr>
          <w:b/>
          <w:bCs/>
          <w:color w:val="000000"/>
          <w:position w:val="0"/>
          <w:sz w:val="22"/>
          <w:szCs w:val="22"/>
          <w:u w:val="none"/>
          <w:vertAlign w:val="baseline"/>
        </w:rPr>
        <w:t xml:space="preserve">flow for </w:t>
      </w:r>
      <w:r>
        <w:rPr>
          <w:b/>
          <w:bCs/>
          <w:color w:val="000000"/>
          <w:position w:val="0"/>
          <w:sz w:val="22"/>
          <w:szCs w:val="22"/>
          <w:u w:val="none"/>
          <w:vertAlign w:val="baseline"/>
        </w:rPr>
        <w:t>S1PR1, illustrating data retrieval (</w:t>
      </w:r>
      <w:r>
        <w:rPr>
          <w:b/>
          <w:bCs/>
          <w:color w:val="000000"/>
          <w:position w:val="0"/>
          <w:sz w:val="22"/>
          <w:szCs w:val="22"/>
          <w:u w:val="none"/>
          <w:vertAlign w:val="baseline"/>
        </w:rPr>
        <w:t>ChEMBL</w:t>
      </w:r>
      <w:r>
        <w:rPr>
          <w:b/>
          <w:bCs/>
          <w:color w:val="000000"/>
          <w:position w:val="0"/>
          <w:sz w:val="22"/>
          <w:szCs w:val="22"/>
          <w:u w:val="none"/>
          <w:vertAlign w:val="baseline"/>
        </w:rPr>
        <w:t xml:space="preserve">, </w:t>
      </w:r>
      <w:r>
        <w:rPr>
          <w:b/>
          <w:bCs/>
          <w:color w:val="000000"/>
          <w:position w:val="0"/>
          <w:sz w:val="22"/>
          <w:szCs w:val="22"/>
          <w:u w:val="none"/>
          <w:vertAlign w:val="baseline"/>
        </w:rPr>
        <w:t>DrugBank</w:t>
      </w:r>
      <w:r>
        <w:rPr>
          <w:b/>
          <w:bCs/>
          <w:color w:val="000000"/>
          <w:position w:val="0"/>
          <w:sz w:val="22"/>
          <w:szCs w:val="22"/>
          <w:u w:val="none"/>
          <w:vertAlign w:val="baseline"/>
        </w:rPr>
        <w:t xml:space="preserve">, PDB), preprocessing and feature engineering, molecular descriptor and fingerprint generation, machine learning–based virtual screening, molecular </w:t>
      </w:r>
      <w:r>
        <w:rPr>
          <w:b/>
          <w:bCs/>
          <w:color w:val="000000"/>
          <w:position w:val="0"/>
          <w:sz w:val="22"/>
          <w:szCs w:val="22"/>
          <w:u w:val="none"/>
          <w:vertAlign w:val="baseline"/>
        </w:rPr>
        <w:t>docking,  downstream</w:t>
      </w:r>
      <w:r>
        <w:rPr>
          <w:b/>
          <w:bCs/>
          <w:color w:val="000000"/>
          <w:position w:val="0"/>
          <w:sz w:val="22"/>
          <w:szCs w:val="22"/>
          <w:u w:val="none"/>
          <w:vertAlign w:val="baseline"/>
        </w:rPr>
        <w:t xml:space="preserve"> interaction </w:t>
      </w:r>
      <w:r>
        <w:rPr>
          <w:b/>
          <w:bCs/>
          <w:color w:val="000000"/>
          <w:position w:val="0"/>
          <w:sz w:val="22"/>
          <w:szCs w:val="22"/>
          <w:u w:val="none"/>
          <w:vertAlign w:val="baseline"/>
        </w:rPr>
        <w:t>analysis</w:t>
      </w:r>
      <w:r>
        <w:rPr>
          <w:b/>
          <w:bCs/>
          <w:color w:val="000000"/>
          <w:position w:val="0"/>
          <w:sz w:val="22"/>
          <w:szCs w:val="22"/>
          <w:u w:val="none"/>
          <w:vertAlign w:val="baseline"/>
        </w:rPr>
        <w:t xml:space="preserve"> and MD simulation</w:t>
      </w:r>
    </w:p>
    <w:sectPr>
      <w:type w:val="continuous"/>
      <w:pgSz w:w="16838" w:h="11906" w:orient="landscape"/>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00000000" w:usb1="4000acff" w:usb2="00000001" w:usb3="00000000" w:csb0="0000019f" w:csb1="00000000"/>
  </w:font>
  <w:font w:name="Times New Roman">
    <w:panose1 w:val="02020603050405020304"/>
    <w:charset w:val="00"/>
    <w:family w:val="roman"/>
    <w:pitch w:val="variable"/>
    <w:sig w:usb0="00000000" w:usb1="00000000" w:usb2="00000009" w:usb3="00000000" w:csb0="000001ff" w:csb1="00000000"/>
  </w:font>
  <w:font w:name="Calibri Light">
    <w:panose1 w:val="020f0302020204030204"/>
    <w:charset w:val="00"/>
    <w:family w:val="swiss"/>
    <w:pitch w:val="variable"/>
    <w:sig w:usb0="00000000"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00000000" w:csb1="00000000"/>
  </w:font>
  <w:font w:name="Courier New">
    <w:panose1 w:val="02070309020205020404"/>
    <w:charset w:val="00"/>
    <w:family w:val="modern"/>
    <w:pitch w:val="fixed"/>
    <w:sig w:usb0="00000000" w:usb1="00000000" w:usb2="00000009" w:usb3="00000000" w:csb0="000001ff" w:csb1="00000000"/>
  </w:font>
  <w:font w:name="Wingdings">
    <w:panose1 w:val="05000000000000000000"/>
    <w:charset w:val="02"/>
    <w:family w:val="auto"/>
    <w:pitch w:val="variable"/>
    <w:sig w:usb0="00000000" w:usb1="10000000" w:usb2="00000000" w:usb3="00000000" w:csb0="00000000" w:csb1="00000000"/>
  </w:font>
  <w:font w:name="Arial">
    <w:panose1 w:val="020b0604020202020204"/>
    <w:charset w:val="00"/>
    <w:family w:val="swiss"/>
    <w:pitch w:val="variable"/>
    <w:sig w:usb0="20002a87" w:usb1="00000000" w:usb2="00000008" w:usb3="00000000" w:csb0="000001ff" w:csb1="00000000"/>
  </w:font>
  <w:font w:name="Cambria">
    <w:panose1 w:val="02040503050406030204"/>
    <w:charset w:val="00"/>
    <w:family w:val="roman"/>
    <w:pitch w:val="variable"/>
    <w:sig w:usb0="00000000" w:usb1="4000004b" w:usb2="00000000" w:usb3="00000000" w:csb0="0000009f" w:csb1="00000000"/>
  </w:font>
  <w:font w:name="Tahoma">
    <w:panose1 w:val="020b0604030504040204"/>
    <w:charset w:val="00"/>
    <w:family w:val="roman"/>
    <w:pitch w:val="variable"/>
    <w:sig w:usb0="61002a87" w:usb1="00000000" w:usb2="00000008" w:usb3="00000000" w:csb0="000001ff" w:csb1="00000000"/>
  </w:font>
  <w:font w:name="Verdana">
    <w:panose1 w:val="020b0604030504040204"/>
    <w:charset w:val="00"/>
    <w:family w:val="roman"/>
    <w:pitch w:val="variable"/>
    <w:sig w:usb0="00000000" w:usb1="4000205b" w:usb2="00000010" w:usb3="00000000" w:csb0="0000019f" w:csb1="00000000"/>
  </w:font>
  <w:font w:name="Helvetica Neue">
    <w:charset w:val="00"/>
    <w:family w:val="swiss"/>
    <w:pitch w:val="variable"/>
  </w:font>
  <w:font w:name="Book Antiqu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hybridMultilevel"/>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multiLevelType w:val="hybridMultilevel"/>
    <w:lvl w:ilvl="0" w:tentative="0">
      <w:start w:val="1"/>
      <w:numFmt w:val="bullet"/>
      <w:lvlText w:val=""/>
      <w:lvlJc w:val="left"/>
      <w:pPr>
        <w:ind w:left="720" w:hanging="360"/>
      </w:pPr>
      <w:rPr>
        <w:rFonts w:ascii="Symbol" w:hAnsi="Symbol" w:hint="default"/>
      </w:rPr>
    </w:lvl>
    <w:lvl w:ilvl="1" w:tentative="0">
      <w:start w:val="1"/>
      <w:numFmt w:val="bullet"/>
      <w:lvlText w:val="o"/>
      <w:lvlJc w:val="left"/>
      <w:pPr>
        <w:ind w:left="1440" w:hanging="360"/>
      </w:pPr>
      <w:rPr>
        <w:rFonts w:ascii="Courier New" w:hAnsi="Courier New" w:hint="default"/>
      </w:rPr>
    </w:lvl>
    <w:lvl w:ilvl="2" w:tentative="0">
      <w:start w:val="1"/>
      <w:numFmt w:val="bullet"/>
      <w:lvlText w:val=""/>
      <w:lvlJc w:val="left"/>
      <w:pPr>
        <w:ind w:left="2160" w:hanging="360"/>
      </w:pPr>
      <w:rPr>
        <w:rFonts w:ascii="Wingdings" w:hAnsi="Wingdings" w:hint="default"/>
      </w:rPr>
    </w:lvl>
    <w:lvl w:ilvl="3" w:tentative="0">
      <w:start w:val="1"/>
      <w:numFmt w:val="bullet"/>
      <w:lvlText w:val=""/>
      <w:lvlJc w:val="left"/>
      <w:pPr>
        <w:ind w:left="2880" w:hanging="360"/>
      </w:pPr>
      <w:rPr>
        <w:rFonts w:ascii="Symbol" w:hAnsi="Symbol" w:hint="default"/>
      </w:rPr>
    </w:lvl>
    <w:lvl w:ilvl="4" w:tentative="0">
      <w:start w:val="1"/>
      <w:numFmt w:val="bullet"/>
      <w:lvlText w:val="o"/>
      <w:lvlJc w:val="left"/>
      <w:pPr>
        <w:ind w:left="3600" w:hanging="360"/>
      </w:pPr>
      <w:rPr>
        <w:rFonts w:ascii="Courier New" w:hAnsi="Courier New" w:hint="default"/>
      </w:rPr>
    </w:lvl>
    <w:lvl w:ilvl="5" w:tentative="0">
      <w:start w:val="1"/>
      <w:numFmt w:val="bullet"/>
      <w:lvlText w:val=""/>
      <w:lvlJc w:val="left"/>
      <w:pPr>
        <w:ind w:left="4320" w:hanging="360"/>
      </w:pPr>
      <w:rPr>
        <w:rFonts w:ascii="Wingdings" w:hAnsi="Wingdings" w:hint="default"/>
      </w:rPr>
    </w:lvl>
    <w:lvl w:ilvl="6" w:tentative="0">
      <w:start w:val="1"/>
      <w:numFmt w:val="bullet"/>
      <w:lvlText w:val=""/>
      <w:lvlJc w:val="left"/>
      <w:pPr>
        <w:ind w:left="5040" w:hanging="360"/>
      </w:pPr>
      <w:rPr>
        <w:rFonts w:ascii="Symbol" w:hAnsi="Symbol" w:hint="default"/>
      </w:rPr>
    </w:lvl>
    <w:lvl w:ilvl="7" w:tentative="0">
      <w:start w:val="1"/>
      <w:numFmt w:val="bullet"/>
      <w:lvlText w:val="o"/>
      <w:lvlJc w:val="left"/>
      <w:pPr>
        <w:ind w:left="5760" w:hanging="360"/>
      </w:pPr>
      <w:rPr>
        <w:rFonts w:ascii="Courier New" w:hAnsi="Courier New" w:hint="default"/>
      </w:rPr>
    </w:lvl>
    <w:lvl w:ilvl="8" w:tentative="0">
      <w:start w:val="1"/>
      <w:numFmt w:val="bullet"/>
      <w:lvlText w:val=""/>
      <w:lvlJc w:val="left"/>
      <w:pPr>
        <w:ind w:left="6480" w:hanging="360"/>
      </w:pPr>
      <w:rPr>
        <w:rFonts w:ascii="Wingdings" w:hAnsi="Wingdings" w:hint="default"/>
      </w:rPr>
    </w:lvl>
  </w:abstractNum>
  <w:abstractNum w:abstractNumId="2">
    <w:multiLevelType w:val="hybridMultilevel"/>
    <w:lvl w:ilvl="0" w:tentative="0">
      <w:start w:val="1"/>
      <w:numFmt w:val="bullet"/>
      <w:lvlText w:val=""/>
      <w:lvlJc w:val="left"/>
      <w:pPr>
        <w:ind w:left="720" w:hanging="360"/>
      </w:pPr>
      <w:rPr>
        <w:rFonts w:ascii="Symbol" w:hAnsi="Symbol" w:hint="default"/>
      </w:rPr>
    </w:lvl>
    <w:lvl w:ilvl="1" w:tentative="0">
      <w:start w:val="1"/>
      <w:numFmt w:val="bullet"/>
      <w:lvlText w:val="o"/>
      <w:lvlJc w:val="left"/>
      <w:pPr>
        <w:ind w:left="1440" w:hanging="360"/>
      </w:pPr>
      <w:rPr>
        <w:rFonts w:ascii="Courier New" w:hAnsi="Courier New" w:hint="default"/>
      </w:rPr>
    </w:lvl>
    <w:lvl w:ilvl="2" w:tentative="0">
      <w:start w:val="1"/>
      <w:numFmt w:val="bullet"/>
      <w:lvlText w:val=""/>
      <w:lvlJc w:val="left"/>
      <w:pPr>
        <w:ind w:left="2160" w:hanging="360"/>
      </w:pPr>
      <w:rPr>
        <w:rFonts w:ascii="Wingdings" w:hAnsi="Wingdings" w:hint="default"/>
      </w:rPr>
    </w:lvl>
    <w:lvl w:ilvl="3" w:tentative="0">
      <w:start w:val="1"/>
      <w:numFmt w:val="bullet"/>
      <w:lvlText w:val=""/>
      <w:lvlJc w:val="left"/>
      <w:pPr>
        <w:ind w:left="2880" w:hanging="360"/>
      </w:pPr>
      <w:rPr>
        <w:rFonts w:ascii="Symbol" w:hAnsi="Symbol" w:hint="default"/>
      </w:rPr>
    </w:lvl>
    <w:lvl w:ilvl="4" w:tentative="0">
      <w:start w:val="1"/>
      <w:numFmt w:val="bullet"/>
      <w:lvlText w:val="o"/>
      <w:lvlJc w:val="left"/>
      <w:pPr>
        <w:ind w:left="3600" w:hanging="360"/>
      </w:pPr>
      <w:rPr>
        <w:rFonts w:ascii="Courier New" w:hAnsi="Courier New" w:hint="default"/>
      </w:rPr>
    </w:lvl>
    <w:lvl w:ilvl="5" w:tentative="0">
      <w:start w:val="1"/>
      <w:numFmt w:val="bullet"/>
      <w:lvlText w:val=""/>
      <w:lvlJc w:val="left"/>
      <w:pPr>
        <w:ind w:left="4320" w:hanging="360"/>
      </w:pPr>
      <w:rPr>
        <w:rFonts w:ascii="Wingdings" w:hAnsi="Wingdings" w:hint="default"/>
      </w:rPr>
    </w:lvl>
    <w:lvl w:ilvl="6" w:tentative="0">
      <w:start w:val="1"/>
      <w:numFmt w:val="bullet"/>
      <w:lvlText w:val=""/>
      <w:lvlJc w:val="left"/>
      <w:pPr>
        <w:ind w:left="5040" w:hanging="360"/>
      </w:pPr>
      <w:rPr>
        <w:rFonts w:ascii="Symbol" w:hAnsi="Symbol" w:hint="default"/>
      </w:rPr>
    </w:lvl>
    <w:lvl w:ilvl="7" w:tentative="0">
      <w:start w:val="1"/>
      <w:numFmt w:val="bullet"/>
      <w:lvlText w:val="o"/>
      <w:lvlJc w:val="left"/>
      <w:pPr>
        <w:ind w:left="5760" w:hanging="360"/>
      </w:pPr>
      <w:rPr>
        <w:rFonts w:ascii="Courier New" w:hAnsi="Courier New" w:hint="default"/>
      </w:rPr>
    </w:lvl>
    <w:lvl w:ilvl="8" w:tentative="0">
      <w:start w:val="1"/>
      <w:numFmt w:val="bullet"/>
      <w:lvlText w:val=""/>
      <w:lvlJc w:val="left"/>
      <w:pPr>
        <w:ind w:left="6480" w:hanging="360"/>
      </w:pPr>
      <w:rPr>
        <w:rFonts w:ascii="Wingdings" w:hAnsi="Wingdings" w:hint="default"/>
      </w:rPr>
    </w:lvl>
  </w:abstractNum>
  <w:abstractNum w:abstractNumId="3">
    <w:multiLevelType w:val="hybridMultilevel"/>
    <w:lvl w:ilvl="0" w:tentative="0">
      <w:start w:val="1"/>
      <w:numFmt w:val="bullet"/>
      <w:lvlText w:val=""/>
      <w:lvlJc w:val="left"/>
      <w:pPr>
        <w:ind w:left="720" w:hanging="360"/>
      </w:pPr>
      <w:rPr>
        <w:rFonts w:ascii="Symbol" w:hAnsi="Symbol" w:hint="default"/>
      </w:rPr>
    </w:lvl>
    <w:lvl w:ilvl="1" w:tentative="0">
      <w:start w:val="1"/>
      <w:numFmt w:val="bullet"/>
      <w:lvlText w:val="o"/>
      <w:lvlJc w:val="left"/>
      <w:pPr>
        <w:ind w:left="1440" w:hanging="360"/>
      </w:pPr>
      <w:rPr>
        <w:rFonts w:ascii="Courier New" w:hAnsi="Courier New" w:hint="default"/>
      </w:rPr>
    </w:lvl>
    <w:lvl w:ilvl="2" w:tentative="0">
      <w:start w:val="1"/>
      <w:numFmt w:val="bullet"/>
      <w:lvlText w:val=""/>
      <w:lvlJc w:val="left"/>
      <w:pPr>
        <w:ind w:left="2160" w:hanging="360"/>
      </w:pPr>
      <w:rPr>
        <w:rFonts w:ascii="Wingdings" w:hAnsi="Wingdings" w:hint="default"/>
      </w:rPr>
    </w:lvl>
    <w:lvl w:ilvl="3" w:tentative="0">
      <w:start w:val="1"/>
      <w:numFmt w:val="bullet"/>
      <w:lvlText w:val=""/>
      <w:lvlJc w:val="left"/>
      <w:pPr>
        <w:ind w:left="2880" w:hanging="360"/>
      </w:pPr>
      <w:rPr>
        <w:rFonts w:ascii="Symbol" w:hAnsi="Symbol" w:hint="default"/>
      </w:rPr>
    </w:lvl>
    <w:lvl w:ilvl="4" w:tentative="0">
      <w:start w:val="1"/>
      <w:numFmt w:val="bullet"/>
      <w:lvlText w:val="o"/>
      <w:lvlJc w:val="left"/>
      <w:pPr>
        <w:ind w:left="3600" w:hanging="360"/>
      </w:pPr>
      <w:rPr>
        <w:rFonts w:ascii="Courier New" w:hAnsi="Courier New" w:hint="default"/>
      </w:rPr>
    </w:lvl>
    <w:lvl w:ilvl="5" w:tentative="0">
      <w:start w:val="1"/>
      <w:numFmt w:val="bullet"/>
      <w:lvlText w:val=""/>
      <w:lvlJc w:val="left"/>
      <w:pPr>
        <w:ind w:left="4320" w:hanging="360"/>
      </w:pPr>
      <w:rPr>
        <w:rFonts w:ascii="Wingdings" w:hAnsi="Wingdings" w:hint="default"/>
      </w:rPr>
    </w:lvl>
    <w:lvl w:ilvl="6" w:tentative="0">
      <w:start w:val="1"/>
      <w:numFmt w:val="bullet"/>
      <w:lvlText w:val=""/>
      <w:lvlJc w:val="left"/>
      <w:pPr>
        <w:ind w:left="5040" w:hanging="360"/>
      </w:pPr>
      <w:rPr>
        <w:rFonts w:ascii="Symbol" w:hAnsi="Symbol" w:hint="default"/>
      </w:rPr>
    </w:lvl>
    <w:lvl w:ilvl="7" w:tentative="0">
      <w:start w:val="1"/>
      <w:numFmt w:val="bullet"/>
      <w:lvlText w:val="o"/>
      <w:lvlJc w:val="left"/>
      <w:pPr>
        <w:ind w:left="5760" w:hanging="360"/>
      </w:pPr>
      <w:rPr>
        <w:rFonts w:ascii="Courier New" w:hAnsi="Courier New" w:hint="default"/>
      </w:rPr>
    </w:lvl>
    <w:lvl w:ilvl="8" w:tentative="0">
      <w:start w:val="1"/>
      <w:numFmt w:val="bullet"/>
      <w:lvlText w:val=""/>
      <w:lvlJc w:val="left"/>
      <w:pPr>
        <w:ind w:left="6480" w:hanging="360"/>
      </w:pPr>
      <w:rPr>
        <w:rFonts w:ascii="Wingdings" w:hAnsi="Wingdings" w:hint="default"/>
      </w:rPr>
    </w:lvl>
  </w:abstractNum>
  <w:abstractNum w:abstractNumId="4">
    <w:multiLevelType w:val="hybridMultilevel"/>
    <w:lvl w:ilvl="0" w:tentative="0">
      <w:start w:val="1"/>
      <w:numFmt w:val="bullet"/>
      <w:lvlText w:val=""/>
      <w:lvlJc w:val="left"/>
      <w:pPr>
        <w:ind w:left="720" w:hanging="360"/>
      </w:pPr>
      <w:rPr>
        <w:rFonts w:ascii="Symbol" w:hAnsi="Symbol" w:hint="default"/>
      </w:rPr>
    </w:lvl>
    <w:lvl w:ilvl="1" w:tentative="0">
      <w:start w:val="1"/>
      <w:numFmt w:val="bullet"/>
      <w:lvlText w:val="o"/>
      <w:lvlJc w:val="left"/>
      <w:pPr>
        <w:ind w:left="1440" w:hanging="360"/>
      </w:pPr>
      <w:rPr>
        <w:rFonts w:ascii="Courier New" w:hAnsi="Courier New" w:hint="default"/>
      </w:rPr>
    </w:lvl>
    <w:lvl w:ilvl="2" w:tentative="0">
      <w:start w:val="1"/>
      <w:numFmt w:val="bullet"/>
      <w:lvlText w:val=""/>
      <w:lvlJc w:val="left"/>
      <w:pPr>
        <w:ind w:left="2160" w:hanging="360"/>
      </w:pPr>
      <w:rPr>
        <w:rFonts w:ascii="Wingdings" w:hAnsi="Wingdings" w:hint="default"/>
      </w:rPr>
    </w:lvl>
    <w:lvl w:ilvl="3" w:tentative="0">
      <w:start w:val="1"/>
      <w:numFmt w:val="bullet"/>
      <w:lvlText w:val=""/>
      <w:lvlJc w:val="left"/>
      <w:pPr>
        <w:ind w:left="2880" w:hanging="360"/>
      </w:pPr>
      <w:rPr>
        <w:rFonts w:ascii="Symbol" w:hAnsi="Symbol" w:hint="default"/>
      </w:rPr>
    </w:lvl>
    <w:lvl w:ilvl="4" w:tentative="0">
      <w:start w:val="1"/>
      <w:numFmt w:val="bullet"/>
      <w:lvlText w:val="o"/>
      <w:lvlJc w:val="left"/>
      <w:pPr>
        <w:ind w:left="3600" w:hanging="360"/>
      </w:pPr>
      <w:rPr>
        <w:rFonts w:ascii="Courier New" w:hAnsi="Courier New" w:hint="default"/>
      </w:rPr>
    </w:lvl>
    <w:lvl w:ilvl="5" w:tentative="0">
      <w:start w:val="1"/>
      <w:numFmt w:val="bullet"/>
      <w:lvlText w:val=""/>
      <w:lvlJc w:val="left"/>
      <w:pPr>
        <w:ind w:left="4320" w:hanging="360"/>
      </w:pPr>
      <w:rPr>
        <w:rFonts w:ascii="Wingdings" w:hAnsi="Wingdings" w:hint="default"/>
      </w:rPr>
    </w:lvl>
    <w:lvl w:ilvl="6" w:tentative="0">
      <w:start w:val="1"/>
      <w:numFmt w:val="bullet"/>
      <w:lvlText w:val=""/>
      <w:lvlJc w:val="left"/>
      <w:pPr>
        <w:ind w:left="5040" w:hanging="360"/>
      </w:pPr>
      <w:rPr>
        <w:rFonts w:ascii="Symbol" w:hAnsi="Symbol" w:hint="default"/>
      </w:rPr>
    </w:lvl>
    <w:lvl w:ilvl="7" w:tentative="0">
      <w:start w:val="1"/>
      <w:numFmt w:val="bullet"/>
      <w:lvlText w:val="o"/>
      <w:lvlJc w:val="left"/>
      <w:pPr>
        <w:ind w:left="5760" w:hanging="360"/>
      </w:pPr>
      <w:rPr>
        <w:rFonts w:ascii="Courier New" w:hAnsi="Courier New" w:hint="default"/>
      </w:rPr>
    </w:lvl>
    <w:lvl w:ilvl="8" w:tentative="0">
      <w:start w:val="1"/>
      <w:numFmt w:val="bullet"/>
      <w:lvlText w:val=""/>
      <w:lvlJc w:val="left"/>
      <w:pPr>
        <w:ind w:left="6480" w:hanging="360"/>
      </w:pPr>
      <w:rPr>
        <w:rFonts w:ascii="Wingdings" w:hAnsi="Wingdings" w:hint="default"/>
      </w:rPr>
    </w:lvl>
  </w:abstractNum>
  <w:abstractNum w:abstractNumId="5">
    <w:multiLevelType w:val="hybridMultilevel"/>
    <w:lvl w:ilvl="0" w:tentative="0">
      <w:start w:val="1"/>
      <w:numFmt w:val="bullet"/>
      <w:lvlText w:val=""/>
      <w:lvlJc w:val="left"/>
      <w:pPr>
        <w:ind w:left="720" w:hanging="360"/>
      </w:pPr>
      <w:rPr>
        <w:rFonts w:ascii="Symbol" w:hAnsi="Symbol" w:hint="default"/>
      </w:rPr>
    </w:lvl>
    <w:lvl w:ilvl="1" w:tentative="0">
      <w:start w:val="1"/>
      <w:numFmt w:val="bullet"/>
      <w:lvlText w:val="o"/>
      <w:lvlJc w:val="left"/>
      <w:pPr>
        <w:ind w:left="1440" w:hanging="360"/>
      </w:pPr>
      <w:rPr>
        <w:rFonts w:ascii="Courier New" w:hAnsi="Courier New" w:hint="default"/>
      </w:rPr>
    </w:lvl>
    <w:lvl w:ilvl="2" w:tentative="0">
      <w:start w:val="1"/>
      <w:numFmt w:val="bullet"/>
      <w:lvlText w:val=""/>
      <w:lvlJc w:val="left"/>
      <w:pPr>
        <w:ind w:left="2160" w:hanging="360"/>
      </w:pPr>
      <w:rPr>
        <w:rFonts w:ascii="Wingdings" w:hAnsi="Wingdings" w:hint="default"/>
      </w:rPr>
    </w:lvl>
    <w:lvl w:ilvl="3" w:tentative="0">
      <w:start w:val="1"/>
      <w:numFmt w:val="bullet"/>
      <w:lvlText w:val=""/>
      <w:lvlJc w:val="left"/>
      <w:pPr>
        <w:ind w:left="2880" w:hanging="360"/>
      </w:pPr>
      <w:rPr>
        <w:rFonts w:ascii="Symbol" w:hAnsi="Symbol" w:hint="default"/>
      </w:rPr>
    </w:lvl>
    <w:lvl w:ilvl="4" w:tentative="0">
      <w:start w:val="1"/>
      <w:numFmt w:val="bullet"/>
      <w:lvlText w:val="o"/>
      <w:lvlJc w:val="left"/>
      <w:pPr>
        <w:ind w:left="3600" w:hanging="360"/>
      </w:pPr>
      <w:rPr>
        <w:rFonts w:ascii="Courier New" w:hAnsi="Courier New" w:hint="default"/>
      </w:rPr>
    </w:lvl>
    <w:lvl w:ilvl="5" w:tentative="0">
      <w:start w:val="1"/>
      <w:numFmt w:val="bullet"/>
      <w:lvlText w:val=""/>
      <w:lvlJc w:val="left"/>
      <w:pPr>
        <w:ind w:left="4320" w:hanging="360"/>
      </w:pPr>
      <w:rPr>
        <w:rFonts w:ascii="Wingdings" w:hAnsi="Wingdings" w:hint="default"/>
      </w:rPr>
    </w:lvl>
    <w:lvl w:ilvl="6" w:tentative="0">
      <w:start w:val="1"/>
      <w:numFmt w:val="bullet"/>
      <w:lvlText w:val=""/>
      <w:lvlJc w:val="left"/>
      <w:pPr>
        <w:ind w:left="5040" w:hanging="360"/>
      </w:pPr>
      <w:rPr>
        <w:rFonts w:ascii="Symbol" w:hAnsi="Symbol" w:hint="default"/>
      </w:rPr>
    </w:lvl>
    <w:lvl w:ilvl="7" w:tentative="0">
      <w:start w:val="1"/>
      <w:numFmt w:val="bullet"/>
      <w:lvlText w:val="o"/>
      <w:lvlJc w:val="left"/>
      <w:pPr>
        <w:ind w:left="5760" w:hanging="360"/>
      </w:pPr>
      <w:rPr>
        <w:rFonts w:ascii="Courier New" w:hAnsi="Courier New" w:hint="default"/>
      </w:rPr>
    </w:lvl>
    <w:lvl w:ilvl="8" w:tentative="0">
      <w:start w:val="1"/>
      <w:numFmt w:val="bullet"/>
      <w:lvlText w:val=""/>
      <w:lvlJc w:val="left"/>
      <w:pPr>
        <w:ind w:left="6480" w:hanging="360"/>
      </w:pPr>
      <w:rPr>
        <w:rFonts w:ascii="Wingdings" w:hAnsi="Wingdings" w:hint="default"/>
      </w:rPr>
    </w:lvl>
  </w:abstractNum>
  <w:abstractNum w:abstractNumId="6">
    <w:multiLevelType w:val="hybridMultilevel"/>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multiLevelType w:val="hybridMultilevel"/>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multiLevelType w:val="hybridMultilevel"/>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multiLevelType w:val="hybridMultilevel"/>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DDAB106"/>
    <w:rsid w:val="00464189"/>
    <w:rsid w:val="00A585D2"/>
    <w:rsid w:val="00AFE382"/>
    <w:rsid w:val="010A3285"/>
    <w:rsid w:val="010E7F40"/>
    <w:rsid w:val="0192DBC9"/>
    <w:rsid w:val="01C11CA5"/>
    <w:rsid w:val="01D8A350"/>
    <w:rsid w:val="01FF141E"/>
    <w:rsid w:val="020641AB"/>
    <w:rsid w:val="02086BE3"/>
    <w:rsid w:val="02649BB9"/>
    <w:rsid w:val="0275B48B"/>
    <w:rsid w:val="029AAFC2"/>
    <w:rsid w:val="031758D7"/>
    <w:rsid w:val="031AAA17"/>
    <w:rsid w:val="03329A20"/>
    <w:rsid w:val="034FC0EB"/>
    <w:rsid w:val="035F6607"/>
    <w:rsid w:val="037F65D4"/>
    <w:rsid w:val="03FCAE65"/>
    <w:rsid w:val="03FF9AF9"/>
    <w:rsid w:val="040B1DE1"/>
    <w:rsid w:val="04426D24"/>
    <w:rsid w:val="044BC673"/>
    <w:rsid w:val="046B7AE4"/>
    <w:rsid w:val="04A05EA2"/>
    <w:rsid w:val="04A63094"/>
    <w:rsid w:val="04C7652E"/>
    <w:rsid w:val="04D510B1"/>
    <w:rsid w:val="050DF786"/>
    <w:rsid w:val="0535B2EA"/>
    <w:rsid w:val="054C8AC6"/>
    <w:rsid w:val="057B2C0D"/>
    <w:rsid w:val="05BEA27B"/>
    <w:rsid w:val="05CCA538"/>
    <w:rsid w:val="05DBB7EF"/>
    <w:rsid w:val="05DBB7EF"/>
    <w:rsid w:val="0609EC15"/>
    <w:rsid w:val="06415BC4"/>
    <w:rsid w:val="06642E02"/>
    <w:rsid w:val="06649A1A"/>
    <w:rsid w:val="06B0B6F8"/>
    <w:rsid w:val="06F9ED52"/>
    <w:rsid w:val="0708B11A"/>
    <w:rsid w:val="0728F09B"/>
    <w:rsid w:val="074295A5"/>
    <w:rsid w:val="075E83C1"/>
    <w:rsid w:val="07664FF4"/>
    <w:rsid w:val="078F7951"/>
    <w:rsid w:val="07A7B739"/>
    <w:rsid w:val="07AC10B9"/>
    <w:rsid w:val="081A5289"/>
    <w:rsid w:val="0876AB3C"/>
    <w:rsid w:val="08874509"/>
    <w:rsid w:val="08983B84"/>
    <w:rsid w:val="08A5B8F1"/>
    <w:rsid w:val="08A5B8F1"/>
    <w:rsid w:val="08C7D662"/>
    <w:rsid w:val="08DD0FD0"/>
    <w:rsid w:val="08FC95D5"/>
    <w:rsid w:val="0903A2B8"/>
    <w:rsid w:val="09160DA6"/>
    <w:rsid w:val="092DF4DC"/>
    <w:rsid w:val="09445E50"/>
    <w:rsid w:val="094D1A2C"/>
    <w:rsid w:val="096862BD"/>
    <w:rsid w:val="09A913A6"/>
    <w:rsid w:val="09C16155"/>
    <w:rsid w:val="09DF2CB9"/>
    <w:rsid w:val="0A1957EA"/>
    <w:rsid w:val="0A1FB801"/>
    <w:rsid w:val="0A5C5283"/>
    <w:rsid w:val="0AA4F4C9"/>
    <w:rsid w:val="0B3CEED8"/>
    <w:rsid w:val="0B629458"/>
    <w:rsid w:val="0B7E8360"/>
    <w:rsid w:val="0BC46F4A"/>
    <w:rsid w:val="0BC46F4A"/>
    <w:rsid w:val="0BEEADA3"/>
    <w:rsid w:val="0C7367E8"/>
    <w:rsid w:val="0CB6104C"/>
    <w:rsid w:val="0CEB44C2"/>
    <w:rsid w:val="0D1B16BB"/>
    <w:rsid w:val="0D54B099"/>
    <w:rsid w:val="0D601F82"/>
    <w:rsid w:val="0D74BA0F"/>
    <w:rsid w:val="0D7C35E1"/>
    <w:rsid w:val="0DA0D39D"/>
    <w:rsid w:val="0DFB01FD"/>
    <w:rsid w:val="0E125468"/>
    <w:rsid w:val="0E14A3E6"/>
    <w:rsid w:val="0E2B2D10"/>
    <w:rsid w:val="0E4A7FB9"/>
    <w:rsid w:val="0E62DAD4"/>
    <w:rsid w:val="0E76AD3E"/>
    <w:rsid w:val="0E8D58E5"/>
    <w:rsid w:val="0EA5232B"/>
    <w:rsid w:val="0EBC9697"/>
    <w:rsid w:val="0EC32FA1"/>
    <w:rsid w:val="0ECED04D"/>
    <w:rsid w:val="0EDBA7EC"/>
    <w:rsid w:val="0EE6A7C9"/>
    <w:rsid w:val="0F28C218"/>
    <w:rsid w:val="0F28C218"/>
    <w:rsid w:val="0F328270"/>
    <w:rsid w:val="0F33CD51"/>
    <w:rsid w:val="0F676B77"/>
    <w:rsid w:val="0F922563"/>
    <w:rsid w:val="102247BD"/>
    <w:rsid w:val="104167BB"/>
    <w:rsid w:val="10416B12"/>
    <w:rsid w:val="10B0D915"/>
    <w:rsid w:val="10D7AF9C"/>
    <w:rsid w:val="10F26450"/>
    <w:rsid w:val="1114657E"/>
    <w:rsid w:val="112079CA"/>
    <w:rsid w:val="112211FA"/>
    <w:rsid w:val="1125ACB6"/>
    <w:rsid w:val="11298C60"/>
    <w:rsid w:val="1172E9EA"/>
    <w:rsid w:val="11BC7F35"/>
    <w:rsid w:val="1228CFCD"/>
    <w:rsid w:val="1239843F"/>
    <w:rsid w:val="126D9C19"/>
    <w:rsid w:val="1276A9CE"/>
    <w:rsid w:val="128A9C95"/>
    <w:rsid w:val="12C654C0"/>
    <w:rsid w:val="13036BB6"/>
    <w:rsid w:val="1373813F"/>
    <w:rsid w:val="139DF312"/>
    <w:rsid w:val="13B82E9D"/>
    <w:rsid w:val="141DA5FC"/>
    <w:rsid w:val="1439C284"/>
    <w:rsid w:val="148718DA"/>
    <w:rsid w:val="149C84C6"/>
    <w:rsid w:val="14BE0B2C"/>
    <w:rsid w:val="14C26FE0"/>
    <w:rsid w:val="14D6FA4E"/>
    <w:rsid w:val="15093683"/>
    <w:rsid w:val="15555FD1"/>
    <w:rsid w:val="1561BB29"/>
    <w:rsid w:val="157EFC82"/>
    <w:rsid w:val="15B47FA3"/>
    <w:rsid w:val="15BE09F1"/>
    <w:rsid w:val="15BE35E9"/>
    <w:rsid w:val="1654944E"/>
    <w:rsid w:val="1654EC29"/>
    <w:rsid w:val="1672BD99"/>
    <w:rsid w:val="1684B24F"/>
    <w:rsid w:val="168542BD"/>
    <w:rsid w:val="16FF2303"/>
    <w:rsid w:val="1722BB79"/>
    <w:rsid w:val="1781D1DB"/>
    <w:rsid w:val="17F9310B"/>
    <w:rsid w:val="18085DDB"/>
    <w:rsid w:val="183F2A49"/>
    <w:rsid w:val="18E4032C"/>
    <w:rsid w:val="194A7689"/>
    <w:rsid w:val="19521CA1"/>
    <w:rsid w:val="1988454B"/>
    <w:rsid w:val="19885678"/>
    <w:rsid w:val="198FFC95"/>
    <w:rsid w:val="19D8742A"/>
    <w:rsid w:val="1A3CD25B"/>
    <w:rsid w:val="1A577F28"/>
    <w:rsid w:val="1A9503FB"/>
    <w:rsid w:val="1AA4B95B"/>
    <w:rsid w:val="1AB0D5C4"/>
    <w:rsid w:val="1AB34BD8"/>
    <w:rsid w:val="1AB60C06"/>
    <w:rsid w:val="1ABFE65E"/>
    <w:rsid w:val="1B38E4CA"/>
    <w:rsid w:val="1B49A65D"/>
    <w:rsid w:val="1B8641AE"/>
    <w:rsid w:val="1B92F6EF"/>
    <w:rsid w:val="1BDD1B9C"/>
    <w:rsid w:val="1C203E2E"/>
    <w:rsid w:val="1C38636C"/>
    <w:rsid w:val="1CFD6CD9"/>
    <w:rsid w:val="1D279F6F"/>
    <w:rsid w:val="1D661E6D"/>
    <w:rsid w:val="1D661E6D"/>
    <w:rsid w:val="1D86A0B1"/>
    <w:rsid w:val="1DB59E39"/>
    <w:rsid w:val="1DCAB92C"/>
    <w:rsid w:val="1DDAB106"/>
    <w:rsid w:val="1E221364"/>
    <w:rsid w:val="1E250988"/>
    <w:rsid w:val="1E59FB8C"/>
    <w:rsid w:val="1E8D4B7C"/>
    <w:rsid w:val="1EC62B60"/>
    <w:rsid w:val="1ECE4A8A"/>
    <w:rsid w:val="1EE50A18"/>
    <w:rsid w:val="1EEE815D"/>
    <w:rsid w:val="1F500BEA"/>
    <w:rsid w:val="1F79F5EF"/>
    <w:rsid w:val="1FC3C75E"/>
    <w:rsid w:val="2022CF14"/>
    <w:rsid w:val="20370594"/>
    <w:rsid w:val="20381FE7"/>
    <w:rsid w:val="2052A8D7"/>
    <w:rsid w:val="2080A526"/>
    <w:rsid w:val="20E84026"/>
    <w:rsid w:val="21115EE6"/>
    <w:rsid w:val="21C39EFD"/>
    <w:rsid w:val="21D0FBD4"/>
    <w:rsid w:val="21E48583"/>
    <w:rsid w:val="21F3594B"/>
    <w:rsid w:val="2211F670"/>
    <w:rsid w:val="22307F95"/>
    <w:rsid w:val="22307F95"/>
    <w:rsid w:val="22A38B11"/>
    <w:rsid w:val="22E44D0F"/>
    <w:rsid w:val="22F3FE6E"/>
    <w:rsid w:val="23171F7C"/>
    <w:rsid w:val="231CBE25"/>
    <w:rsid w:val="232E64A3"/>
    <w:rsid w:val="2331881F"/>
    <w:rsid w:val="235E2A9B"/>
    <w:rsid w:val="23772B28"/>
    <w:rsid w:val="237CB5DF"/>
    <w:rsid w:val="237CC9F9"/>
    <w:rsid w:val="23C9C40D"/>
    <w:rsid w:val="23F1FFDA"/>
    <w:rsid w:val="244797D9"/>
    <w:rsid w:val="246D18ED"/>
    <w:rsid w:val="249215BA"/>
    <w:rsid w:val="25862B08"/>
    <w:rsid w:val="267DC501"/>
    <w:rsid w:val="268939F7"/>
    <w:rsid w:val="26B3B1A9"/>
    <w:rsid w:val="26CF3242"/>
    <w:rsid w:val="26F9ACBA"/>
    <w:rsid w:val="2705E937"/>
    <w:rsid w:val="27263255"/>
    <w:rsid w:val="2735105B"/>
    <w:rsid w:val="275B7648"/>
    <w:rsid w:val="275EDA43"/>
    <w:rsid w:val="27622DE8"/>
    <w:rsid w:val="2791AA7A"/>
    <w:rsid w:val="2794725A"/>
    <w:rsid w:val="27DCEB02"/>
    <w:rsid w:val="27F175A9"/>
    <w:rsid w:val="280AFD7E"/>
    <w:rsid w:val="2810F7B0"/>
    <w:rsid w:val="2843BDE2"/>
    <w:rsid w:val="2847FD22"/>
    <w:rsid w:val="28577678"/>
    <w:rsid w:val="2889E0FB"/>
    <w:rsid w:val="28A9169C"/>
    <w:rsid w:val="28ABE4DB"/>
    <w:rsid w:val="28DA9F17"/>
    <w:rsid w:val="291ACAF9"/>
    <w:rsid w:val="294EA4C4"/>
    <w:rsid w:val="295C2AC3"/>
    <w:rsid w:val="295C2AC3"/>
    <w:rsid w:val="29AB3BFB"/>
    <w:rsid w:val="29E3F827"/>
    <w:rsid w:val="29EC5348"/>
    <w:rsid w:val="2A9195C7"/>
    <w:rsid w:val="2A9B9244"/>
    <w:rsid w:val="2A9E2FAF"/>
    <w:rsid w:val="2AE52033"/>
    <w:rsid w:val="2B1087CB"/>
    <w:rsid w:val="2B644A1B"/>
    <w:rsid w:val="2B9004FB"/>
    <w:rsid w:val="2B901889"/>
    <w:rsid w:val="2BE841EC"/>
    <w:rsid w:val="2BFF5A70"/>
    <w:rsid w:val="2C28A9B3"/>
    <w:rsid w:val="2C31366A"/>
    <w:rsid w:val="2C3399B7"/>
    <w:rsid w:val="2C8A4006"/>
    <w:rsid w:val="2CAAADAB"/>
    <w:rsid w:val="2D0C964F"/>
    <w:rsid w:val="2D174290"/>
    <w:rsid w:val="2D9FCA8D"/>
    <w:rsid w:val="2DA97B0D"/>
    <w:rsid w:val="2DBDE56A"/>
    <w:rsid w:val="2DCDA57C"/>
    <w:rsid w:val="2DE5CCA8"/>
    <w:rsid w:val="2E4C1342"/>
    <w:rsid w:val="2E569DE1"/>
    <w:rsid w:val="2E79E2CD"/>
    <w:rsid w:val="2EB60380"/>
    <w:rsid w:val="2EC30A2F"/>
    <w:rsid w:val="2EF2087B"/>
    <w:rsid w:val="2EF2087B"/>
    <w:rsid w:val="2F1E15FD"/>
    <w:rsid w:val="2F285FEC"/>
    <w:rsid w:val="2F28B3EA"/>
    <w:rsid w:val="2F2DCF12"/>
    <w:rsid w:val="2F6B0411"/>
    <w:rsid w:val="2FEB6FFF"/>
    <w:rsid w:val="301EF2B3"/>
    <w:rsid w:val="302FE19E"/>
    <w:rsid w:val="3044184F"/>
    <w:rsid w:val="3085DF0D"/>
    <w:rsid w:val="30968694"/>
    <w:rsid w:val="30A583EE"/>
    <w:rsid w:val="30A79B0D"/>
    <w:rsid w:val="30C0713C"/>
    <w:rsid w:val="30E05886"/>
    <w:rsid w:val="30E0C4F5"/>
    <w:rsid w:val="30E0C4F5"/>
    <w:rsid w:val="310234C1"/>
    <w:rsid w:val="311CE6B3"/>
    <w:rsid w:val="313486E0"/>
    <w:rsid w:val="313A4C8E"/>
    <w:rsid w:val="31B8515E"/>
    <w:rsid w:val="31FFA115"/>
    <w:rsid w:val="32001751"/>
    <w:rsid w:val="3207373A"/>
    <w:rsid w:val="32129C60"/>
    <w:rsid w:val="326103BE"/>
    <w:rsid w:val="326D4B0D"/>
    <w:rsid w:val="32948574"/>
    <w:rsid w:val="32AD4251"/>
    <w:rsid w:val="32C72105"/>
    <w:rsid w:val="32F42A62"/>
    <w:rsid w:val="33E33A55"/>
    <w:rsid w:val="33E9742F"/>
    <w:rsid w:val="3408B59C"/>
    <w:rsid w:val="349D85AF"/>
    <w:rsid w:val="34A767C0"/>
    <w:rsid w:val="3501B5BF"/>
    <w:rsid w:val="352FBF80"/>
    <w:rsid w:val="35717DF6"/>
    <w:rsid w:val="3590A861"/>
    <w:rsid w:val="35B0DA63"/>
    <w:rsid w:val="35D9799B"/>
    <w:rsid w:val="3601D3CA"/>
    <w:rsid w:val="36152057"/>
    <w:rsid w:val="361A1D06"/>
    <w:rsid w:val="366A1E23"/>
    <w:rsid w:val="36A8072C"/>
    <w:rsid w:val="36E286C5"/>
    <w:rsid w:val="36E48A1A"/>
    <w:rsid w:val="36F4B73A"/>
    <w:rsid w:val="36F4B73A"/>
    <w:rsid w:val="377CF18B"/>
    <w:rsid w:val="37967578"/>
    <w:rsid w:val="37EE14A0"/>
    <w:rsid w:val="37F673A8"/>
    <w:rsid w:val="380F5AAB"/>
    <w:rsid w:val="38402F28"/>
    <w:rsid w:val="3865CBC0"/>
    <w:rsid w:val="38A1236D"/>
    <w:rsid w:val="38A53B28"/>
    <w:rsid w:val="38B608BC"/>
    <w:rsid w:val="3902FBE6"/>
    <w:rsid w:val="392C0316"/>
    <w:rsid w:val="394A974A"/>
    <w:rsid w:val="39D0E964"/>
    <w:rsid w:val="39E48146"/>
    <w:rsid w:val="3A1AB935"/>
    <w:rsid w:val="3A47F44D"/>
    <w:rsid w:val="3ABECB8B"/>
    <w:rsid w:val="3AD5786C"/>
    <w:rsid w:val="3AE20F20"/>
    <w:rsid w:val="3B389214"/>
    <w:rsid w:val="3B3E19FB"/>
    <w:rsid w:val="3B50BE29"/>
    <w:rsid w:val="3B632352"/>
    <w:rsid w:val="3B69445B"/>
    <w:rsid w:val="3B825E7A"/>
    <w:rsid w:val="3B930D90"/>
    <w:rsid w:val="3BAFBE8A"/>
    <w:rsid w:val="3BB8D999"/>
    <w:rsid w:val="3BDB2D37"/>
    <w:rsid w:val="3BFE92A4"/>
    <w:rsid w:val="3C0DAB06"/>
    <w:rsid w:val="3C654C43"/>
    <w:rsid w:val="3C923238"/>
    <w:rsid w:val="3C923238"/>
    <w:rsid w:val="3CD0C25F"/>
    <w:rsid w:val="3CD0C25F"/>
    <w:rsid w:val="3D1898CB"/>
    <w:rsid w:val="3D34E6A2"/>
    <w:rsid w:val="3D52AC99"/>
    <w:rsid w:val="3D675631"/>
    <w:rsid w:val="3D9104F8"/>
    <w:rsid w:val="3DC645F0"/>
    <w:rsid w:val="3DED010B"/>
    <w:rsid w:val="3DEF95CC"/>
    <w:rsid w:val="3EB160CE"/>
    <w:rsid w:val="3ED36D9B"/>
    <w:rsid w:val="3EE1CBAF"/>
    <w:rsid w:val="3EE52D43"/>
    <w:rsid w:val="3F2FB998"/>
    <w:rsid w:val="3F563549"/>
    <w:rsid w:val="3F78C3FC"/>
    <w:rsid w:val="3F82CDA1"/>
    <w:rsid w:val="3F8A2874"/>
    <w:rsid w:val="3F947784"/>
    <w:rsid w:val="3FA62CE8"/>
    <w:rsid w:val="3FB366C7"/>
    <w:rsid w:val="40025BCA"/>
    <w:rsid w:val="40183ECE"/>
    <w:rsid w:val="40615E8C"/>
    <w:rsid w:val="406867D3"/>
    <w:rsid w:val="40888EC3"/>
    <w:rsid w:val="40B8BE69"/>
    <w:rsid w:val="40BEBCC6"/>
    <w:rsid w:val="40C37C05"/>
    <w:rsid w:val="40CB3FBA"/>
    <w:rsid w:val="40D2B76D"/>
    <w:rsid w:val="40E12990"/>
    <w:rsid w:val="41749EB8"/>
    <w:rsid w:val="41A45EFB"/>
    <w:rsid w:val="41F8719F"/>
    <w:rsid w:val="4274D6B9"/>
    <w:rsid w:val="429139EC"/>
    <w:rsid w:val="42C892B8"/>
    <w:rsid w:val="42D08E48"/>
    <w:rsid w:val="431825C4"/>
    <w:rsid w:val="4319B754"/>
    <w:rsid w:val="432AECB0"/>
    <w:rsid w:val="43411404"/>
    <w:rsid w:val="434B6C8F"/>
    <w:rsid w:val="438CCCF2"/>
    <w:rsid w:val="43C25BA5"/>
    <w:rsid w:val="43C4D475"/>
    <w:rsid w:val="43D2F0AD"/>
    <w:rsid w:val="43E010A5"/>
    <w:rsid w:val="44042AA3"/>
    <w:rsid w:val="44042AA3"/>
    <w:rsid w:val="441ED083"/>
    <w:rsid w:val="443EE3A9"/>
    <w:rsid w:val="4441518D"/>
    <w:rsid w:val="444D4FD7"/>
    <w:rsid w:val="44615A5E"/>
    <w:rsid w:val="44682F49"/>
    <w:rsid w:val="447F1465"/>
    <w:rsid w:val="44ECD625"/>
    <w:rsid w:val="456A8801"/>
    <w:rsid w:val="458058D2"/>
    <w:rsid w:val="46475D82"/>
    <w:rsid w:val="46556606"/>
    <w:rsid w:val="46AA63A7"/>
    <w:rsid w:val="46FC8CE9"/>
    <w:rsid w:val="47105AB3"/>
    <w:rsid w:val="474178AA"/>
    <w:rsid w:val="47793BF8"/>
    <w:rsid w:val="478260D7"/>
    <w:rsid w:val="478D2F3F"/>
    <w:rsid w:val="47E1EBE3"/>
    <w:rsid w:val="4854B216"/>
    <w:rsid w:val="4863BBB2"/>
    <w:rsid w:val="48744060"/>
    <w:rsid w:val="4887E5FF"/>
    <w:rsid w:val="48E76351"/>
    <w:rsid w:val="48EBCD52"/>
    <w:rsid w:val="48FCC088"/>
    <w:rsid w:val="49194262"/>
    <w:rsid w:val="497E6B6B"/>
    <w:rsid w:val="49843ADF"/>
    <w:rsid w:val="49BBF336"/>
    <w:rsid w:val="49CDB156"/>
    <w:rsid w:val="49CE5365"/>
    <w:rsid w:val="4A74AFCF"/>
    <w:rsid w:val="4AAE396C"/>
    <w:rsid w:val="4AAE396C"/>
    <w:rsid w:val="4B072F74"/>
    <w:rsid w:val="4B6199AA"/>
    <w:rsid w:val="4BCBE935"/>
    <w:rsid w:val="4BDD2153"/>
    <w:rsid w:val="4BE0F1C2"/>
    <w:rsid w:val="4BEC11E7"/>
    <w:rsid w:val="4BF95072"/>
    <w:rsid w:val="4C29ED4A"/>
    <w:rsid w:val="4C2CF7B0"/>
    <w:rsid w:val="4C4C4A8C"/>
    <w:rsid w:val="4C5015E5"/>
    <w:rsid w:val="4C76C773"/>
    <w:rsid w:val="4C8BF154"/>
    <w:rsid w:val="4CCD2117"/>
    <w:rsid w:val="4D310492"/>
    <w:rsid w:val="4D409444"/>
    <w:rsid w:val="4D718C67"/>
    <w:rsid w:val="4D73F93E"/>
    <w:rsid w:val="4D98A783"/>
    <w:rsid w:val="4DE94363"/>
    <w:rsid w:val="4E008B30"/>
    <w:rsid w:val="4E16C562"/>
    <w:rsid w:val="4E717244"/>
    <w:rsid w:val="4E7A983B"/>
    <w:rsid w:val="4EF11829"/>
    <w:rsid w:val="4EF7FEEA"/>
    <w:rsid w:val="4F2F2C1F"/>
    <w:rsid w:val="4F4FE0D9"/>
    <w:rsid w:val="4F6F4569"/>
    <w:rsid w:val="4FB6B977"/>
    <w:rsid w:val="501F3911"/>
    <w:rsid w:val="5039EBBA"/>
    <w:rsid w:val="507646BC"/>
    <w:rsid w:val="509FDFC6"/>
    <w:rsid w:val="50D23DFC"/>
    <w:rsid w:val="50DAEA23"/>
    <w:rsid w:val="50EB28D6"/>
    <w:rsid w:val="50FFCBC0"/>
    <w:rsid w:val="5110F9ED"/>
    <w:rsid w:val="518C0142"/>
    <w:rsid w:val="5197AB2F"/>
    <w:rsid w:val="51A8E85E"/>
    <w:rsid w:val="51A96197"/>
    <w:rsid w:val="51A96197"/>
    <w:rsid w:val="51E3E06D"/>
    <w:rsid w:val="51F3A237"/>
    <w:rsid w:val="521510A7"/>
    <w:rsid w:val="521AD67C"/>
    <w:rsid w:val="521EA0F3"/>
    <w:rsid w:val="522955C3"/>
    <w:rsid w:val="52C1B2BB"/>
    <w:rsid w:val="52D1165F"/>
    <w:rsid w:val="52F9F7AF"/>
    <w:rsid w:val="534943EF"/>
    <w:rsid w:val="5357B8CE"/>
    <w:rsid w:val="536999D5"/>
    <w:rsid w:val="536F41CF"/>
    <w:rsid w:val="53792504"/>
    <w:rsid w:val="53D447E0"/>
    <w:rsid w:val="53D82046"/>
    <w:rsid w:val="53DB8C9E"/>
    <w:rsid w:val="54162D9E"/>
    <w:rsid w:val="5438ABAB"/>
    <w:rsid w:val="54C18AF6"/>
    <w:rsid w:val="554A140C"/>
    <w:rsid w:val="555C0B13"/>
    <w:rsid w:val="55E6CB14"/>
    <w:rsid w:val="561934C4"/>
    <w:rsid w:val="5687529B"/>
    <w:rsid w:val="56BFD0AB"/>
    <w:rsid w:val="56BFD0AB"/>
    <w:rsid w:val="57120B4E"/>
    <w:rsid w:val="572700FF"/>
    <w:rsid w:val="574CDD4B"/>
    <w:rsid w:val="5750F164"/>
    <w:rsid w:val="57652DD5"/>
    <w:rsid w:val="57BD2F5B"/>
    <w:rsid w:val="57C5745F"/>
    <w:rsid w:val="58A51F5A"/>
    <w:rsid w:val="59B381F9"/>
    <w:rsid w:val="59C33A4E"/>
    <w:rsid w:val="59C33A4E"/>
    <w:rsid w:val="59D90B6E"/>
    <w:rsid w:val="5A1AFAFC"/>
    <w:rsid w:val="5A333F21"/>
    <w:rsid w:val="5A53CFE4"/>
    <w:rsid w:val="5A60C721"/>
    <w:rsid w:val="5A8FD1DD"/>
    <w:rsid w:val="5A98F08B"/>
    <w:rsid w:val="5B129CDA"/>
    <w:rsid w:val="5B91492B"/>
    <w:rsid w:val="5BC37239"/>
    <w:rsid w:val="5BD41DA7"/>
    <w:rsid w:val="5BED6FC4"/>
    <w:rsid w:val="5C29DF95"/>
    <w:rsid w:val="5C820E3A"/>
    <w:rsid w:val="5C9E907C"/>
    <w:rsid w:val="5CB0BCDB"/>
    <w:rsid w:val="5D0B339E"/>
    <w:rsid w:val="5D14646E"/>
    <w:rsid w:val="5D207AA5"/>
    <w:rsid w:val="5D378EB7"/>
    <w:rsid w:val="5D41C3F4"/>
    <w:rsid w:val="5DD2CF37"/>
    <w:rsid w:val="5DD68D0D"/>
    <w:rsid w:val="5DE9028A"/>
    <w:rsid w:val="5DF8022C"/>
    <w:rsid w:val="5DFF6F2D"/>
    <w:rsid w:val="5E11A6B8"/>
    <w:rsid w:val="5E6433EB"/>
    <w:rsid w:val="5EB43022"/>
    <w:rsid w:val="5F01859C"/>
    <w:rsid w:val="5F040E78"/>
    <w:rsid w:val="5F2F623C"/>
    <w:rsid w:val="5FA55EC3"/>
    <w:rsid w:val="5FB3555C"/>
    <w:rsid w:val="5FB9ADF3"/>
    <w:rsid w:val="5FE3576B"/>
    <w:rsid w:val="5FEE5CA8"/>
    <w:rsid w:val="6021D826"/>
    <w:rsid w:val="607AA317"/>
    <w:rsid w:val="608BB8EE"/>
    <w:rsid w:val="60DF6CED"/>
    <w:rsid w:val="60F91244"/>
    <w:rsid w:val="61D01528"/>
    <w:rsid w:val="61DEB617"/>
    <w:rsid w:val="62011184"/>
    <w:rsid w:val="621C9AEE"/>
    <w:rsid w:val="623623EA"/>
    <w:rsid w:val="62430172"/>
    <w:rsid w:val="629E0323"/>
    <w:rsid w:val="62AB0CD7"/>
    <w:rsid w:val="62B19FB7"/>
    <w:rsid w:val="62B9BDFD"/>
    <w:rsid w:val="62DDB0A1"/>
    <w:rsid w:val="62F26923"/>
    <w:rsid w:val="62F26923"/>
    <w:rsid w:val="62F9925C"/>
    <w:rsid w:val="6320BB55"/>
    <w:rsid w:val="63213157"/>
    <w:rsid w:val="63436DEF"/>
    <w:rsid w:val="637C2431"/>
    <w:rsid w:val="63904943"/>
    <w:rsid w:val="63B65D34"/>
    <w:rsid w:val="63BE46B7"/>
    <w:rsid w:val="63D982AC"/>
    <w:rsid w:val="63E8548B"/>
    <w:rsid w:val="641B5E0A"/>
    <w:rsid w:val="64AE84F6"/>
    <w:rsid w:val="64BC72BA"/>
    <w:rsid w:val="64BC72BA"/>
    <w:rsid w:val="64D4F28F"/>
    <w:rsid w:val="64FA0C5E"/>
    <w:rsid w:val="6515A43D"/>
    <w:rsid w:val="65618D06"/>
    <w:rsid w:val="6563AFD9"/>
    <w:rsid w:val="656FFBD9"/>
    <w:rsid w:val="65E2AE8A"/>
    <w:rsid w:val="662E229F"/>
    <w:rsid w:val="66861F65"/>
    <w:rsid w:val="670631D7"/>
    <w:rsid w:val="672F49DA"/>
    <w:rsid w:val="6799A6D9"/>
    <w:rsid w:val="67A341CD"/>
    <w:rsid w:val="67A8259D"/>
    <w:rsid w:val="67AD176C"/>
    <w:rsid w:val="6834EEBC"/>
    <w:rsid w:val="68AABBD3"/>
    <w:rsid w:val="68B7663E"/>
    <w:rsid w:val="6938DD2F"/>
    <w:rsid w:val="694282FF"/>
    <w:rsid w:val="6944AD28"/>
    <w:rsid w:val="69624223"/>
    <w:rsid w:val="69F01B24"/>
    <w:rsid w:val="6A3040E9"/>
    <w:rsid w:val="6A702C6D"/>
    <w:rsid w:val="6B27C3F8"/>
    <w:rsid w:val="6B32CF4E"/>
    <w:rsid w:val="6B48AB96"/>
    <w:rsid w:val="6B723088"/>
    <w:rsid w:val="6BA0C40A"/>
    <w:rsid w:val="6BE595F7"/>
    <w:rsid w:val="6C15162D"/>
    <w:rsid w:val="6C21EC16"/>
    <w:rsid w:val="6C516C2F"/>
    <w:rsid w:val="6C9ADAB3"/>
    <w:rsid w:val="6D4D4E07"/>
    <w:rsid w:val="6D6630D5"/>
    <w:rsid w:val="6DA40628"/>
    <w:rsid w:val="6DC23DC4"/>
    <w:rsid w:val="6DF6EF90"/>
    <w:rsid w:val="6E082EFE"/>
    <w:rsid w:val="6E0B8F1A"/>
    <w:rsid w:val="6EAF0174"/>
    <w:rsid w:val="6EDA0688"/>
    <w:rsid w:val="6F013C6F"/>
    <w:rsid w:val="6F043BE3"/>
    <w:rsid w:val="6F0946A1"/>
    <w:rsid w:val="6F33B4AF"/>
    <w:rsid w:val="6F358C17"/>
    <w:rsid w:val="6F3A28D9"/>
    <w:rsid w:val="6F418827"/>
    <w:rsid w:val="6F8D2A24"/>
    <w:rsid w:val="6F9EAF6D"/>
    <w:rsid w:val="6FC5FFE8"/>
    <w:rsid w:val="701B871D"/>
    <w:rsid w:val="7059E6B4"/>
    <w:rsid w:val="7068E3D4"/>
    <w:rsid w:val="70B15791"/>
    <w:rsid w:val="70BCD2EB"/>
    <w:rsid w:val="71689714"/>
    <w:rsid w:val="717BC28C"/>
    <w:rsid w:val="718D3804"/>
    <w:rsid w:val="71BF21F9"/>
    <w:rsid w:val="71DAC93D"/>
    <w:rsid w:val="71DAFA4C"/>
    <w:rsid w:val="71DE8DE0"/>
    <w:rsid w:val="71E8D2AD"/>
    <w:rsid w:val="7203066D"/>
    <w:rsid w:val="7209265F"/>
    <w:rsid w:val="722762DE"/>
    <w:rsid w:val="72552424"/>
    <w:rsid w:val="72DA5249"/>
    <w:rsid w:val="7347951E"/>
    <w:rsid w:val="736250BC"/>
    <w:rsid w:val="736EA4B7"/>
    <w:rsid w:val="73B2AFDB"/>
    <w:rsid w:val="73F2E995"/>
    <w:rsid w:val="73F2E995"/>
    <w:rsid w:val="7423F57B"/>
    <w:rsid w:val="743408D9"/>
    <w:rsid w:val="7443B4F5"/>
    <w:rsid w:val="74A9CF6C"/>
    <w:rsid w:val="74CE5E6B"/>
    <w:rsid w:val="74E10F4D"/>
    <w:rsid w:val="752F48AA"/>
    <w:rsid w:val="7549743B"/>
    <w:rsid w:val="7578FFAF"/>
    <w:rsid w:val="758B0ECF"/>
    <w:rsid w:val="75A4E8D6"/>
    <w:rsid w:val="75D9DC0F"/>
    <w:rsid w:val="75F068F9"/>
    <w:rsid w:val="76161E30"/>
    <w:rsid w:val="76301587"/>
    <w:rsid w:val="765AAB3F"/>
    <w:rsid w:val="767913F6"/>
    <w:rsid w:val="767D66BA"/>
    <w:rsid w:val="7681B4B1"/>
    <w:rsid w:val="76962CA4"/>
    <w:rsid w:val="76A79773"/>
    <w:rsid w:val="76ABEBB1"/>
    <w:rsid w:val="77047012"/>
    <w:rsid w:val="77111EEE"/>
    <w:rsid w:val="771C95E8"/>
    <w:rsid w:val="771C95E8"/>
    <w:rsid w:val="772884C7"/>
    <w:rsid w:val="774C05F6"/>
    <w:rsid w:val="778865AD"/>
    <w:rsid w:val="77F969AA"/>
    <w:rsid w:val="77FD0179"/>
    <w:rsid w:val="780362F6"/>
    <w:rsid w:val="780362F6"/>
    <w:rsid w:val="78A267E7"/>
    <w:rsid w:val="78A2F418"/>
    <w:rsid w:val="78EA45CA"/>
    <w:rsid w:val="78F77D18"/>
    <w:rsid w:val="7923752C"/>
    <w:rsid w:val="7977966A"/>
    <w:rsid w:val="79FE0FDF"/>
    <w:rsid w:val="7A563BE0"/>
    <w:rsid w:val="7A77EA0F"/>
    <w:rsid w:val="7A9836EF"/>
    <w:rsid w:val="7AA5E178"/>
    <w:rsid w:val="7AA9A061"/>
    <w:rsid w:val="7AB8ABA8"/>
    <w:rsid w:val="7ACD41CA"/>
    <w:rsid w:val="7B17D884"/>
    <w:rsid w:val="7B2C443A"/>
    <w:rsid w:val="7B2C443A"/>
    <w:rsid w:val="7B5CC93F"/>
    <w:rsid w:val="7B5CE474"/>
    <w:rsid w:val="7B8BA370"/>
    <w:rsid w:val="7B9D2622"/>
    <w:rsid w:val="7C2DBCD7"/>
    <w:rsid w:val="7C4E2819"/>
    <w:rsid w:val="7C60391D"/>
    <w:rsid w:val="7CA9562A"/>
    <w:rsid w:val="7CB56EFD"/>
    <w:rsid w:val="7CB56EFD"/>
    <w:rsid w:val="7CBC7E8E"/>
    <w:rsid w:val="7CD802C9"/>
    <w:rsid w:val="7CF7B1D3"/>
    <w:rsid w:val="7D031B60"/>
    <w:rsid w:val="7D0D16B2"/>
    <w:rsid w:val="7D221DD1"/>
    <w:rsid w:val="7D407DA8"/>
    <w:rsid w:val="7D5930E2"/>
    <w:rsid w:val="7D9E102F"/>
    <w:rsid w:val="7DCC970A"/>
    <w:rsid w:val="7DCF2161"/>
    <w:rsid w:val="7DF68E60"/>
    <w:rsid w:val="7E00B16D"/>
    <w:rsid w:val="7E093C5E"/>
    <w:rsid w:val="7E2D41D7"/>
    <w:rsid w:val="7E31DB42"/>
    <w:rsid w:val="7E95C168"/>
    <w:rsid w:val="7EB953A9"/>
    <w:rsid w:val="7EFB39F7"/>
    <w:rsid w:val="7F1AA52E"/>
    <w:rsid w:val="7F4380B6"/>
    <w:rsid w:val="7F598026"/>
    <w:rsid w:val="7F66998D"/>
    <w:rsid w:val="7F728A39"/>
    <w:rsid w:val="7F886B56"/>
    <w:rsid w:val="7FD5FAE7"/>
    <w:rsid w:val="7FD9F9D2"/>
    <w:rsid w:val="7FE0300A"/>
    <w:rsid w:val="7FFEFB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AB106"/>
  <w15:chartTrackingRefBased/>
  <w15:docId w15:val="{BA5B6B89-970A-4985-B22C-713623EA52B8}"/>
  <w:trackRevisions w:val="off"/>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EastAsia" w:hAnsiTheme="minorHAnsi"/>
        <w:sz w:val="24"/>
        <w:szCs w:val="24"/>
        <w:lang w:val="en-GB" w:bidi="ar-SA" w:eastAsia="ja-JP"/>
      </w:rPr>
    </w:rPrDefault>
    <w:pPrDefault>
      <w:pPr>
        <w:spacing w:after="160" w:line="279" w:lineRule="auto"/>
      </w:pPr>
    </w:pPrDefault>
  </w:docDefaults>
  <w:style w:type="paragraph" w:styleId="Heading1">
    <w:name w:val="Heading 1"/>
    <w:basedOn w:val="Normal"/>
    <w:next w:val="Normal"/>
    <w:link w:val="Heading1Char"/>
    <w:uiPriority w:val="9"/>
    <w:qFormat w:val="on"/>
    <w:pPr>
      <w:keepNext w:val="on"/>
      <w:keepLines w:val="on"/>
      <w:spacing w:before="480" w:after="0"/>
    </w:pPr>
    <w:rPr>
      <w:rFonts w:asciiTheme="majorHAnsi" w:cstheme="majorBidi" w:eastAsiaTheme="majorEastAsia" w:hAnsiTheme="majorHAnsi"/>
      <w:b/>
      <w:bCs/>
      <w:color w:val="104760" w:themeColor="accent1" w:themeShade="bf"/>
      <w:sz w:val="28"/>
      <w:szCs w:val="28"/>
    </w:rPr>
  </w:style>
  <w:style w:type="paragraph" w:styleId="Heading3">
    <w:name w:val="Heading 3"/>
    <w:basedOn w:val="Normal"/>
    <w:next w:val="Normal"/>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156082" w:themeColor="accent1"/>
    </w:rPr>
  </w:style>
  <w:style w:type="paragraph" w:styleId="Heading4">
    <w:name w:val="Heading 4"/>
    <w:basedOn w:val="Normal"/>
    <w:next w:val="Normal"/>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156082" w:themeColor="accent1"/>
    </w:rPr>
  </w:style>
  <w:style w:type="paragraph" w:styleId="Heading5">
    <w:name w:val="Heading 5"/>
    <w:basedOn w:val="Normal"/>
    <w:next w:val="Normal"/>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0a2f40"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0a2f40"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paragraph" w:styleId="NoSpacing">
    <w:name w:val="No Spacing"/>
    <w:uiPriority w:val="1"/>
    <w:qFormat w:val="on"/>
    <w:pPr>
      <w:spacing w:after="0" w:line="240" w:lineRule="auto"/>
    </w:p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104760"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156082"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156082"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156082"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0a2f40"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0a2f40"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156082" w:themeColor="accent1" w:sz="8" w:space="4"/>
      </w:pBdr>
      <w:spacing w:after="300" w:line="240" w:lineRule="auto"/>
      <w:contextualSpacing w:val="on"/>
    </w:pPr>
    <w:rPr>
      <w:rFonts w:asciiTheme="majorHAnsi" w:cstheme="majorBidi" w:eastAsiaTheme="majorEastAsia" w:hAnsiTheme="majorHAnsi"/>
      <w:color w:val="0a1d30"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0a1d30"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156082"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156082"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156082"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156082" w:themeColor="accent1" w:sz="4" w:space="4"/>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Pr>
      <w:b/>
      <w:bCs/>
      <w:i/>
      <w:iCs/>
      <w:color w:val="156082" w:themeColor="accent1"/>
    </w:rPr>
  </w:style>
  <w:style w:type="character" w:styleId="SubtleReference">
    <w:name w:val="Subtle Reference"/>
    <w:basedOn w:val="DefaultParagraphFont"/>
    <w:uiPriority w:val="31"/>
    <w:qFormat w:val="on"/>
    <w:rPr>
      <w:smallCaps/>
      <w:color w:val="e97132" w:themeColor="accent2"/>
      <w:u w:val="single"/>
    </w:rPr>
  </w:style>
  <w:style w:type="character" w:styleId="IntenseReference">
    <w:name w:val="Intense Reference"/>
    <w:basedOn w:val="DefaultParagraphFont"/>
    <w:uiPriority w:val="32"/>
    <w:qFormat w:val="on"/>
    <w:rPr>
      <w:b/>
      <w:bCs/>
      <w:smallCaps/>
      <w:color w:val="e97132" w:themeColor="accent2"/>
      <w:spacing w:val="5"/>
      <w:u w:val="single"/>
    </w:rPr>
  </w:style>
  <w:style w:type="character" w:styleId="BookTitle">
    <w:name w:val="Book Title"/>
    <w:basedOn w:val="DefaultParagraphFont"/>
    <w:uiPriority w:val="33"/>
    <w:qFormat w:val="on"/>
    <w:rPr>
      <w:b/>
      <w:bCs/>
      <w:smallCaps/>
      <w:spacing w:val="5"/>
    </w:r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FollowedHyperlink">
    <w:name w:val="FollowedHyperlink"/>
    <w:basedOn w:val="DefaultParagraphFont"/>
    <w:uiPriority w:val="99"/>
    <w:semiHidden w:val="on"/>
    <w:unhideWhenUsed w:val="on"/>
    <w:rPr>
      <w:color w:val="96607d" w:themeColor="followed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Header">
    <w:name w:val="Header"/>
    <w:basedOn w:val="Normal"/>
    <w:link w:val="HeaderChar"/>
    <w:uiPriority w:val="99"/>
    <w:unhideWhenUsed w:val="on"/>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val="on"/>
    <w:qFormat w:val="on"/>
    <w:pPr>
      <w:spacing w:after="200" w:line="240" w:lineRule="auto"/>
    </w:pPr>
    <w:rPr>
      <w:i/>
      <w:iCs/>
      <w:color w:val="0e2841" w:themeColor="text2"/>
      <w:sz w:val="18"/>
      <w:szCs w:val="18"/>
    </w:rPr>
  </w:style>
  <w:style w:type="paragraph" w:default="1" w:styleId="Normal">
    <w:name w:val="Normal"/>
    <w:uiPriority w:val="99"/>
    <w:qFormat w:val="on"/>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character" w:styleId="Hyperlink">
    <w:name w:val="Hyperlink"/>
    <w:basedOn w:val="DefaultParagraphFont"/>
    <w:uiPriority w:val="99"/>
    <w:unhideWhenUsed w:val="on"/>
    <w:rPr>
      <w:color w:val="467886"/>
      <w:u w:val="single"/>
    </w:rPr>
  </w:style>
  <w:style w:type="paragraph" w:styleId="ListParagraph">
    <w:name w:val="List Paragraph"/>
    <w:basedOn w:val="Normal"/>
    <w:uiPriority w:val="34"/>
    <w:qFormat w:val="on"/>
    <w:pPr>
      <w:ind w:left="720"/>
      <w:contextualSpacing w:val="on"/>
    </w:pPr>
  </w:style>
  <w:style w:type="paragraph" w:styleId="Heading2">
    <w:name w:val="Heading 2"/>
    <w:basedOn w:val="Normal"/>
    <w:next w:val="Normal"/>
    <w:uiPriority w:val="9"/>
    <w:unhideWhenUsed w:val="on"/>
    <w:qFormat w:val="on"/>
    <w:pPr>
      <w:keepNext w:val="on"/>
      <w:keepLines w:val="on"/>
      <w:spacing w:before="160" w:after="80"/>
    </w:pPr>
    <w:rPr>
      <w:rFonts w:asciiTheme="majorAscii" w:cstheme="majorBidi" w:eastAsiaTheme="majorEastAsia" w:hAnsiTheme="majorAscii"/>
      <w:color w:val="156081" w:themeColor="accent1" w:themeTint="ff"/>
      <w:sz w:val="32"/>
      <w:szCs w:val="32"/>
    </w:rPr>
  </w:style>
  <w:style w:type="table" w:styleId="TableGrid">
    <w:name w:val="Table Grid"/>
    <w:basedOn w:val="NormalTable"/>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PlainTable2">
    <w:name w:val="Plain Table 2"/>
    <w:basedOn w:val="NormalTable"/>
    <w:uiPriority w:val="42"/>
    <w:pPr>
      <w:spacing w:after="0" w:line="240" w:lineRule="auto"/>
    </w:pPr>
    <w:tblPr>
      <w:tblStyleRowBandSize w:val="1"/>
      <w:tblStyleColBandSize w:val="1"/>
      <w:tblInd w:w="0" w:type="dxa"/>
      <w:tblBorders>
        <w:top w:val="single" w:color="7f7f7f" w:themeColor="text1" w:themeTint="80" w:sz="4" w:space="0"/>
        <w:bottom w:val="single" w:color="7f7f7f" w:themeColor="text1" w:themeTint="80" w:sz="4" w:space="0"/>
      </w:tblBorders>
      <w:tblCellMar>
        <w:top w:w="0" w:type="dxa"/>
        <w:left w:w="108" w:type="dxa"/>
        <w:bottom w:w="0" w:type="dxa"/>
        <w:right w:w="108" w:type="dxa"/>
      </w:tblCellMar>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customStyle="1" w:styleId="LightShading">
    <w:name w:val="Light Shading"/>
    <w:uiPriority w:val="60"/>
    <w:pPr>
      <w:spacing w:after="0" w:line="240" w:lineRule="auto"/>
    </w:pPr>
    <w:rPr>
      <w:color w:val="000000" w:themeColor="text1" w:themeShade="bf"/>
    </w:rPr>
    <w:tblPr>
      <w:tblStyleRowBandSize w:val="1"/>
      <w:tblStyleColBandSize w:val="1"/>
      <w:tblInd w:w="0" w:type="dxa"/>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sz="4" w:space="0"/>
          <w:bottom w:val="single" w:color="000000" w:themeColor="text1" w:sz="8" w:space="0"/>
          <w:right w:val="nil" w:sz="4" w:space="0"/>
          <w:insideH w:val="nil" w:sz="4" w:space="0"/>
          <w:insideV w:val="nil" w:sz="4" w:space="0"/>
        </w:tcBorders>
      </w:tcPr>
    </w:tblStylePr>
    <w:tblStylePr w:type="lastRow">
      <w:pPr>
        <w:spacing w:before="0" w:after="0" w:line="240" w:lineRule="auto"/>
      </w:pPr>
      <w:rPr>
        <w:b/>
        <w:bCs/>
      </w:rPr>
      <w:tblPr/>
      <w:tcPr>
        <w:tcBorders>
          <w:top w:val="single" w:color="000000" w:themeColor="text1" w:sz="8" w:space="0"/>
          <w:left w:val="nil" w:sz="4" w:space="0"/>
          <w:bottom w:val="single" w:color="000000" w:themeColor="text1" w:sz="8" w:space="0"/>
          <w:right w:val="nil" w:sz="4" w:space="0"/>
          <w:insideH w:val="nil" w:sz="4" w:space="0"/>
          <w:insideV w:val="nil" w:sz="4" w:space="0"/>
        </w:tcBorders>
      </w:tcPr>
    </w:tblStylePr>
    <w:tblStylePr w:type="firstCol">
      <w:rPr>
        <w:b/>
        <w:bCs/>
      </w:rPr>
    </w:tblStylePr>
    <w:tblStylePr w:type="lastCol">
      <w:rPr>
        <w:b/>
        <w:bCs/>
      </w:rPr>
    </w:tblStylePr>
    <w:tblStylePr w:type="band1Vert">
      <w:tblPr/>
      <w:tcPr>
        <w:tcBorders>
          <w:left w:val="nil" w:sz="4" w:space="0"/>
          <w:right w:val="nil" w:sz="4" w:space="0"/>
          <w:insideH w:val="nil" w:sz="4" w:space="0"/>
          <w:insideV w:val="nil" w:sz="4" w:space="0"/>
        </w:tcBorders>
        <w:shd w:val="clear" w:color="auto" w:fill="c0c0c0" w:themeFill="text1" w:themeFillTint="3f"/>
      </w:tcPr>
    </w:tblStylePr>
    <w:tblStylePr w:type="band1Horz">
      <w:tblPr/>
      <w:tcPr>
        <w:tcBorders>
          <w:left w:val="nil" w:sz="4" w:space="0"/>
          <w:right w:val="nil" w:sz="4" w:space="0"/>
          <w:insideH w:val="nil" w:sz="4" w:space="0"/>
          <w:insideV w:val="nil" w:sz="4" w:space="0"/>
        </w:tcBorders>
        <w:shd w:val="clear" w:color="auto" w:fill="c0c0c0" w:themeFill="text1" w:themeFillTint="3f"/>
      </w:tcPr>
    </w:tblStylePr>
  </w:style>
  <w:style w:type="table" w:customStyle="1" w:styleId="LightShadingAccent1">
    <w:name w:val="Light Shading Accent 1"/>
    <w:uiPriority w:val="60"/>
    <w:pPr>
      <w:spacing w:after="0" w:line="240" w:lineRule="auto"/>
    </w:pPr>
    <w:rPr>
      <w:color w:val="104760" w:themeColor="accent1" w:themeShade="bf"/>
    </w:rPr>
    <w:tblPr>
      <w:tblStyleRowBandSize w:val="1"/>
      <w:tblStyleColBandSize w:val="1"/>
      <w:tblInd w:w="0" w:type="dxa"/>
      <w:tblBorders>
        <w:top w:val="single" w:color="156082" w:themeColor="accent1" w:sz="8" w:space="0"/>
        <w:bottom w:val="single" w:color="156082"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156082" w:themeColor="accent1" w:sz="8" w:space="0"/>
          <w:left w:val="nil" w:sz="4" w:space="0"/>
          <w:bottom w:val="single" w:color="156082" w:themeColor="accent1" w:sz="8" w:space="0"/>
          <w:right w:val="nil" w:sz="4" w:space="0"/>
          <w:insideH w:val="nil" w:sz="4" w:space="0"/>
          <w:insideV w:val="nil" w:sz="4" w:space="0"/>
        </w:tcBorders>
      </w:tcPr>
    </w:tblStylePr>
    <w:tblStylePr w:type="lastRow">
      <w:pPr>
        <w:spacing w:before="0" w:after="0" w:line="240" w:lineRule="auto"/>
      </w:pPr>
      <w:rPr>
        <w:b/>
        <w:bCs/>
      </w:rPr>
      <w:tblPr/>
      <w:tcPr>
        <w:tcBorders>
          <w:top w:val="single" w:color="156082" w:themeColor="accent1" w:sz="8" w:space="0"/>
          <w:left w:val="nil" w:sz="4" w:space="0"/>
          <w:bottom w:val="single" w:color="156082" w:themeColor="accent1" w:sz="8" w:space="0"/>
          <w:right w:val="nil" w:sz="4" w:space="0"/>
          <w:insideH w:val="nil" w:sz="4" w:space="0"/>
          <w:insideV w:val="nil" w:sz="4" w:space="0"/>
        </w:tcBorders>
      </w:tcPr>
    </w:tblStylePr>
    <w:tblStylePr w:type="firstCol">
      <w:rPr>
        <w:b/>
        <w:bCs/>
      </w:rPr>
    </w:tblStylePr>
    <w:tblStylePr w:type="lastCol">
      <w:rPr>
        <w:b/>
        <w:bCs/>
      </w:rPr>
    </w:tblStylePr>
    <w:tblStylePr w:type="band1Vert">
      <w:tblPr/>
      <w:tcPr>
        <w:tcBorders>
          <w:left w:val="nil" w:sz="4" w:space="0"/>
          <w:right w:val="nil" w:sz="4" w:space="0"/>
          <w:insideH w:val="nil" w:sz="4" w:space="0"/>
          <w:insideV w:val="nil" w:sz="4" w:space="0"/>
        </w:tcBorders>
        <w:shd w:val="clear" w:color="auto" w:fill="b2def2" w:themeFill="accent1" w:themeFillTint="3f"/>
      </w:tcPr>
    </w:tblStylePr>
    <w:tblStylePr w:type="band1Horz">
      <w:tblPr/>
      <w:tcPr>
        <w:tcBorders>
          <w:left w:val="nil" w:sz="4" w:space="0"/>
          <w:right w:val="nil" w:sz="4" w:space="0"/>
          <w:insideH w:val="nil" w:sz="4" w:space="0"/>
          <w:insideV w:val="nil" w:sz="4" w:space="0"/>
        </w:tcBorders>
        <w:shd w:val="clear" w:color="auto" w:fill="b2def2" w:themeFill="accent1" w:themeFillTint="3f"/>
      </w:tcPr>
    </w:tblStylePr>
  </w:style>
  <w:style w:type="table" w:styleId="LightShadingAccent4">
    <w:name w:val="Light Shading Accent 4"/>
    <w:uiPriority w:val="60"/>
    <w:pPr>
      <w:spacing w:after="0" w:line="240" w:lineRule="auto"/>
    </w:pPr>
    <w:rPr>
      <w:color w:val="0b759f" w:themeColor="accent4" w:themeShade="bf"/>
    </w:rPr>
    <w:tblPr>
      <w:tblStyleRowBandSize w:val="1"/>
      <w:tblStyleColBandSize w:val="1"/>
      <w:tblInd w:w="0" w:type="dxa"/>
      <w:tblBorders>
        <w:top w:val="single" w:color="0f9ed5" w:themeColor="accent4" w:sz="8" w:space="0"/>
        <w:bottom w:val="single" w:color="0f9ed5"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f9ed5" w:themeColor="accent4" w:sz="8" w:space="0"/>
          <w:left w:val="nil" w:sz="4" w:space="0"/>
          <w:bottom w:val="single" w:color="0f9ed5" w:themeColor="accent4" w:sz="8" w:space="0"/>
          <w:right w:val="nil" w:sz="4" w:space="0"/>
          <w:insideH w:val="nil" w:sz="4" w:space="0"/>
          <w:insideV w:val="nil" w:sz="4" w:space="0"/>
        </w:tcBorders>
      </w:tcPr>
    </w:tblStylePr>
    <w:tblStylePr w:type="lastRow">
      <w:pPr>
        <w:spacing w:before="0" w:after="0" w:line="240" w:lineRule="auto"/>
      </w:pPr>
      <w:rPr>
        <w:b/>
        <w:bCs/>
      </w:rPr>
      <w:tblPr/>
      <w:tcPr>
        <w:tcBorders>
          <w:top w:val="single" w:color="0f9ed5" w:themeColor="accent4" w:sz="8" w:space="0"/>
          <w:left w:val="nil" w:sz="4" w:space="0"/>
          <w:bottom w:val="single" w:color="0f9ed5" w:themeColor="accent4" w:sz="8" w:space="0"/>
          <w:right w:val="nil" w:sz="4" w:space="0"/>
          <w:insideH w:val="nil" w:sz="4" w:space="0"/>
          <w:insideV w:val="nil" w:sz="4" w:space="0"/>
        </w:tcBorders>
      </w:tcPr>
    </w:tblStylePr>
    <w:tblStylePr w:type="firstCol">
      <w:rPr>
        <w:b/>
        <w:bCs/>
      </w:rPr>
    </w:tblStylePr>
    <w:tblStylePr w:type="lastCol">
      <w:rPr>
        <w:b/>
        <w:bCs/>
      </w:rPr>
    </w:tblStylePr>
    <w:tblStylePr w:type="band1Vert">
      <w:tblPr/>
      <w:tcPr>
        <w:tcBorders>
          <w:left w:val="nil" w:sz="4" w:space="0"/>
          <w:right w:val="nil" w:sz="4" w:space="0"/>
          <w:insideH w:val="nil" w:sz="4" w:space="0"/>
          <w:insideV w:val="nil" w:sz="4" w:space="0"/>
        </w:tcBorders>
        <w:shd w:val="clear" w:color="auto" w:fill="bee9fa" w:themeFill="accent4" w:themeFillTint="3f"/>
      </w:tcPr>
    </w:tblStylePr>
    <w:tblStylePr w:type="band1Horz">
      <w:tblPr/>
      <w:tcPr>
        <w:tcBorders>
          <w:left w:val="nil" w:sz="4" w:space="0"/>
          <w:right w:val="nil" w:sz="4" w:space="0"/>
          <w:insideH w:val="nil" w:sz="4" w:space="0"/>
          <w:insideV w:val="nil" w:sz="4" w:space="0"/>
        </w:tcBorders>
        <w:shd w:val="clear" w:color="auto" w:fill="bee9fa"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xml version="1.0" encoding="UTF-8" standalone="yes"?>
<Relationships xmlns="http://schemas.openxmlformats.org/package/2006/relationships"><Relationship Id="R7b99cef69a5e4417" Type="http://schemas.openxmlformats.org/officeDocument/2006/relationships/numbering" Target="numbering.xml"/><Relationship Id="rId1" Type="http://schemas.openxmlformats.org/officeDocument/2006/relationships/styles" Target="styles.xml"/><Relationship Id="rId2" Type="http://schemas.openxmlformats.org/officeDocument/2006/relationships/settings" Target="settings.xml"/><Relationship Id="rId2029819386" Type="http://schemas.openxmlformats.org/officeDocument/2006/relationships/image" Target="media/image2.png"/><Relationship Id="rId2029819387" Type="http://schemas.openxmlformats.org/officeDocument/2006/relationships/image" Target="media/image3.png"/><Relationship Id="rId2029819388" Type="http://schemas.openxmlformats.org/officeDocument/2006/relationships/image" Target="media/image4.png"/><Relationship Id="rId2029819389" Type="http://schemas.openxmlformats.org/officeDocument/2006/relationships/image" Target="media/image5.png"/><Relationship Id="rId2029819390" Type="http://schemas.openxmlformats.org/officeDocument/2006/relationships/image" Target="media/image9.png"/><Relationship Id="rId2029819391" Type="http://schemas.openxmlformats.org/officeDocument/2006/relationships/image" Target="media/image10.png"/><Relationship Id="rId2029819392" Type="http://schemas.openxmlformats.org/officeDocument/2006/relationships/image" Target="media/image11.png"/><Relationship Id="rId2029819393" Type="http://schemas.openxmlformats.org/officeDocument/2006/relationships/image" Target="media/image12.png"/><Relationship Id="rId2029819394" Type="http://schemas.openxmlformats.org/officeDocument/2006/relationships/image" Target="media/image13.png"/><Relationship Id="rId2029819395" Type="http://schemas.openxmlformats.org/officeDocument/2006/relationships/image" Target="media/image14.png"/><Relationship Id="rId2029819396" Type="http://schemas.openxmlformats.org/officeDocument/2006/relationships/image" Target="media/image15.png"/><Relationship Id="rId2029819397" Type="http://schemas.openxmlformats.org/officeDocument/2006/relationships/image" Target="media/image16.png"/><Relationship Id="rId2029819398" Type="http://schemas.openxmlformats.org/officeDocument/2006/relationships/image" Target="media/image38.png"/><Relationship Id="rId4" Type="http://schemas.openxmlformats.org/officeDocument/2006/relationships/fontTable" Target="fontTable.xml"/><Relationship Id="rId5" Type="http://schemas.openxmlformats.org/officeDocument/2006/relationships/theme" Target="theme/theme1.xml"/><Relationship Id="rId3" Type="http://schemas.openxmlformats.org/officeDocument/2006/relationships/webSettings" Target="webSettings.xml"/><Relationship Id="rId67613951" Type="http://schemas.openxmlformats.org/officeDocument/2006/relationships/image" Target="../media/image19.png"/><Relationship Id="rId214130954" Type="http://schemas.openxmlformats.org/officeDocument/2006/relationships/image" Target="../media/image1a.png"/><Relationship Id="rId257189686" Type="http://schemas.openxmlformats.org/officeDocument/2006/relationships/image" Target="../media/imagee.png"/><Relationship Id="rId300518591" Type="http://schemas.openxmlformats.org/officeDocument/2006/relationships/image" Target="../media/image15.png"/><Relationship Id="rId431556902" Type="http://schemas.openxmlformats.org/officeDocument/2006/relationships/image" Target="../media/image11.png"/><Relationship Id="rId449070622" Type="http://schemas.openxmlformats.org/officeDocument/2006/relationships/image" Target="../media/image2.png"/><Relationship Id="rId787475406" Type="http://schemas.openxmlformats.org/officeDocument/2006/relationships/image" Target="../media/image7.png"/><Relationship Id="rId831102961" Type="http://schemas.openxmlformats.org/officeDocument/2006/relationships/image" Target="../media/imaged.png"/><Relationship Id="rId924296000" Type="http://schemas.openxmlformats.org/officeDocument/2006/relationships/image" Target="../media/image5.png"/><Relationship Id="rId938329791" Type="http://schemas.openxmlformats.org/officeDocument/2006/relationships/image" Target="../media/image.png"/><Relationship Id="rId1015030607" Type="http://schemas.openxmlformats.org/officeDocument/2006/relationships/image" Target="../media/image17.png"/><Relationship Id="rId1020126191" Type="http://schemas.openxmlformats.org/officeDocument/2006/relationships/image" Target="../media/image6.png"/><Relationship Id="rId1054468709" Type="http://schemas.openxmlformats.org/officeDocument/2006/relationships/image" Target="../media/image9.png"/><Relationship Id="rId1078104654" Type="http://schemas.openxmlformats.org/officeDocument/2006/relationships/image" Target="../media/image13.png"/><Relationship Id="rId1295809440" Type="http://schemas.openxmlformats.org/officeDocument/2006/relationships/image" Target="../media/image16.png"/><Relationship Id="rId1304054200" Type="http://schemas.openxmlformats.org/officeDocument/2006/relationships/image" Target="../media/image3.png"/><Relationship Id="rId1469664739" Type="http://schemas.openxmlformats.org/officeDocument/2006/relationships/image" Target="../media/image8.png"/><Relationship Id="rId1576587852" Type="http://schemas.openxmlformats.org/officeDocument/2006/relationships/image" Target="../media/image4.png"/><Relationship Id="rId1614761087" Type="http://schemas.openxmlformats.org/officeDocument/2006/relationships/image" Target="../media/imageb.png"/><Relationship Id="rId1650368222" Type="http://schemas.openxmlformats.org/officeDocument/2006/relationships/image" Target="../media/image18.png"/><Relationship Id="rId1920251353" Type="http://schemas.openxmlformats.org/officeDocument/2006/relationships/image" Target="../media/imagec.png"/><Relationship Id="rId1935097579" Type="http://schemas.openxmlformats.org/officeDocument/2006/relationships/image" Target="../media/image10.png"/><Relationship Id="rId1961782424" Type="http://schemas.openxmlformats.org/officeDocument/2006/relationships/image" Target="../media/imagea.png"/><Relationship Id="rId1981252888" Type="http://schemas.openxmlformats.org/officeDocument/2006/relationships/image" Target="../media/image1b.png"/><Relationship Id="rId2004944582" Type="http://schemas.openxmlformats.org/officeDocument/2006/relationships/image" Target="../media/image10.png"/><Relationship Id="rId2020924270" Type="http://schemas.openxmlformats.org/officeDocument/2006/relationships/image" Target="../media/image12.png"/><Relationship Id="rId2023850036" Type="http://schemas.openxmlformats.org/officeDocument/2006/relationships/image" Target="../media/imagef.png"/><Relationship Id="rId2029819345" Type="http://schemas.openxmlformats.org/officeDocument/2006/relationships/image" Target="../media/image14.png"/></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Times New Roman"/>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Akshata Pauskar</dc:creator>
  <cp:lastModifiedBy>Simmy</cp:lastModifiedBy>
</cp:coreProperties>
</file>