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A05A1">
      <w:pPr>
        <w:spacing w:before="0" w:after="120" w:line="360" w:lineRule="auto"/>
        <w:jc w:val="center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eastAsia="宋体" w:cs="Times New Roman"/>
          <w:sz w:val="28"/>
          <w:szCs w:val="28"/>
          <w:lang w:val="en-US" w:eastAsia="zh-CN"/>
        </w:rPr>
        <w:t xml:space="preserve">Table 1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MedDRA Preferred Terms (PT)</w:t>
      </w:r>
    </w:p>
    <w:tbl>
      <w:tblPr>
        <w:tblStyle w:val="2"/>
        <w:tblW w:w="918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22"/>
        <w:gridCol w:w="6558"/>
      </w:tblGrid>
      <w:tr w14:paraId="20BCF75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622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BE549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6558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3F0A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MedDRA Preferred Terms (PT)</w:t>
            </w:r>
          </w:p>
        </w:tc>
      </w:tr>
      <w:tr w14:paraId="556C7D2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22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CA48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Anaphylaxis-related events</w:t>
            </w:r>
          </w:p>
        </w:tc>
        <w:tc>
          <w:tcPr>
            <w:tcW w:w="6558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86449">
            <w:pPr>
              <w:snapToGrid w:val="0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Anaphylactic reaction, Anaphylactic shock, Anaphylaxis, Hypersensitivity, Drug hypersensitivity, Allergic reaction, Angioedema, Urticaria</w:t>
            </w:r>
          </w:p>
        </w:tc>
      </w:tr>
      <w:tr w14:paraId="39529AA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4D6CE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Malignant hyperthermia</w:t>
            </w: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AD281">
            <w:pPr>
              <w:snapToGrid w:val="0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Malignant hyperthermia</w:t>
            </w:r>
          </w:p>
        </w:tc>
      </w:tr>
      <w:tr w14:paraId="5AB25DC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85BBD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Cardiovascular events</w:t>
            </w: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6449BB">
            <w:pPr>
              <w:snapToGrid w:val="0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Cardiac arrest, Cardio-respiratory arrest, Ventricular fibrillation, Ventricular tachycardia, Hypotension, Bradycardia</w:t>
            </w:r>
          </w:p>
        </w:tc>
      </w:tr>
      <w:tr w14:paraId="0900460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F1E0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Respiratory events</w:t>
            </w: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7D23A">
            <w:pPr>
              <w:snapToGrid w:val="0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Respiratory failure, Respiratory arrest, Apnea, Hypoxia, Oxygen saturation decreased</w:t>
            </w:r>
          </w:p>
        </w:tc>
      </w:tr>
      <w:tr w14:paraId="39CBEC6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40EB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Neuromuscular events</w:t>
            </w: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D6682">
            <w:pPr>
              <w:snapToGrid w:val="0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Prolonged neuromuscular blockade, Delayed recovery from anesthesia</w:t>
            </w:r>
          </w:p>
        </w:tc>
      </w:tr>
      <w:tr w14:paraId="41BFC50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3197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Renal events</w:t>
            </w: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E07B6">
            <w:pPr>
              <w:snapToGrid w:val="0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Renal failure, Acute kidney injury, Renal impairment, Rhabdomyolysis</w:t>
            </w:r>
          </w:p>
        </w:tc>
      </w:tr>
      <w:tr w14:paraId="02A9C09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5DF4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Death</w:t>
            </w:r>
          </w:p>
        </w:tc>
        <w:tc>
          <w:tcPr>
            <w:tcW w:w="6558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E521D">
            <w:pPr>
              <w:snapToGrid w:val="0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Death</w:t>
            </w:r>
          </w:p>
        </w:tc>
      </w:tr>
    </w:tbl>
    <w:p w14:paraId="135A6E9A">
      <w:pPr>
        <w:rPr>
          <w:rFonts w:ascii="Times New Roman" w:hAnsi="Times New Roman" w:eastAsia="Times New Roman" w:cs="Times New Roman"/>
          <w:b/>
          <w:bCs/>
          <w:sz w:val="32"/>
          <w:szCs w:val="32"/>
        </w:rPr>
      </w:pPr>
    </w:p>
    <w:p w14:paraId="1687D723">
      <w:pPr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br w:type="page"/>
      </w:r>
    </w:p>
    <w:p w14:paraId="07D55961">
      <w:pPr>
        <w:spacing w:before="200" w:after="100" w:line="360" w:lineRule="auto"/>
        <w:jc w:val="center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. Baseline Characteristics of NMBA-Related Reports</w:t>
      </w:r>
    </w:p>
    <w:tbl>
      <w:tblPr>
        <w:tblStyle w:val="2"/>
        <w:tblW w:w="8463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3"/>
        <w:gridCol w:w="3670"/>
      </w:tblGrid>
      <w:tr w14:paraId="3419376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0534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3670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A81B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N (%)</w:t>
            </w:r>
          </w:p>
        </w:tc>
      </w:tr>
      <w:tr w14:paraId="58AEBA1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BA23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Total reports</w:t>
            </w:r>
          </w:p>
        </w:tc>
        <w:tc>
          <w:tcPr>
            <w:tcW w:w="3670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3D09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32,106 (100)</w:t>
            </w:r>
          </w:p>
        </w:tc>
      </w:tr>
      <w:tr w14:paraId="4FDC40D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2B766">
            <w:pPr>
              <w:snapToGrid w:val="0"/>
              <w:ind w:right="0" w:rightChars="0" w:firstLine="1680" w:firstLineChars="700"/>
              <w:jc w:val="both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Sex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2FB8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</w:p>
        </w:tc>
      </w:tr>
      <w:tr w14:paraId="00065D4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47DD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5BDEF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18,043 (56.2)</w:t>
            </w:r>
          </w:p>
        </w:tc>
      </w:tr>
      <w:tr w14:paraId="5F83A79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FB2C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9447E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12,842 (40.0)</w:t>
            </w:r>
          </w:p>
        </w:tc>
      </w:tr>
      <w:tr w14:paraId="0883048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AE05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0D3C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1,221 (3.8)</w:t>
            </w:r>
          </w:p>
        </w:tc>
      </w:tr>
      <w:tr w14:paraId="4414829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94E72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Age group (years)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26BB7">
            <w:pPr>
              <w:snapToGrid w:val="0"/>
              <w:ind w:left="0" w:leftChars="0" w:right="0" w:rightChars="0" w:firstLine="0" w:firstLineChars="0"/>
              <w:jc w:val="center"/>
            </w:pPr>
          </w:p>
        </w:tc>
      </w:tr>
      <w:tr w14:paraId="7CE5E88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0B782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0–18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3BA5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1,092 (3.4)</w:t>
            </w:r>
          </w:p>
        </w:tc>
      </w:tr>
      <w:tr w14:paraId="0B53235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E6BC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19–39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CF95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5,135 (16.0)</w:t>
            </w:r>
          </w:p>
        </w:tc>
      </w:tr>
      <w:tr w14:paraId="5C87734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631F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40–69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5D33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15,556 (48.5)</w:t>
            </w:r>
          </w:p>
        </w:tc>
      </w:tr>
      <w:tr w14:paraId="13345C0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9E859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≥70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99617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6,866 (21.4)</w:t>
            </w:r>
          </w:p>
        </w:tc>
      </w:tr>
      <w:tr w14:paraId="7199E98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793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B3584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3670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076EC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3,457 (10.8)</w:t>
            </w:r>
          </w:p>
        </w:tc>
      </w:tr>
    </w:tbl>
    <w:p w14:paraId="6E1CCE70">
      <w:pPr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br w:type="page"/>
      </w:r>
    </w:p>
    <w:p w14:paraId="222F72F1">
      <w:pPr>
        <w:spacing w:before="240" w:after="100" w:line="360" w:lineRule="auto"/>
        <w:jc w:val="center"/>
        <w:rPr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>Table</w:t>
      </w:r>
      <w:r>
        <w:rPr>
          <w:rFonts w:hint="eastAsia" w:eastAsia="宋体" w:cs="Times New Roman"/>
          <w:b/>
          <w:bCs/>
          <w:sz w:val="22"/>
          <w:szCs w:val="22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>. Distribution of FAERS Reports and Adverse Event Categories by Neuromuscular Blocking Agent</w:t>
      </w:r>
    </w:p>
    <w:tbl>
      <w:tblPr>
        <w:tblStyle w:val="2"/>
        <w:tblW w:w="8522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80"/>
        <w:gridCol w:w="1232"/>
        <w:gridCol w:w="1516"/>
        <w:gridCol w:w="1179"/>
        <w:gridCol w:w="1639"/>
        <w:gridCol w:w="1376"/>
      </w:tblGrid>
      <w:tr w14:paraId="0CFA678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580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EADC2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Drug</w:t>
            </w:r>
          </w:p>
        </w:tc>
        <w:tc>
          <w:tcPr>
            <w:tcW w:w="1232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120C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Total Reports</w:t>
            </w:r>
          </w:p>
        </w:tc>
        <w:tc>
          <w:tcPr>
            <w:tcW w:w="1516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4016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Anaphylaxis</w:t>
            </w:r>
          </w:p>
        </w:tc>
        <w:tc>
          <w:tcPr>
            <w:tcW w:w="1179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FC847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MH</w:t>
            </w:r>
          </w:p>
        </w:tc>
        <w:tc>
          <w:tcPr>
            <w:tcW w:w="1639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4F8F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Cardiac Arrest</w:t>
            </w:r>
          </w:p>
        </w:tc>
        <w:tc>
          <w:tcPr>
            <w:tcW w:w="1376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E2E02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Death</w:t>
            </w:r>
          </w:p>
        </w:tc>
      </w:tr>
      <w:tr w14:paraId="3906DF1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80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79DF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Rocuronium</w:t>
            </w:r>
          </w:p>
        </w:tc>
        <w:tc>
          <w:tcPr>
            <w:tcW w:w="1232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B8C3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13,831</w:t>
            </w:r>
          </w:p>
        </w:tc>
        <w:tc>
          <w:tcPr>
            <w:tcW w:w="1516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6F590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2,759 (19.9%)</w:t>
            </w:r>
          </w:p>
        </w:tc>
        <w:tc>
          <w:tcPr>
            <w:tcW w:w="1179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D0A16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216 (1.6%)</w:t>
            </w:r>
          </w:p>
        </w:tc>
        <w:tc>
          <w:tcPr>
            <w:tcW w:w="1639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8DAFE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917 (6.6%)</w:t>
            </w:r>
          </w:p>
        </w:tc>
        <w:tc>
          <w:tcPr>
            <w:tcW w:w="1376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757E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1,361 (9.8%)</w:t>
            </w:r>
          </w:p>
        </w:tc>
      </w:tr>
      <w:tr w14:paraId="73EA5A1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31CB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Succinylcholine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E10E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4,189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C533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576 (13.8%)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48F2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178 (4.2%)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0E16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337 (8.0%)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D733F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478 (11.4%)</w:t>
            </w:r>
          </w:p>
        </w:tc>
      </w:tr>
      <w:tr w14:paraId="612E3EF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E3A3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Atracurium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0BAF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6,712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B95C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1,258 (18.7%)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1893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100 (1.5%)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9D6D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417 (6.2%)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21BF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988 (14.7%)</w:t>
            </w:r>
          </w:p>
        </w:tc>
      </w:tr>
      <w:tr w14:paraId="7CB87D7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8CF3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Vecuronium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9C1B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3,575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22F4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383 (10.7%)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6E09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105 (2.9%)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4371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297 (8.3%)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3DDA6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547 (15.3%)</w:t>
            </w:r>
          </w:p>
        </w:tc>
      </w:tr>
      <w:tr w14:paraId="42B72F8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0DAE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Cisatracurium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9F9B1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1,269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B734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241 (19.0%)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E3355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 (0.6%)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39D7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90 (7.1%)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266EC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338 (26.6%)</w:t>
            </w:r>
          </w:p>
        </w:tc>
      </w:tr>
      <w:tr w14:paraId="74DCBEF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4AC0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Pancuronium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1FFD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1,362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C1170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87 (6.4%)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2EFF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 (0.6%)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FFFC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74 (5.4%)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3FF6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574 (42.1%)</w:t>
            </w:r>
          </w:p>
        </w:tc>
      </w:tr>
      <w:tr w14:paraId="6FAEF84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80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810D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Mivacurium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0DB75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229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93B9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40 (17.5%)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F6465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 (0.9%)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F70C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 (3.1%)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89742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15 (6.6%)</w:t>
            </w:r>
          </w:p>
        </w:tc>
      </w:tr>
    </w:tbl>
    <w:p w14:paraId="465F379E">
      <w:pPr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br w:type="page"/>
      </w:r>
    </w:p>
    <w:p w14:paraId="2A311FCE">
      <w:pPr>
        <w:spacing w:before="240" w:after="100" w:line="360" w:lineRule="auto"/>
        <w:jc w:val="center"/>
        <w:rPr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Table </w:t>
      </w:r>
      <w:r>
        <w:rPr>
          <w:rFonts w:hint="eastAsia" w:eastAsia="宋体" w:cs="Times New Roman"/>
          <w:b/>
          <w:bCs/>
          <w:sz w:val="22"/>
          <w:szCs w:val="22"/>
          <w:lang w:val="en-US" w:eastAsia="zh-CN"/>
        </w:rPr>
        <w:t>4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>. Disproportionality Analysis of Anaphylaxis (Reference: Pancuronium)</w:t>
      </w:r>
    </w:p>
    <w:tbl>
      <w:tblPr>
        <w:tblStyle w:val="2"/>
        <w:tblW w:w="8463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30"/>
        <w:gridCol w:w="1135"/>
        <w:gridCol w:w="911"/>
        <w:gridCol w:w="1502"/>
        <w:gridCol w:w="1285"/>
      </w:tblGrid>
      <w:tr w14:paraId="37588B0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3630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B1D0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Drug–Event Combination</w:t>
            </w:r>
          </w:p>
        </w:tc>
        <w:tc>
          <w:tcPr>
            <w:tcW w:w="1135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2DBA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Cases</w:t>
            </w:r>
          </w:p>
        </w:tc>
        <w:tc>
          <w:tcPr>
            <w:tcW w:w="911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04B1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ROR</w:t>
            </w:r>
          </w:p>
        </w:tc>
        <w:tc>
          <w:tcPr>
            <w:tcW w:w="1502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DF91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1285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5190E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Signal</w:t>
            </w:r>
          </w:p>
        </w:tc>
      </w:tr>
      <w:tr w14:paraId="2A12BAE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630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B330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Rocuronium + Anaphylaxis</w:t>
            </w:r>
          </w:p>
        </w:tc>
        <w:tc>
          <w:tcPr>
            <w:tcW w:w="1135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3E14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2,759</w:t>
            </w:r>
          </w:p>
        </w:tc>
        <w:tc>
          <w:tcPr>
            <w:tcW w:w="911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1238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4.16</w:t>
            </w:r>
          </w:p>
        </w:tc>
        <w:tc>
          <w:tcPr>
            <w:tcW w:w="1502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D488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3.33–5.18</w:t>
            </w:r>
          </w:p>
        </w:tc>
        <w:tc>
          <w:tcPr>
            <w:tcW w:w="1285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3F3B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Positive</w:t>
            </w:r>
          </w:p>
        </w:tc>
      </w:tr>
      <w:tr w14:paraId="5B78DDC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CB59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Atracurium + Anaphylaxis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2E3AA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1,258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CFBF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3.82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D5053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3.05–4.78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35417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Positive</w:t>
            </w:r>
          </w:p>
        </w:tc>
      </w:tr>
      <w:tr w14:paraId="35EFC62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164B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Succinylcholine + Anaphylaxis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EDCB9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576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CCBA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2.34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C7F4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1.85–2.95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5DDB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Positive</w:t>
            </w:r>
          </w:p>
        </w:tc>
      </w:tr>
      <w:tr w14:paraId="34F4956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2F06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Cisatracurium + Anaphylaxis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1B292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FE337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3.44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E4EC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2.65–4.45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EA96E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Positive</w:t>
            </w:r>
          </w:p>
        </w:tc>
      </w:tr>
      <w:tr w14:paraId="4E85A26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7DE8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Vecuronium + Anaphylaxis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2112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383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4CD3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1.76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0AAF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1.38–2.24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BDF5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Positive</w:t>
            </w:r>
          </w:p>
        </w:tc>
      </w:tr>
      <w:tr w14:paraId="3F55593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630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27878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Pancuronium + Anaphylaxis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1AD9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87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F316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FD75D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0.74–1.36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29E5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Negative</w:t>
            </w:r>
          </w:p>
        </w:tc>
      </w:tr>
    </w:tbl>
    <w:p w14:paraId="60653E0E">
      <w:pPr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br w:type="page"/>
      </w:r>
    </w:p>
    <w:p w14:paraId="7E130445">
      <w:pPr>
        <w:spacing w:before="240" w:after="100" w:line="360" w:lineRule="auto"/>
        <w:jc w:val="center"/>
        <w:rPr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Table </w:t>
      </w:r>
      <w:r>
        <w:rPr>
          <w:rFonts w:hint="eastAsia" w:eastAsia="宋体" w:cs="Times New Roman"/>
          <w:b/>
          <w:bCs/>
          <w:sz w:val="22"/>
          <w:szCs w:val="22"/>
          <w:lang w:val="en-US" w:eastAsia="zh-CN"/>
        </w:rPr>
        <w:t>5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>. Malignant Hyperthermia Reports and Disproportionality Analysis</w:t>
      </w:r>
    </w:p>
    <w:tbl>
      <w:tblPr>
        <w:tblStyle w:val="2"/>
        <w:tblW w:w="8463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7"/>
        <w:gridCol w:w="1878"/>
        <w:gridCol w:w="1428"/>
        <w:gridCol w:w="1470"/>
        <w:gridCol w:w="1470"/>
      </w:tblGrid>
      <w:tr w14:paraId="06DFCFB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3D3EC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Drug</w:t>
            </w:r>
          </w:p>
        </w:tc>
        <w:tc>
          <w:tcPr>
            <w:tcW w:w="0" w:type="auto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4E2C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MH Reports</w:t>
            </w:r>
          </w:p>
        </w:tc>
        <w:tc>
          <w:tcPr>
            <w:tcW w:w="0" w:type="auto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3569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Rate (%)</w:t>
            </w:r>
          </w:p>
        </w:tc>
        <w:tc>
          <w:tcPr>
            <w:tcW w:w="0" w:type="auto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5700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ROR</w:t>
            </w:r>
          </w:p>
        </w:tc>
        <w:tc>
          <w:tcPr>
            <w:tcW w:w="1470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9F06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95% CI</w:t>
            </w:r>
          </w:p>
        </w:tc>
      </w:tr>
      <w:tr w14:paraId="1913AF0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63EA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Succinylcholine</w:t>
            </w:r>
          </w:p>
        </w:tc>
        <w:tc>
          <w:tcPr>
            <w:tcW w:w="0" w:type="auto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5DC8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178</w:t>
            </w:r>
          </w:p>
        </w:tc>
        <w:tc>
          <w:tcPr>
            <w:tcW w:w="0" w:type="auto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E18C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4.25</w:t>
            </w:r>
          </w:p>
        </w:tc>
        <w:tc>
          <w:tcPr>
            <w:tcW w:w="0" w:type="auto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193C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2.93</w:t>
            </w:r>
          </w:p>
        </w:tc>
        <w:tc>
          <w:tcPr>
            <w:tcW w:w="1470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5D77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2.29–3.76</w:t>
            </w:r>
          </w:p>
        </w:tc>
      </w:tr>
      <w:tr w14:paraId="0C450C6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7EC5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Vecuronium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1792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89BD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5B10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557D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1.52–2.64</w:t>
            </w:r>
          </w:p>
        </w:tc>
      </w:tr>
      <w:tr w14:paraId="546EEE4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189C2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Rocuronium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96706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B568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11FB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1.05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47F5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0.83–1.33</w:t>
            </w:r>
          </w:p>
        </w:tc>
      </w:tr>
      <w:tr w14:paraId="4C484E8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17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39AFC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Atracurium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6D02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33949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1.49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6B1F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9A523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Reference</w:t>
            </w:r>
          </w:p>
        </w:tc>
      </w:tr>
    </w:tbl>
    <w:p w14:paraId="755F6D74">
      <w:pPr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br w:type="page"/>
      </w:r>
    </w:p>
    <w:p w14:paraId="3DAF7045">
      <w:pPr>
        <w:spacing w:before="240" w:after="100" w:line="360" w:lineRule="auto"/>
        <w:jc w:val="center"/>
        <w:rPr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Table </w:t>
      </w:r>
      <w:r>
        <w:rPr>
          <w:rFonts w:hint="eastAsia" w:eastAsia="宋体" w:cs="Times New Roman"/>
          <w:b/>
          <w:bCs/>
          <w:sz w:val="22"/>
          <w:szCs w:val="22"/>
          <w:lang w:val="en-US" w:eastAsia="zh-CN"/>
        </w:rPr>
        <w:t>6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>. Mortality and Mortality Rate by Neuromuscular Blocking Agent</w:t>
      </w:r>
    </w:p>
    <w:tbl>
      <w:tblPr>
        <w:tblStyle w:val="2"/>
        <w:tblW w:w="8463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59"/>
        <w:gridCol w:w="1669"/>
        <w:gridCol w:w="2186"/>
        <w:gridCol w:w="1376"/>
        <w:gridCol w:w="1373"/>
      </w:tblGrid>
      <w:tr w14:paraId="345D25E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DFB5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Drug</w:t>
            </w:r>
          </w:p>
        </w:tc>
        <w:tc>
          <w:tcPr>
            <w:tcW w:w="1669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DC73D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Death Reports</w:t>
            </w:r>
          </w:p>
        </w:tc>
        <w:tc>
          <w:tcPr>
            <w:tcW w:w="2186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A846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Mortality Rate (%)</w:t>
            </w:r>
          </w:p>
        </w:tc>
        <w:tc>
          <w:tcPr>
            <w:tcW w:w="1376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7BE9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ROR</w:t>
            </w:r>
          </w:p>
        </w:tc>
        <w:tc>
          <w:tcPr>
            <w:tcW w:w="1373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6AC4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95% CI</w:t>
            </w:r>
          </w:p>
        </w:tc>
      </w:tr>
      <w:tr w14:paraId="56688A2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737B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Vecuronium</w:t>
            </w:r>
          </w:p>
        </w:tc>
        <w:tc>
          <w:tcPr>
            <w:tcW w:w="1669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ED99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547</w:t>
            </w:r>
          </w:p>
        </w:tc>
        <w:tc>
          <w:tcPr>
            <w:tcW w:w="2186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4DBD6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15.30</w:t>
            </w:r>
          </w:p>
        </w:tc>
        <w:tc>
          <w:tcPr>
            <w:tcW w:w="1376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1EBE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1.05</w:t>
            </w:r>
          </w:p>
        </w:tc>
        <w:tc>
          <w:tcPr>
            <w:tcW w:w="1373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5124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0.93–1.17</w:t>
            </w:r>
          </w:p>
        </w:tc>
      </w:tr>
      <w:tr w14:paraId="4F969B2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F527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Succinylcholine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12188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478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01DA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11.41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7A7F4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0.75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2E38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0.66–0.84</w:t>
            </w:r>
          </w:p>
        </w:tc>
      </w:tr>
      <w:tr w14:paraId="1D50AFF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9098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Rocuronium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D94B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1,361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1DA8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9.84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7B94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0.63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83D9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0.58–0.69</w:t>
            </w:r>
          </w:p>
        </w:tc>
      </w:tr>
      <w:tr w14:paraId="070E05B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59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D83F1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Atracurium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25E6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988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EFFA2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14.72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2B40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B0CE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Reference</w:t>
            </w:r>
          </w:p>
        </w:tc>
      </w:tr>
    </w:tbl>
    <w:p w14:paraId="0D6608F7">
      <w:pPr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br w:type="page"/>
      </w:r>
    </w:p>
    <w:p w14:paraId="227B8B75">
      <w:pPr>
        <w:spacing w:before="240" w:after="100" w:line="360" w:lineRule="auto"/>
        <w:jc w:val="center"/>
        <w:rPr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Table </w:t>
      </w:r>
      <w:r>
        <w:rPr>
          <w:rFonts w:hint="eastAsia" w:eastAsia="宋体" w:cs="Times New Roman"/>
          <w:b/>
          <w:bCs/>
          <w:sz w:val="22"/>
          <w:szCs w:val="22"/>
          <w:lang w:val="en-US" w:eastAsia="zh-CN"/>
        </w:rPr>
        <w:t>7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>. Disproportionality Analysis Using All FAERS Drugs as the Reference (N = 23,987,287)</w:t>
      </w:r>
    </w:p>
    <w:tbl>
      <w:tblPr>
        <w:tblStyle w:val="2"/>
        <w:tblW w:w="8463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7"/>
        <w:gridCol w:w="1630"/>
        <w:gridCol w:w="1200"/>
        <w:gridCol w:w="1023"/>
        <w:gridCol w:w="1702"/>
        <w:gridCol w:w="1091"/>
      </w:tblGrid>
      <w:tr w14:paraId="6CC5B01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817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3609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Drug</w:t>
            </w:r>
          </w:p>
        </w:tc>
        <w:tc>
          <w:tcPr>
            <w:tcW w:w="1630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1581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Adverse Event</w:t>
            </w:r>
          </w:p>
        </w:tc>
        <w:tc>
          <w:tcPr>
            <w:tcW w:w="1200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C3C8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Cases (a)</w:t>
            </w:r>
          </w:p>
        </w:tc>
        <w:tc>
          <w:tcPr>
            <w:tcW w:w="1023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3059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ROR</w:t>
            </w:r>
          </w:p>
        </w:tc>
        <w:tc>
          <w:tcPr>
            <w:tcW w:w="1702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A1AC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1091" w:type="dxa"/>
            <w:tcBorders>
              <w:top w:val="single" w:color="999999" w:sz="12" w:space="0"/>
              <w:left w:val="nil"/>
              <w:bottom w:val="nil"/>
              <w:right w:val="nil"/>
            </w:tcBorders>
            <w:shd w:val="clear" w:color="auto" w:fill="E8E8E8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08502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Signal</w:t>
            </w:r>
          </w:p>
        </w:tc>
      </w:tr>
      <w:tr w14:paraId="2FEAE89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17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701F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Rocuronium</w:t>
            </w:r>
          </w:p>
        </w:tc>
        <w:tc>
          <w:tcPr>
            <w:tcW w:w="1630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CCFC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Anaphylaxis</w:t>
            </w:r>
          </w:p>
        </w:tc>
        <w:tc>
          <w:tcPr>
            <w:tcW w:w="1200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A3102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2,759</w:t>
            </w:r>
          </w:p>
        </w:tc>
        <w:tc>
          <w:tcPr>
            <w:tcW w:w="1023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1246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15.98</w:t>
            </w:r>
          </w:p>
        </w:tc>
        <w:tc>
          <w:tcPr>
            <w:tcW w:w="1702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D71B5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15.32–16.66</w:t>
            </w:r>
          </w:p>
        </w:tc>
        <w:tc>
          <w:tcPr>
            <w:tcW w:w="1091" w:type="dxa"/>
            <w:tcBorders>
              <w:top w:val="single" w:color="999999" w:sz="4" w:space="0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73A3E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Positive</w:t>
            </w:r>
          </w:p>
        </w:tc>
      </w:tr>
      <w:tr w14:paraId="45E9CC2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44B5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Atracurium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0510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Anaphylaxis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2D89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1,258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C5C0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14.73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062E2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13.86–15.67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B19E0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Positive</w:t>
            </w:r>
          </w:p>
        </w:tc>
      </w:tr>
      <w:tr w14:paraId="5CB6012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B330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Succinylcholine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9E45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1448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202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24E2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662.65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4A90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570.56–769.60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1761F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Positive</w:t>
            </w:r>
          </w:p>
        </w:tc>
      </w:tr>
      <w:tr w14:paraId="700CDA0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B88F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Pancuronium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5F4B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Death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6FA6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574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446E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7.95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551D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7.14–8.85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18928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Positive</w:t>
            </w:r>
          </w:p>
        </w:tc>
      </w:tr>
      <w:tr w14:paraId="627610E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17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3904E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Mivacurium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CC48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Death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E1BB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4D44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0.76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D4A74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0.45–1.29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999999" w:sz="12" w:space="0"/>
              <w:right w:val="nil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3CDE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Negative</w:t>
            </w:r>
          </w:p>
        </w:tc>
      </w:tr>
    </w:tbl>
    <w:p w14:paraId="765A43E0"/>
    <w:p w14:paraId="26AC5021">
      <w:r>
        <w:br w:type="page"/>
      </w:r>
    </w:p>
    <w:p w14:paraId="6DEF5FF3">
      <w:pPr>
        <w:spacing w:before="120" w:after="120"/>
        <w:jc w:val="center"/>
      </w:pPr>
      <w:r>
        <w:rPr>
          <w:rFonts w:ascii="Times New Roman" w:hAnsi="Times New Roman"/>
          <w:b/>
          <w:sz w:val="22"/>
          <w:szCs w:val="22"/>
        </w:rPr>
        <w:t>Table S</w:t>
      </w:r>
      <w:r>
        <w:rPr>
          <w:rFonts w:hint="eastAsia" w:eastAsia="宋体"/>
          <w:b/>
          <w:sz w:val="22"/>
          <w:szCs w:val="22"/>
          <w:lang w:val="en-US" w:eastAsia="zh-CN"/>
        </w:rPr>
        <w:t>1</w:t>
      </w:r>
      <w:r>
        <w:rPr>
          <w:rFonts w:ascii="Times New Roman" w:hAnsi="Times New Roman"/>
          <w:b/>
          <w:sz w:val="22"/>
          <w:szCs w:val="22"/>
        </w:rPr>
        <w:t>. Sensitivity Analysis: Exclusion of Sensitizing Co-exposures</w:t>
      </w:r>
    </w:p>
    <w:tbl>
      <w:tblPr>
        <w:tblStyle w:val="2"/>
        <w:tblW w:w="87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119"/>
        <w:gridCol w:w="2346"/>
        <w:gridCol w:w="2213"/>
        <w:gridCol w:w="1511"/>
      </w:tblGrid>
      <w:tr w14:paraId="3B52E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309B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Drug</w:t>
            </w:r>
          </w:p>
        </w:tc>
        <w:tc>
          <w:tcPr>
            <w:tcW w:w="111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4654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Cases (n)</w:t>
            </w:r>
          </w:p>
        </w:tc>
        <w:tc>
          <w:tcPr>
            <w:tcW w:w="234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798D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ROR (before exclusion)</w:t>
            </w:r>
          </w:p>
        </w:tc>
        <w:tc>
          <w:tcPr>
            <w:tcW w:w="221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A2A0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ROR (after exclusion)</w:t>
            </w:r>
          </w:p>
        </w:tc>
        <w:tc>
          <w:tcPr>
            <w:tcW w:w="151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5FFB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Signal retained</w:t>
            </w:r>
          </w:p>
        </w:tc>
      </w:tr>
      <w:tr w14:paraId="7CF35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DA3E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Rocuronium</w:t>
            </w:r>
          </w:p>
        </w:tc>
        <w:tc>
          <w:tcPr>
            <w:tcW w:w="11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C4B2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3,056</w:t>
            </w:r>
          </w:p>
        </w:tc>
        <w:tc>
          <w:tcPr>
            <w:tcW w:w="23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7DF8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4.16 (3.33–5.18)</w:t>
            </w:r>
          </w:p>
        </w:tc>
        <w:tc>
          <w:tcPr>
            <w:tcW w:w="22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B5BE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3.54 (2.89–4.33)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7C31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Yes</w:t>
            </w:r>
          </w:p>
        </w:tc>
      </w:tr>
      <w:tr w14:paraId="76D99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70A9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Atracurium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78FF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1,387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01BB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3.82 (3.05–4.78)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FA90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3.21 (2.54–4.05)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5ADB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Yes</w:t>
            </w:r>
          </w:p>
        </w:tc>
      </w:tr>
      <w:tr w14:paraId="56D28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8B60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Cisatracurium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DC8F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241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C419A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3.44 (2.65–4.45)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D00B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2.88 (2.13–3.89)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C9D9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Yes</w:t>
            </w:r>
          </w:p>
        </w:tc>
      </w:tr>
      <w:tr w14:paraId="3F996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328E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Succinylcholine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9736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576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DBC1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2.34 (1.85–2.95)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9122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1.52 (1.08–2.14)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9EF4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No (NS)</w:t>
            </w:r>
          </w:p>
        </w:tc>
      </w:tr>
      <w:tr w14:paraId="4276B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35A3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Vecuronium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3D4EF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383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3C7D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1.76 (1.38–2.24)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CC34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1.29 (0.91–1.83)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3BEF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No (NS)</w:t>
            </w:r>
          </w:p>
        </w:tc>
      </w:tr>
      <w:tr w14:paraId="501F5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A26E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Pancuronium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4CBB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87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CE33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1.00 (ref)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4032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1.00 (ref)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003B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Ref</w:t>
            </w:r>
          </w:p>
        </w:tc>
      </w:tr>
      <w:tr w14:paraId="3DD80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5F34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Mivacurium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96B9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40</w:t>
            </w:r>
          </w:p>
        </w:tc>
        <w:tc>
          <w:tcPr>
            <w:tcW w:w="23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D81B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2.12 (1.02–4.41)</w:t>
            </w:r>
          </w:p>
        </w:tc>
        <w:tc>
          <w:tcPr>
            <w:tcW w:w="22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F844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1.78 (0.79–4.01)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7980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Uncertain</w:t>
            </w:r>
          </w:p>
        </w:tc>
      </w:tr>
    </w:tbl>
    <w:p w14:paraId="34CD0CC1">
      <w:pPr>
        <w:spacing w:before="80" w:after="160"/>
        <w:rPr>
          <w:rFonts w:hint="default" w:ascii="Times New Roman" w:hAnsi="Times New Roman"/>
          <w:i/>
          <w:sz w:val="18"/>
          <w:szCs w:val="18"/>
        </w:rPr>
      </w:pPr>
      <w:r>
        <w:rPr>
          <w:rFonts w:hint="default" w:ascii="Times New Roman" w:hAnsi="Times New Roman"/>
          <w:i/>
          <w:sz w:val="18"/>
          <w:szCs w:val="18"/>
        </w:rPr>
        <w:t>ROR = reporting odds ratio; NS = not significant (95% CI includes 1). Before exclusion: intra-NMBA comparison using pancuronium as reference. After exclusion: reports with co-reported sensitizing drugs (β-lactam antibiotics, NSAIDs, opioids, hypnotics, latex, radiocontrast) removed.</w:t>
      </w:r>
    </w:p>
    <w:p w14:paraId="03AE5607">
      <w:pPr>
        <w:bidi w:val="0"/>
        <w:rPr>
          <w:rFonts w:hint="default" w:ascii="Times New Roman" w:hAnsi="Times New Roman" w:eastAsia="Times New Roman" w:cs="Times New Roman"/>
          <w:sz w:val="28"/>
          <w:szCs w:val="28"/>
        </w:rPr>
      </w:pPr>
    </w:p>
    <w:p w14:paraId="37A2743D">
      <w:pPr>
        <w:bidi w:val="0"/>
        <w:rPr>
          <w:rFonts w:hint="default"/>
        </w:rPr>
      </w:pPr>
    </w:p>
    <w:p w14:paraId="7FF595F8">
      <w:pPr>
        <w:bidi w:val="0"/>
        <w:rPr>
          <w:rFonts w:hint="default"/>
        </w:rPr>
      </w:pPr>
    </w:p>
    <w:p w14:paraId="120536F3">
      <w:pPr>
        <w:bidi w:val="0"/>
        <w:rPr>
          <w:rFonts w:hint="default"/>
        </w:rPr>
      </w:pPr>
    </w:p>
    <w:p w14:paraId="30459E9E">
      <w:pPr>
        <w:bidi w:val="0"/>
        <w:rPr>
          <w:rFonts w:hint="default"/>
        </w:rPr>
      </w:pPr>
    </w:p>
    <w:p w14:paraId="4E8DDC14">
      <w:pPr>
        <w:bidi w:val="0"/>
        <w:rPr>
          <w:rFonts w:hint="default"/>
        </w:rPr>
      </w:pPr>
    </w:p>
    <w:p w14:paraId="70A527A9">
      <w:pPr>
        <w:bidi w:val="0"/>
        <w:rPr>
          <w:rFonts w:hint="default"/>
        </w:rPr>
      </w:pPr>
    </w:p>
    <w:p w14:paraId="2A432F58">
      <w:pPr>
        <w:bidi w:val="0"/>
        <w:rPr>
          <w:rFonts w:hint="default"/>
        </w:rPr>
      </w:pPr>
    </w:p>
    <w:p w14:paraId="69BD4FBB">
      <w:pPr>
        <w:bidi w:val="0"/>
        <w:rPr>
          <w:rFonts w:hint="default"/>
        </w:rPr>
      </w:pPr>
    </w:p>
    <w:p w14:paraId="2A413E38">
      <w:pPr>
        <w:bidi w:val="0"/>
        <w:rPr>
          <w:rFonts w:hint="default"/>
        </w:rPr>
      </w:pPr>
    </w:p>
    <w:p w14:paraId="1AC5C682">
      <w:pPr>
        <w:bidi w:val="0"/>
        <w:rPr>
          <w:rFonts w:hint="default"/>
        </w:rPr>
      </w:pPr>
    </w:p>
    <w:p w14:paraId="2337DFF9">
      <w:pPr>
        <w:bidi w:val="0"/>
        <w:rPr>
          <w:rFonts w:hint="default"/>
        </w:rPr>
      </w:pPr>
    </w:p>
    <w:p w14:paraId="005FA545">
      <w:pPr>
        <w:bidi w:val="0"/>
        <w:rPr>
          <w:rFonts w:hint="default"/>
        </w:rPr>
      </w:pPr>
    </w:p>
    <w:p w14:paraId="329AAE27">
      <w:pPr>
        <w:bidi w:val="0"/>
        <w:rPr>
          <w:rFonts w:hint="default"/>
        </w:rPr>
      </w:pPr>
    </w:p>
    <w:p w14:paraId="27BFAC56">
      <w:pPr>
        <w:bidi w:val="0"/>
        <w:rPr>
          <w:rFonts w:hint="default"/>
        </w:rPr>
      </w:pPr>
    </w:p>
    <w:p w14:paraId="06DB9525">
      <w:pPr>
        <w:rPr>
          <w:rFonts w:hint="default"/>
        </w:rPr>
      </w:pPr>
      <w:r>
        <w:rPr>
          <w:rFonts w:hint="default"/>
        </w:rPr>
        <w:br w:type="page"/>
      </w:r>
    </w:p>
    <w:p w14:paraId="1B39DC62">
      <w:pPr>
        <w:spacing w:before="240" w:after="120"/>
        <w:jc w:val="center"/>
      </w:pPr>
      <w:r>
        <w:rPr>
          <w:rFonts w:ascii="Times New Roman" w:hAnsi="Times New Roman"/>
          <w:b/>
          <w:sz w:val="22"/>
          <w:szCs w:val="22"/>
        </w:rPr>
        <w:t>Table S</w:t>
      </w:r>
      <w:r>
        <w:rPr>
          <w:rFonts w:hint="eastAsia" w:eastAsia="宋体"/>
          <w:b/>
          <w:sz w:val="22"/>
          <w:szCs w:val="22"/>
          <w:lang w:val="en-US" w:eastAsia="zh-CN"/>
        </w:rPr>
        <w:t>2</w:t>
      </w:r>
      <w:r>
        <w:rPr>
          <w:rFonts w:ascii="Times New Roman" w:hAnsi="Times New Roman"/>
          <w:b/>
          <w:sz w:val="22"/>
          <w:szCs w:val="22"/>
        </w:rPr>
        <w:t>. Multiple Methods Comparison (ROR, PRR, EBGM) for All NMBA–AE Pairs</w:t>
      </w:r>
    </w:p>
    <w:tbl>
      <w:tblPr>
        <w:tblStyle w:val="2"/>
        <w:tblW w:w="93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270"/>
        <w:gridCol w:w="718"/>
        <w:gridCol w:w="1550"/>
        <w:gridCol w:w="766"/>
        <w:gridCol w:w="828"/>
        <w:gridCol w:w="938"/>
        <w:gridCol w:w="938"/>
        <w:gridCol w:w="938"/>
      </w:tblGrid>
      <w:tr w14:paraId="02C0C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4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9F502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Drug</w:t>
            </w:r>
          </w:p>
        </w:tc>
        <w:tc>
          <w:tcPr>
            <w:tcW w:w="127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A4EC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Adverse Event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00E0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Cases </w:t>
            </w:r>
          </w:p>
          <w:p w14:paraId="5730265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(n)</w:t>
            </w:r>
          </w:p>
        </w:tc>
        <w:tc>
          <w:tcPr>
            <w:tcW w:w="155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92F6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ROR </w:t>
            </w:r>
          </w:p>
          <w:p w14:paraId="445BDDC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76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BBF88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PRR </w:t>
            </w:r>
          </w:p>
          <w:p w14:paraId="1F6DAC8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(χ²)</w:t>
            </w:r>
          </w:p>
        </w:tc>
        <w:tc>
          <w:tcPr>
            <w:tcW w:w="82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2620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EBGM</w:t>
            </w:r>
          </w:p>
        </w:tc>
        <w:tc>
          <w:tcPr>
            <w:tcW w:w="93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3EB0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ROR Signal</w:t>
            </w:r>
          </w:p>
        </w:tc>
        <w:tc>
          <w:tcPr>
            <w:tcW w:w="93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98B22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PRR Signal</w:t>
            </w:r>
          </w:p>
        </w:tc>
        <w:tc>
          <w:tcPr>
            <w:tcW w:w="93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1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0F3B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EBGM Signal</w:t>
            </w:r>
          </w:p>
        </w:tc>
      </w:tr>
      <w:tr w14:paraId="76774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FF1E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Rocuronium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25BC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Anaphylaxis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C270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2759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77EDE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15.98 (15.32–16.66)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4693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12.99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E809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12.90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B8EE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5753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67D2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4D6FF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3B3A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Rocuronium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2691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7EBD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216</w:t>
            </w:r>
            <w:bookmarkStart w:id="0" w:name="_GoBack"/>
            <w:bookmarkEnd w:id="0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003F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258.72 (224.06–298.73)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DE61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254.69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F6FC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222.19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1EDB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0C0F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B235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61294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486E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Rocuronium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2BD2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Cardiac Arrest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F56D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917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3526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12.51 (11.70–13.38)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37C50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11.75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6813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11.67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D5387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90CF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431B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403D2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D065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Rocuronium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1396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Death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4020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1361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D4F5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1.19 (1.13–1.26)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19CF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1.17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C15B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1.17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AB6EB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489E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Negative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875F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774C6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217F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Succinylcholine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E22F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Anaphylaxis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2D7E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723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403A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10.47 (9.68–11.33)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59EC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9.13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E186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9.12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8C6C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74D1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C484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11825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1298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Succinylcholine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CB30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58EE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202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346BF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662.65 (570.56–769.60)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86FD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636.59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C764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560.44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C2C2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A9F0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7CAB9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2120A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D955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Succinylcholine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21BC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Cardiac Arrest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1F78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433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BA38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16.20 (14.67–17.87)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4C51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14.91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E0E5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14.87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4434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CA0C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9C26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39779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590C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Succinylcholine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3C93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Death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707F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601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7288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1.45 (1.33–1.58)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827C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E272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1.40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DB9E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AFC7B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Negative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5962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0FB64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3E184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Atracurium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47FF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Anaphylaxis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6ECAF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1258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2DA4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14.73 (13.86–15.67)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4162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12.16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7EBD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12.12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B6DA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D353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D4CC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4877C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ACE3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Atracurium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897E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6FB0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9C7F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228.66 (186.56–280.27)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17CD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225.27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C857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211.97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6A4B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F77E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FE05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4CDB1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AB6D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Atracurium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1C11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Cardiac Arrest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52DE4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417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ABE73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11.63 (10.53–12.84)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BC3C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10.97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02F3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10.94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8D98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341D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2D520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46904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F7221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Atracurium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F9DD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Death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9519E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988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B510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1.88 (1.76–2.02)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BAD06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1.75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0E96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BE48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DBC0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Negative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8D4F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3FD7B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8C06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Vecuronium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0099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Anaphylaxis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633B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338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DEDB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6.65 (5.95–7.44)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B4A8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6.12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2200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6.11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752A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051F1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E898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7D7B3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776D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Vecuronium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5ED2A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8974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105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1E20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459.00 (375.68–560.80)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429C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445.55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4C8A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417.87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CA7D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82EB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1CF9F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44896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C231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Vecuronium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79F1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Cardiac Arrest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7872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297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1B945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15.90 (14.11–17.90)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89A1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14.66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8BE5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14.63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AFD3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307D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ABCF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57D7D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9816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Vecuronium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51FB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Death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6ECC0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547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7EDAA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1.97 (1.80–2.16)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598F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1.82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CDE95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1.82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9AB50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A660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Negative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003A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0B93F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C3E6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Cisatracurium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F2AC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Anaphylaxis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CEF8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213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475C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12.85 (11.09–14.89)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B715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10.86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EEFF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10.85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80C1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B2C24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46E8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114DA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5797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Cisatracurium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FC86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E276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32EE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90.68 (45.17–182.02)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FBD8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90.11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1039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89.69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DEC4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C27D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6B0F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76BB9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9798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Cisatracurium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F87A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Cardiac Arrest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36C99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0DA40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13.37 (10.79–16.57)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7821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12.50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FE6E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12.49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BD029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C4EB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3F67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4B6CF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29C4F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Cisatracurium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C171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Death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6703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338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8C7C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3.96 (3.50–4.49)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F2489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3.17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716F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3.17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6348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DB20D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87D8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3E2C1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DADA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Pancuronium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5BB4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Anaphylaxis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D41F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78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E732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3.87 (3.08–4.86)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1F02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3.70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9447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3.70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55AA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BA2F4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B9B5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582DE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0571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Pancuronium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C063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DC33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2F55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84.45 (42.08–169.50)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846F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83.96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AED8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83.57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74F7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C053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3B97B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1D1D9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2767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Pancuronium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2032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Cardiac Arrest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0D5B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B6A7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10.06 (7.96–12.72)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B4AC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9.57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C4378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9.57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CECDD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0430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7583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2D62E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99BA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Pancuronium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00FA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Death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E6B2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9AC6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7.95 (7.14–8.85)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E9B0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5.02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7F8BE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5.02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0149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0A59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51D5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762D3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4971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Mivacurium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0A0B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Anaphylaxis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110F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F99F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12.27 (8.63–17.45)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9427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10.45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D104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10.45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8A73E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34EF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A208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5471F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BD01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Mivacurium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F0A8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718C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FEFC2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125.49 (31.17–505.26)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610E93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124.40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F795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124.26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8078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Negative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F74F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Negative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2117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Negative</w:t>
            </w:r>
          </w:p>
        </w:tc>
      </w:tr>
      <w:tr w14:paraId="7187B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5CC0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Mivacurium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5E4BE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Cardiac Arrest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FF7C4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C9FFC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5.52 (2.60–11.72)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1D3C0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5.38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0C795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5.38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F6A98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3A3B0D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62F7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  <w:tr w14:paraId="2C049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5A66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Mivacurium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18EE7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Death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F3752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15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A2F0C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0.76 (0.45–1.29)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F2D8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0.78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99D46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0.78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316C1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Negative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4319A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Negative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37F3F">
            <w:pPr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Positive</w:t>
            </w:r>
          </w:p>
        </w:tc>
      </w:tr>
    </w:tbl>
    <w:p w14:paraId="3BE30B46">
      <w:pPr>
        <w:spacing w:before="80" w:after="160"/>
      </w:pPr>
      <w:r>
        <w:rPr>
          <w:rFonts w:ascii="Times New Roman" w:hAnsi="Times New Roman"/>
          <w:i/>
          <w:sz w:val="18"/>
          <w:szCs w:val="18"/>
        </w:rPr>
        <w:t>ROR = reporting odds ratio; PRR = proportional reporting ratio; EBGM = empirical Bayes geometric mean. ¹ χ² ≥ 3.84 required for PRR signal (Evans criteria). Signal criteria: ROR lower 95% CI &gt; 1; PRR ≥ 2 with χ² ≥ 3.84; EBGM lower 5th percentile &gt; 1.</w:t>
      </w:r>
    </w:p>
    <w:p w14:paraId="28783F27">
      <w:pPr>
        <w:bidi w:val="0"/>
        <w:jc w:val="left"/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F31C9"/>
    <w:rsid w:val="585A3283"/>
    <w:rsid w:val="655F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2026-06-08T08:34:00Z</dcterms:created>
  <dc:creator>胡力仁</dc:creator>
  <cp:lastModifiedBy>胡力仁</cp:lastModifiedBy>
  <dcterms:modified xsi:type="dcterms:W3CDTF">2026-06-08T10:42:35Z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3ECE300B1E5040F3B1B8B9AEB15A1EF5_11</vt:lpwstr>
  </property>
  <property fmtid="{D5CDD505-2E9C-101B-9397-08002B2CF9AE}" pid="4" name="KSOTemplateDocerSaveRecord">
    <vt:lpwstr>eyJoZGlkIjoiODM1MmVjN2JmM2NmNjVjZmFhMmRjNTljZjk4ZTk4NzIiLCJ1c2VySWQiOiI2NTI2NDkzMDAifQ==</vt:lpwstr>
  </property>
</Properties>
</file>