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9A40" w14:textId="77777777" w:rsidR="00137C0C" w:rsidRPr="009B233E" w:rsidRDefault="00137C0C" w:rsidP="00137C0C">
      <w:pPr>
        <w:spacing w:line="360" w:lineRule="auto"/>
        <w:jc w:val="both"/>
        <w:rPr>
          <w:rFonts w:ascii="Segoe UI" w:hAnsi="Segoe UI" w:cs="Segoe UI"/>
          <w:sz w:val="22"/>
          <w:szCs w:val="22"/>
        </w:rPr>
      </w:pPr>
      <w:r w:rsidRPr="009B233E">
        <w:rPr>
          <w:rFonts w:ascii="Segoe UI" w:hAnsi="Segoe UI" w:cs="Segoe UI"/>
          <w:b/>
          <w:bCs/>
          <w:sz w:val="22"/>
          <w:szCs w:val="22"/>
        </w:rPr>
        <w:t>Supplementary Figures</w:t>
      </w:r>
    </w:p>
    <w:p w14:paraId="05AE7334" w14:textId="77777777" w:rsidR="00137C0C" w:rsidRPr="009B233E" w:rsidRDefault="00137C0C" w:rsidP="00137C0C">
      <w:pPr>
        <w:spacing w:line="360" w:lineRule="auto"/>
        <w:jc w:val="both"/>
        <w:rPr>
          <w:rFonts w:ascii="Segoe UI" w:hAnsi="Segoe UI" w:cs="Segoe UI"/>
          <w:sz w:val="22"/>
          <w:szCs w:val="22"/>
        </w:rPr>
      </w:pPr>
      <w:r w:rsidRPr="009B233E">
        <w:rPr>
          <w:rFonts w:ascii="Segoe UI" w:hAnsi="Segoe UI" w:cs="Segoe UI"/>
          <w:noProof/>
          <w:sz w:val="22"/>
          <w:szCs w:val="22"/>
        </w:rPr>
        <w:drawing>
          <wp:inline distT="0" distB="0" distL="0" distR="0" wp14:anchorId="1A2E2431" wp14:editId="772F3441">
            <wp:extent cx="5731510" cy="2157095"/>
            <wp:effectExtent l="0" t="0" r="2540" b="0"/>
            <wp:docPr id="1240200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00919" name=""/>
                    <pic:cNvPicPr/>
                  </pic:nvPicPr>
                  <pic:blipFill>
                    <a:blip r:embed="rId4"/>
                    <a:stretch>
                      <a:fillRect/>
                    </a:stretch>
                  </pic:blipFill>
                  <pic:spPr>
                    <a:xfrm>
                      <a:off x="0" y="0"/>
                      <a:ext cx="5731510" cy="2157095"/>
                    </a:xfrm>
                    <a:prstGeom prst="rect">
                      <a:avLst/>
                    </a:prstGeom>
                  </pic:spPr>
                </pic:pic>
              </a:graphicData>
            </a:graphic>
          </wp:inline>
        </w:drawing>
      </w:r>
    </w:p>
    <w:p w14:paraId="10863F3A" w14:textId="77777777" w:rsidR="00137C0C" w:rsidRPr="00A876AB" w:rsidRDefault="00137C0C" w:rsidP="00137C0C">
      <w:pPr>
        <w:spacing w:line="360" w:lineRule="auto"/>
        <w:jc w:val="both"/>
        <w:rPr>
          <w:rFonts w:ascii="Segoe UI" w:hAnsi="Segoe UI" w:cs="Segoe UI"/>
          <w:sz w:val="20"/>
          <w:szCs w:val="20"/>
          <w:lang w:val="en-US"/>
        </w:rPr>
      </w:pPr>
      <w:r w:rsidRPr="00A876AB">
        <w:rPr>
          <w:rFonts w:ascii="Segoe UI" w:hAnsi="Segoe UI" w:cs="Segoe UI"/>
          <w:b/>
          <w:bCs/>
          <w:sz w:val="20"/>
          <w:szCs w:val="20"/>
          <w:lang w:val="en-US"/>
        </w:rPr>
        <w:t>Supplementary Figure 1</w:t>
      </w:r>
      <w:r w:rsidRPr="00A876AB">
        <w:rPr>
          <w:rFonts w:ascii="Segoe UI" w:hAnsi="Segoe UI" w:cs="Segoe UI"/>
          <w:sz w:val="20"/>
          <w:szCs w:val="20"/>
          <w:lang w:val="en-US"/>
        </w:rPr>
        <w:t xml:space="preserve">. </w:t>
      </w:r>
      <w:r w:rsidRPr="00A876AB">
        <w:rPr>
          <w:rFonts w:ascii="Segoe UI" w:hAnsi="Segoe UI" w:cs="Segoe UI"/>
          <w:b/>
          <w:bCs/>
          <w:sz w:val="20"/>
          <w:szCs w:val="20"/>
          <w:lang w:val="en-US"/>
        </w:rPr>
        <w:t>Sequencing depth and age distribution across clinical outcomes</w:t>
      </w:r>
      <w:r w:rsidRPr="00A876AB">
        <w:rPr>
          <w:rFonts w:ascii="Segoe UI" w:hAnsi="Segoe UI" w:cs="Segoe UI"/>
          <w:sz w:val="20"/>
          <w:szCs w:val="20"/>
          <w:lang w:val="en-US"/>
        </w:rPr>
        <w:t>. (</w:t>
      </w:r>
      <w:r w:rsidRPr="00A876AB">
        <w:rPr>
          <w:rFonts w:ascii="Segoe UI" w:hAnsi="Segoe UI" w:cs="Segoe UI"/>
          <w:b/>
          <w:bCs/>
          <w:sz w:val="20"/>
          <w:szCs w:val="20"/>
          <w:lang w:val="en-US"/>
        </w:rPr>
        <w:t>A</w:t>
      </w:r>
      <w:r w:rsidRPr="00A876AB">
        <w:rPr>
          <w:rFonts w:ascii="Segoe UI" w:hAnsi="Segoe UI" w:cs="Segoe UI"/>
          <w:sz w:val="20"/>
          <w:szCs w:val="20"/>
          <w:lang w:val="en-US"/>
        </w:rPr>
        <w:t>) Total sequencing depth per sample, shown as read counts on a log scale for regression and progression groups. (</w:t>
      </w:r>
      <w:r w:rsidRPr="00A876AB">
        <w:rPr>
          <w:rFonts w:ascii="Segoe UI" w:hAnsi="Segoe UI" w:cs="Segoe UI"/>
          <w:b/>
          <w:bCs/>
          <w:sz w:val="20"/>
          <w:szCs w:val="20"/>
          <w:lang w:val="en-US"/>
        </w:rPr>
        <w:t>B</w:t>
      </w:r>
      <w:r w:rsidRPr="00A876AB">
        <w:rPr>
          <w:rFonts w:ascii="Segoe UI" w:hAnsi="Segoe UI" w:cs="Segoe UI"/>
          <w:sz w:val="20"/>
          <w:szCs w:val="20"/>
          <w:lang w:val="en-US"/>
        </w:rPr>
        <w:t>) Age distribution of participants stratified by clinical outcome (regression vs progression). Statistical significance was assessed using a Mann–Whitney U test.</w:t>
      </w:r>
    </w:p>
    <w:p w14:paraId="0934436E" w14:textId="77777777" w:rsidR="00137C0C" w:rsidRPr="009B233E" w:rsidRDefault="00137C0C" w:rsidP="00137C0C">
      <w:pPr>
        <w:spacing w:line="360" w:lineRule="auto"/>
        <w:jc w:val="both"/>
        <w:rPr>
          <w:rFonts w:ascii="Segoe UI" w:hAnsi="Segoe UI" w:cs="Segoe UI"/>
          <w:sz w:val="22"/>
          <w:szCs w:val="22"/>
          <w:lang w:val="en-US"/>
        </w:rPr>
      </w:pPr>
      <w:r w:rsidRPr="009B233E">
        <w:rPr>
          <w:rFonts w:ascii="Segoe UI" w:hAnsi="Segoe UI" w:cs="Segoe UI"/>
          <w:b/>
          <w:bCs/>
          <w:noProof/>
          <w:lang w:val="en-US"/>
        </w:rPr>
        <w:drawing>
          <wp:anchor distT="0" distB="0" distL="114300" distR="114300" simplePos="0" relativeHeight="251659264" behindDoc="0" locked="0" layoutInCell="1" allowOverlap="1" wp14:anchorId="68F49440" wp14:editId="09E85829">
            <wp:simplePos x="0" y="0"/>
            <wp:positionH relativeFrom="margin">
              <wp:align>center</wp:align>
            </wp:positionH>
            <wp:positionV relativeFrom="paragraph">
              <wp:posOffset>298450</wp:posOffset>
            </wp:positionV>
            <wp:extent cx="2667635" cy="1955800"/>
            <wp:effectExtent l="0" t="0" r="0" b="6350"/>
            <wp:wrapSquare wrapText="bothSides"/>
            <wp:docPr id="2115658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5852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7635" cy="1955800"/>
                    </a:xfrm>
                    <a:prstGeom prst="rect">
                      <a:avLst/>
                    </a:prstGeom>
                  </pic:spPr>
                </pic:pic>
              </a:graphicData>
            </a:graphic>
            <wp14:sizeRelH relativeFrom="margin">
              <wp14:pctWidth>0</wp14:pctWidth>
            </wp14:sizeRelH>
            <wp14:sizeRelV relativeFrom="margin">
              <wp14:pctHeight>0</wp14:pctHeight>
            </wp14:sizeRelV>
          </wp:anchor>
        </w:drawing>
      </w:r>
    </w:p>
    <w:p w14:paraId="350B7EA5" w14:textId="77777777" w:rsidR="00137C0C" w:rsidRPr="009B233E" w:rsidRDefault="00137C0C" w:rsidP="00137C0C">
      <w:pPr>
        <w:spacing w:line="360" w:lineRule="auto"/>
        <w:jc w:val="both"/>
        <w:rPr>
          <w:rFonts w:ascii="Segoe UI" w:hAnsi="Segoe UI" w:cs="Segoe UI"/>
          <w:sz w:val="22"/>
          <w:szCs w:val="22"/>
          <w:lang w:val="en-US"/>
        </w:rPr>
      </w:pPr>
    </w:p>
    <w:p w14:paraId="150655D0" w14:textId="77777777" w:rsidR="00137C0C" w:rsidRPr="009B233E" w:rsidRDefault="00137C0C" w:rsidP="00137C0C">
      <w:pPr>
        <w:spacing w:line="360" w:lineRule="auto"/>
        <w:jc w:val="both"/>
        <w:rPr>
          <w:rFonts w:ascii="Segoe UI" w:hAnsi="Segoe UI" w:cs="Segoe UI"/>
          <w:sz w:val="22"/>
          <w:szCs w:val="22"/>
          <w:lang w:val="en-US"/>
        </w:rPr>
      </w:pPr>
    </w:p>
    <w:p w14:paraId="2F16C62F" w14:textId="77777777" w:rsidR="00137C0C" w:rsidRPr="009B233E" w:rsidRDefault="00137C0C" w:rsidP="00137C0C">
      <w:pPr>
        <w:spacing w:line="360" w:lineRule="auto"/>
        <w:jc w:val="both"/>
        <w:rPr>
          <w:rFonts w:ascii="Segoe UI" w:hAnsi="Segoe UI" w:cs="Segoe UI"/>
          <w:sz w:val="22"/>
          <w:szCs w:val="22"/>
          <w:lang w:val="en-US"/>
        </w:rPr>
      </w:pPr>
    </w:p>
    <w:p w14:paraId="17BDC6B4" w14:textId="77777777" w:rsidR="00137C0C" w:rsidRPr="009B233E" w:rsidRDefault="00137C0C" w:rsidP="00137C0C">
      <w:pPr>
        <w:spacing w:line="360" w:lineRule="auto"/>
        <w:jc w:val="both"/>
        <w:rPr>
          <w:rFonts w:ascii="Segoe UI" w:hAnsi="Segoe UI" w:cs="Segoe UI"/>
          <w:sz w:val="22"/>
          <w:szCs w:val="22"/>
          <w:lang w:val="en-US"/>
        </w:rPr>
      </w:pPr>
    </w:p>
    <w:p w14:paraId="667CA1C2" w14:textId="77777777" w:rsidR="00137C0C" w:rsidRPr="009B233E" w:rsidRDefault="00137C0C" w:rsidP="00137C0C">
      <w:pPr>
        <w:spacing w:line="360" w:lineRule="auto"/>
        <w:jc w:val="both"/>
        <w:rPr>
          <w:rFonts w:ascii="Segoe UI" w:hAnsi="Segoe UI" w:cs="Segoe UI"/>
          <w:sz w:val="22"/>
          <w:szCs w:val="22"/>
          <w:lang w:val="en-US"/>
        </w:rPr>
      </w:pPr>
    </w:p>
    <w:p w14:paraId="56567C6C" w14:textId="77777777" w:rsidR="00137C0C" w:rsidRPr="009B233E" w:rsidRDefault="00137C0C" w:rsidP="00137C0C">
      <w:pPr>
        <w:spacing w:line="360" w:lineRule="auto"/>
        <w:jc w:val="both"/>
        <w:rPr>
          <w:rFonts w:ascii="Segoe UI" w:hAnsi="Segoe UI" w:cs="Segoe UI"/>
          <w:sz w:val="22"/>
          <w:szCs w:val="22"/>
          <w:lang w:val="en-US"/>
        </w:rPr>
      </w:pPr>
    </w:p>
    <w:p w14:paraId="4EF0191E" w14:textId="77777777" w:rsidR="00137C0C" w:rsidRPr="00A876AB" w:rsidRDefault="00137C0C" w:rsidP="00137C0C">
      <w:pPr>
        <w:spacing w:line="360" w:lineRule="auto"/>
        <w:jc w:val="both"/>
        <w:rPr>
          <w:rFonts w:ascii="Segoe UI" w:hAnsi="Segoe UI" w:cs="Segoe UI"/>
          <w:sz w:val="20"/>
          <w:szCs w:val="20"/>
          <w:lang w:val="en-US"/>
        </w:rPr>
      </w:pPr>
      <w:r w:rsidRPr="00A876AB">
        <w:rPr>
          <w:rFonts w:ascii="Segoe UI" w:hAnsi="Segoe UI" w:cs="Segoe UI"/>
          <w:b/>
          <w:bCs/>
          <w:sz w:val="20"/>
          <w:szCs w:val="20"/>
          <w:lang w:val="en-US"/>
        </w:rPr>
        <w:t>Supplementary Figure 2. Distance to microbiome cluster centroid by clinical outcome</w:t>
      </w:r>
      <w:r w:rsidRPr="00A876AB">
        <w:rPr>
          <w:rFonts w:ascii="Segoe UI" w:hAnsi="Segoe UI" w:cs="Segoe UI"/>
          <w:sz w:val="20"/>
          <w:szCs w:val="20"/>
          <w:lang w:val="en-US"/>
        </w:rPr>
        <w:t>. Violin and boxplots showing Bray-Curtis distance to the group centroid for samples classified as regression or progression. Distances were calculated from the beta diversity ordination space to evaluate within-group microbiome dispersion. Statistical significance was assessed using a Mann–Whitney U test.</w:t>
      </w:r>
    </w:p>
    <w:p w14:paraId="6C008497" w14:textId="77777777" w:rsidR="00137C0C" w:rsidRPr="009B233E" w:rsidRDefault="00137C0C" w:rsidP="00137C0C">
      <w:pPr>
        <w:spacing w:line="360" w:lineRule="auto"/>
        <w:jc w:val="both"/>
        <w:rPr>
          <w:rFonts w:ascii="Segoe UI" w:hAnsi="Segoe UI" w:cs="Segoe UI"/>
          <w:sz w:val="22"/>
          <w:szCs w:val="22"/>
          <w:lang w:val="en-US"/>
        </w:rPr>
      </w:pPr>
    </w:p>
    <w:p w14:paraId="6AEB75E3" w14:textId="77777777" w:rsidR="00137C0C" w:rsidRPr="009B233E" w:rsidRDefault="00137C0C" w:rsidP="00137C0C">
      <w:pPr>
        <w:tabs>
          <w:tab w:val="left" w:pos="1513"/>
        </w:tabs>
        <w:spacing w:line="360" w:lineRule="auto"/>
        <w:jc w:val="both"/>
        <w:rPr>
          <w:rFonts w:ascii="Segoe UI" w:hAnsi="Segoe UI" w:cs="Segoe UI"/>
          <w:noProof/>
          <w:sz w:val="22"/>
          <w:szCs w:val="22"/>
          <w:lang w:val="en-US"/>
        </w:rPr>
      </w:pPr>
    </w:p>
    <w:p w14:paraId="661667FE" w14:textId="77777777" w:rsidR="00137C0C" w:rsidRPr="009B233E" w:rsidRDefault="00137C0C" w:rsidP="00137C0C">
      <w:pPr>
        <w:tabs>
          <w:tab w:val="left" w:pos="1513"/>
        </w:tabs>
        <w:spacing w:line="360" w:lineRule="auto"/>
        <w:jc w:val="both"/>
        <w:rPr>
          <w:rFonts w:ascii="Segoe UI" w:hAnsi="Segoe UI" w:cs="Segoe UI"/>
          <w:noProof/>
          <w:sz w:val="22"/>
          <w:szCs w:val="22"/>
          <w:lang w:val="en-US"/>
        </w:rPr>
      </w:pPr>
    </w:p>
    <w:p w14:paraId="04A07616" w14:textId="77777777" w:rsidR="00137C0C" w:rsidRPr="009B233E" w:rsidRDefault="00137C0C" w:rsidP="00137C0C">
      <w:pPr>
        <w:tabs>
          <w:tab w:val="left" w:pos="1513"/>
        </w:tabs>
        <w:spacing w:line="360" w:lineRule="auto"/>
        <w:jc w:val="both"/>
        <w:rPr>
          <w:rFonts w:ascii="Segoe UI" w:hAnsi="Segoe UI" w:cs="Segoe UI"/>
          <w:sz w:val="22"/>
          <w:szCs w:val="22"/>
        </w:rPr>
      </w:pPr>
      <w:r w:rsidRPr="009B233E">
        <w:rPr>
          <w:rFonts w:ascii="Segoe UI" w:hAnsi="Segoe UI" w:cs="Segoe UI"/>
          <w:noProof/>
          <w:sz w:val="22"/>
          <w:szCs w:val="22"/>
        </w:rPr>
        <w:lastRenderedPageBreak/>
        <w:drawing>
          <wp:inline distT="0" distB="0" distL="0" distR="0" wp14:anchorId="318AC881" wp14:editId="343ACBC4">
            <wp:extent cx="5731510" cy="1993265"/>
            <wp:effectExtent l="0" t="0" r="2540" b="6985"/>
            <wp:docPr id="203599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98356" name=""/>
                    <pic:cNvPicPr/>
                  </pic:nvPicPr>
                  <pic:blipFill>
                    <a:blip r:embed="rId6"/>
                    <a:stretch>
                      <a:fillRect/>
                    </a:stretch>
                  </pic:blipFill>
                  <pic:spPr>
                    <a:xfrm>
                      <a:off x="0" y="0"/>
                      <a:ext cx="5731510" cy="1993265"/>
                    </a:xfrm>
                    <a:prstGeom prst="rect">
                      <a:avLst/>
                    </a:prstGeom>
                  </pic:spPr>
                </pic:pic>
              </a:graphicData>
            </a:graphic>
          </wp:inline>
        </w:drawing>
      </w:r>
    </w:p>
    <w:p w14:paraId="1ADED24E" w14:textId="77777777" w:rsidR="00137C0C" w:rsidRDefault="00137C0C" w:rsidP="00137C0C">
      <w:pPr>
        <w:tabs>
          <w:tab w:val="left" w:pos="1513"/>
        </w:tabs>
        <w:spacing w:line="360" w:lineRule="auto"/>
        <w:jc w:val="both"/>
        <w:rPr>
          <w:rFonts w:ascii="Segoe UI" w:hAnsi="Segoe UI" w:cs="Segoe UI"/>
          <w:sz w:val="20"/>
          <w:szCs w:val="20"/>
          <w:lang w:val="en-US"/>
        </w:rPr>
      </w:pPr>
      <w:r w:rsidRPr="00D90496">
        <w:rPr>
          <w:rFonts w:ascii="Segoe UI" w:hAnsi="Segoe UI" w:cs="Segoe UI"/>
          <w:b/>
          <w:bCs/>
          <w:sz w:val="20"/>
          <w:szCs w:val="20"/>
          <w:lang w:val="en-US"/>
        </w:rPr>
        <w:t>Supplementary Figure 3. Microbial diversity and Lactobacillus dominance across CST I subtypes</w:t>
      </w:r>
      <w:r w:rsidRPr="00D90496">
        <w:rPr>
          <w:rFonts w:ascii="Segoe UI" w:hAnsi="Segoe UI" w:cs="Segoe UI"/>
          <w:sz w:val="20"/>
          <w:szCs w:val="20"/>
          <w:lang w:val="en-US"/>
        </w:rPr>
        <w:t>. (</w:t>
      </w:r>
      <w:r w:rsidRPr="00D90496">
        <w:rPr>
          <w:rFonts w:ascii="Segoe UI" w:hAnsi="Segoe UI" w:cs="Segoe UI"/>
          <w:b/>
          <w:bCs/>
          <w:sz w:val="20"/>
          <w:szCs w:val="20"/>
          <w:lang w:val="en-US"/>
        </w:rPr>
        <w:t>A</w:t>
      </w:r>
      <w:r w:rsidRPr="00D90496">
        <w:rPr>
          <w:rFonts w:ascii="Segoe UI" w:hAnsi="Segoe UI" w:cs="Segoe UI"/>
          <w:sz w:val="20"/>
          <w:szCs w:val="20"/>
          <w:lang w:val="en-US"/>
        </w:rPr>
        <w:t>) Alpha diversity (Shannon index) comparing CST I-A and CST I-B samples. (</w:t>
      </w:r>
      <w:r w:rsidRPr="00D90496">
        <w:rPr>
          <w:rFonts w:ascii="Segoe UI" w:hAnsi="Segoe UI" w:cs="Segoe UI"/>
          <w:b/>
          <w:bCs/>
          <w:sz w:val="20"/>
          <w:szCs w:val="20"/>
          <w:lang w:val="en-US"/>
        </w:rPr>
        <w:t>B</w:t>
      </w:r>
      <w:r w:rsidRPr="00D90496">
        <w:rPr>
          <w:rFonts w:ascii="Segoe UI" w:hAnsi="Segoe UI" w:cs="Segoe UI"/>
          <w:sz w:val="20"/>
          <w:szCs w:val="20"/>
          <w:lang w:val="en-US"/>
        </w:rPr>
        <w:t xml:space="preserve">) Relative dominance of </w:t>
      </w:r>
      <w:r w:rsidRPr="00D90496">
        <w:rPr>
          <w:rFonts w:ascii="Segoe UI" w:hAnsi="Segoe UI" w:cs="Segoe UI"/>
          <w:i/>
          <w:iCs/>
          <w:sz w:val="20"/>
          <w:szCs w:val="20"/>
          <w:lang w:val="en-US"/>
        </w:rPr>
        <w:t>Lactobacillus spp</w:t>
      </w:r>
      <w:r w:rsidRPr="00D90496">
        <w:rPr>
          <w:rFonts w:ascii="Segoe UI" w:hAnsi="Segoe UI" w:cs="Segoe UI"/>
          <w:sz w:val="20"/>
          <w:szCs w:val="20"/>
          <w:lang w:val="en-US"/>
        </w:rPr>
        <w:t>. in CST I subtypes. Statistical significance was assessed using a Mann–Whitney U test.</w:t>
      </w:r>
    </w:p>
    <w:p w14:paraId="7136C988" w14:textId="77777777" w:rsidR="00137C0C" w:rsidRPr="00D90496" w:rsidRDefault="00137C0C" w:rsidP="00137C0C">
      <w:pPr>
        <w:tabs>
          <w:tab w:val="left" w:pos="1513"/>
        </w:tabs>
        <w:spacing w:line="360" w:lineRule="auto"/>
        <w:jc w:val="both"/>
        <w:rPr>
          <w:rFonts w:ascii="Segoe UI" w:hAnsi="Segoe UI" w:cs="Segoe UI"/>
          <w:sz w:val="20"/>
          <w:szCs w:val="20"/>
          <w:lang w:val="en-US"/>
        </w:rPr>
      </w:pPr>
    </w:p>
    <w:p w14:paraId="5DDE6662" w14:textId="77777777" w:rsidR="00137C0C" w:rsidRPr="009B233E" w:rsidRDefault="00137C0C" w:rsidP="00137C0C">
      <w:pPr>
        <w:tabs>
          <w:tab w:val="left" w:pos="1513"/>
        </w:tabs>
        <w:spacing w:line="360" w:lineRule="auto"/>
        <w:jc w:val="both"/>
        <w:rPr>
          <w:rFonts w:ascii="Segoe UI" w:hAnsi="Segoe UI" w:cs="Segoe UI"/>
          <w:sz w:val="22"/>
          <w:szCs w:val="22"/>
          <w:lang w:val="en-US"/>
        </w:rPr>
      </w:pPr>
      <w:r w:rsidRPr="009B233E">
        <w:rPr>
          <w:rFonts w:ascii="Segoe UI" w:hAnsi="Segoe UI" w:cs="Segoe UI"/>
          <w:noProof/>
          <w:lang w:val="en-US"/>
        </w:rPr>
        <w:drawing>
          <wp:anchor distT="0" distB="0" distL="114300" distR="114300" simplePos="0" relativeHeight="251660288" behindDoc="0" locked="0" layoutInCell="1" allowOverlap="1" wp14:anchorId="4EA7DBF2" wp14:editId="18ADA02B">
            <wp:simplePos x="0" y="0"/>
            <wp:positionH relativeFrom="margin">
              <wp:posOffset>963930</wp:posOffset>
            </wp:positionH>
            <wp:positionV relativeFrom="paragraph">
              <wp:posOffset>17145</wp:posOffset>
            </wp:positionV>
            <wp:extent cx="3707130" cy="3568700"/>
            <wp:effectExtent l="0" t="0" r="7620" b="0"/>
            <wp:wrapSquare wrapText="bothSides"/>
            <wp:docPr id="1969519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19943" name=""/>
                    <pic:cNvPicPr/>
                  </pic:nvPicPr>
                  <pic:blipFill>
                    <a:blip r:embed="rId7">
                      <a:extLst>
                        <a:ext uri="{28A0092B-C50C-407E-A947-70E740481C1C}">
                          <a14:useLocalDpi xmlns:a14="http://schemas.microsoft.com/office/drawing/2010/main" val="0"/>
                        </a:ext>
                      </a:extLst>
                    </a:blip>
                    <a:stretch>
                      <a:fillRect/>
                    </a:stretch>
                  </pic:blipFill>
                  <pic:spPr>
                    <a:xfrm>
                      <a:off x="0" y="0"/>
                      <a:ext cx="3707130" cy="3568700"/>
                    </a:xfrm>
                    <a:prstGeom prst="rect">
                      <a:avLst/>
                    </a:prstGeom>
                  </pic:spPr>
                </pic:pic>
              </a:graphicData>
            </a:graphic>
            <wp14:sizeRelH relativeFrom="margin">
              <wp14:pctWidth>0</wp14:pctWidth>
            </wp14:sizeRelH>
            <wp14:sizeRelV relativeFrom="margin">
              <wp14:pctHeight>0</wp14:pctHeight>
            </wp14:sizeRelV>
          </wp:anchor>
        </w:drawing>
      </w:r>
    </w:p>
    <w:p w14:paraId="380AA0BC" w14:textId="77777777" w:rsidR="00137C0C" w:rsidRPr="009B233E" w:rsidRDefault="00137C0C" w:rsidP="00137C0C">
      <w:pPr>
        <w:tabs>
          <w:tab w:val="left" w:pos="1513"/>
        </w:tabs>
        <w:spacing w:line="360" w:lineRule="auto"/>
        <w:jc w:val="both"/>
        <w:rPr>
          <w:rFonts w:ascii="Segoe UI" w:hAnsi="Segoe UI" w:cs="Segoe UI"/>
          <w:sz w:val="22"/>
          <w:szCs w:val="22"/>
          <w:lang w:val="en-US"/>
        </w:rPr>
      </w:pPr>
    </w:p>
    <w:p w14:paraId="0AC50BB1" w14:textId="77777777" w:rsidR="00137C0C" w:rsidRPr="009B233E" w:rsidRDefault="00137C0C" w:rsidP="00137C0C">
      <w:pPr>
        <w:tabs>
          <w:tab w:val="left" w:pos="1513"/>
        </w:tabs>
        <w:spacing w:line="360" w:lineRule="auto"/>
        <w:jc w:val="both"/>
        <w:rPr>
          <w:rFonts w:ascii="Segoe UI" w:hAnsi="Segoe UI" w:cs="Segoe UI"/>
          <w:sz w:val="22"/>
          <w:szCs w:val="22"/>
          <w:lang w:val="en-US"/>
        </w:rPr>
      </w:pPr>
    </w:p>
    <w:p w14:paraId="445E2C0A" w14:textId="77777777" w:rsidR="00137C0C" w:rsidRPr="009B233E" w:rsidRDefault="00137C0C" w:rsidP="00137C0C">
      <w:pPr>
        <w:tabs>
          <w:tab w:val="left" w:pos="1513"/>
        </w:tabs>
        <w:spacing w:line="360" w:lineRule="auto"/>
        <w:jc w:val="both"/>
        <w:rPr>
          <w:rFonts w:ascii="Segoe UI" w:hAnsi="Segoe UI" w:cs="Segoe UI"/>
          <w:sz w:val="22"/>
          <w:szCs w:val="22"/>
          <w:lang w:val="en-US"/>
        </w:rPr>
      </w:pPr>
    </w:p>
    <w:p w14:paraId="6BCC51F3" w14:textId="77777777" w:rsidR="00137C0C" w:rsidRPr="009B233E" w:rsidRDefault="00137C0C" w:rsidP="00137C0C">
      <w:pPr>
        <w:spacing w:line="360" w:lineRule="auto"/>
        <w:jc w:val="both"/>
        <w:rPr>
          <w:rFonts w:ascii="Segoe UI" w:hAnsi="Segoe UI" w:cs="Segoe UI"/>
          <w:sz w:val="22"/>
          <w:szCs w:val="22"/>
          <w:lang w:val="en-US"/>
        </w:rPr>
      </w:pPr>
    </w:p>
    <w:p w14:paraId="1870BAB6" w14:textId="77777777" w:rsidR="00137C0C" w:rsidRPr="009B233E" w:rsidRDefault="00137C0C" w:rsidP="00137C0C">
      <w:pPr>
        <w:spacing w:line="360" w:lineRule="auto"/>
        <w:jc w:val="both"/>
        <w:rPr>
          <w:rFonts w:ascii="Segoe UI" w:hAnsi="Segoe UI" w:cs="Segoe UI"/>
          <w:sz w:val="22"/>
          <w:szCs w:val="22"/>
          <w:lang w:val="en-US"/>
        </w:rPr>
      </w:pPr>
    </w:p>
    <w:p w14:paraId="37B78D18" w14:textId="77777777" w:rsidR="00137C0C" w:rsidRPr="009B233E" w:rsidRDefault="00137C0C" w:rsidP="00137C0C">
      <w:pPr>
        <w:spacing w:line="360" w:lineRule="auto"/>
        <w:jc w:val="both"/>
        <w:rPr>
          <w:rFonts w:ascii="Segoe UI" w:hAnsi="Segoe UI" w:cs="Segoe UI"/>
          <w:sz w:val="22"/>
          <w:szCs w:val="22"/>
          <w:lang w:val="en-US"/>
        </w:rPr>
      </w:pPr>
    </w:p>
    <w:p w14:paraId="17AC954F" w14:textId="77777777" w:rsidR="00137C0C" w:rsidRPr="009B233E" w:rsidRDefault="00137C0C" w:rsidP="00137C0C">
      <w:pPr>
        <w:spacing w:line="360" w:lineRule="auto"/>
        <w:jc w:val="both"/>
        <w:rPr>
          <w:rFonts w:ascii="Segoe UI" w:hAnsi="Segoe UI" w:cs="Segoe UI"/>
          <w:b/>
          <w:bCs/>
          <w:sz w:val="22"/>
          <w:szCs w:val="22"/>
          <w:lang w:val="en-US"/>
        </w:rPr>
      </w:pPr>
    </w:p>
    <w:p w14:paraId="52E8A508" w14:textId="77777777" w:rsidR="00137C0C" w:rsidRPr="009B233E" w:rsidRDefault="00137C0C" w:rsidP="00137C0C">
      <w:pPr>
        <w:spacing w:line="360" w:lineRule="auto"/>
        <w:jc w:val="both"/>
        <w:rPr>
          <w:rFonts w:ascii="Segoe UI" w:hAnsi="Segoe UI" w:cs="Segoe UI"/>
          <w:b/>
          <w:bCs/>
          <w:sz w:val="22"/>
          <w:szCs w:val="22"/>
          <w:lang w:val="en-US"/>
        </w:rPr>
      </w:pPr>
    </w:p>
    <w:p w14:paraId="420FF9A0" w14:textId="77777777" w:rsidR="00137C0C" w:rsidRPr="009B233E" w:rsidRDefault="00137C0C" w:rsidP="00137C0C">
      <w:pPr>
        <w:spacing w:line="360" w:lineRule="auto"/>
        <w:jc w:val="both"/>
        <w:rPr>
          <w:rFonts w:ascii="Segoe UI" w:hAnsi="Segoe UI" w:cs="Segoe UI"/>
          <w:b/>
          <w:bCs/>
          <w:sz w:val="22"/>
          <w:szCs w:val="22"/>
          <w:lang w:val="en-US"/>
        </w:rPr>
      </w:pPr>
    </w:p>
    <w:p w14:paraId="79E8412B" w14:textId="77777777" w:rsidR="00137C0C" w:rsidRPr="000A18C0" w:rsidRDefault="00137C0C" w:rsidP="00137C0C">
      <w:pPr>
        <w:spacing w:line="360" w:lineRule="auto"/>
        <w:jc w:val="both"/>
        <w:rPr>
          <w:rFonts w:ascii="Segoe UI" w:hAnsi="Segoe UI" w:cs="Segoe UI"/>
          <w:b/>
          <w:bCs/>
          <w:sz w:val="20"/>
          <w:szCs w:val="20"/>
          <w:lang w:val="en-US"/>
        </w:rPr>
      </w:pPr>
      <w:r w:rsidRPr="000A18C0">
        <w:rPr>
          <w:rFonts w:ascii="Segoe UI" w:hAnsi="Segoe UI" w:cs="Segoe UI"/>
          <w:b/>
          <w:bCs/>
          <w:sz w:val="20"/>
          <w:szCs w:val="20"/>
          <w:lang w:val="en-US"/>
        </w:rPr>
        <w:t>Supplementary Figure 4. Microbial co-occurrence network within CST I-A</w:t>
      </w:r>
      <w:r w:rsidRPr="000A18C0">
        <w:rPr>
          <w:rFonts w:ascii="Segoe UI" w:hAnsi="Segoe UI" w:cs="Segoe UI"/>
          <w:sz w:val="20"/>
          <w:szCs w:val="20"/>
          <w:lang w:val="en-US"/>
        </w:rPr>
        <w:t xml:space="preserve">. Chord diagram illustrating co-occurrence relationships among bacterial species within CST I-A samples. Each segment represents a microbial taxon, and connecting ribbons indicate positive associations based on co-abundance patterns across samples. </w:t>
      </w:r>
    </w:p>
    <w:p w14:paraId="5E190ADA" w14:textId="77777777" w:rsidR="00137C0C" w:rsidRPr="009B233E" w:rsidRDefault="00137C0C" w:rsidP="00137C0C">
      <w:pPr>
        <w:spacing w:line="360" w:lineRule="auto"/>
        <w:jc w:val="both"/>
        <w:rPr>
          <w:rFonts w:ascii="Segoe UI" w:hAnsi="Segoe UI" w:cs="Segoe UI"/>
          <w:sz w:val="22"/>
          <w:szCs w:val="22"/>
          <w:lang w:val="en-US"/>
        </w:rPr>
      </w:pPr>
      <w:r w:rsidRPr="009B233E">
        <w:rPr>
          <w:rFonts w:ascii="Segoe UI" w:hAnsi="Segoe UI" w:cs="Segoe UI"/>
          <w:b/>
          <w:bCs/>
          <w:noProof/>
          <w:lang w:val="en-US"/>
        </w:rPr>
        <w:lastRenderedPageBreak/>
        <w:drawing>
          <wp:anchor distT="0" distB="0" distL="114300" distR="114300" simplePos="0" relativeHeight="251661312" behindDoc="0" locked="0" layoutInCell="1" allowOverlap="1" wp14:anchorId="57E64F83" wp14:editId="39852FC7">
            <wp:simplePos x="0" y="0"/>
            <wp:positionH relativeFrom="margin">
              <wp:align>center</wp:align>
            </wp:positionH>
            <wp:positionV relativeFrom="paragraph">
              <wp:posOffset>62230</wp:posOffset>
            </wp:positionV>
            <wp:extent cx="3630295" cy="3708400"/>
            <wp:effectExtent l="0" t="0" r="8255" b="6350"/>
            <wp:wrapSquare wrapText="bothSides"/>
            <wp:docPr id="1947236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36259" name=""/>
                    <pic:cNvPicPr/>
                  </pic:nvPicPr>
                  <pic:blipFill>
                    <a:blip r:embed="rId8">
                      <a:extLst>
                        <a:ext uri="{28A0092B-C50C-407E-A947-70E740481C1C}">
                          <a14:useLocalDpi xmlns:a14="http://schemas.microsoft.com/office/drawing/2010/main" val="0"/>
                        </a:ext>
                      </a:extLst>
                    </a:blip>
                    <a:stretch>
                      <a:fillRect/>
                    </a:stretch>
                  </pic:blipFill>
                  <pic:spPr>
                    <a:xfrm>
                      <a:off x="0" y="0"/>
                      <a:ext cx="3630295" cy="3708400"/>
                    </a:xfrm>
                    <a:prstGeom prst="rect">
                      <a:avLst/>
                    </a:prstGeom>
                  </pic:spPr>
                </pic:pic>
              </a:graphicData>
            </a:graphic>
            <wp14:sizeRelH relativeFrom="margin">
              <wp14:pctWidth>0</wp14:pctWidth>
            </wp14:sizeRelH>
            <wp14:sizeRelV relativeFrom="margin">
              <wp14:pctHeight>0</wp14:pctHeight>
            </wp14:sizeRelV>
          </wp:anchor>
        </w:drawing>
      </w:r>
    </w:p>
    <w:p w14:paraId="01C22D55" w14:textId="77777777" w:rsidR="00137C0C" w:rsidRPr="009B233E" w:rsidRDefault="00137C0C" w:rsidP="00137C0C">
      <w:pPr>
        <w:spacing w:line="360" w:lineRule="auto"/>
        <w:jc w:val="both"/>
        <w:rPr>
          <w:rFonts w:ascii="Segoe UI" w:hAnsi="Segoe UI" w:cs="Segoe UI"/>
          <w:sz w:val="22"/>
          <w:szCs w:val="22"/>
          <w:lang w:val="en-US"/>
        </w:rPr>
      </w:pPr>
    </w:p>
    <w:p w14:paraId="1151CB15" w14:textId="77777777" w:rsidR="00137C0C" w:rsidRPr="009B233E" w:rsidRDefault="00137C0C" w:rsidP="00137C0C">
      <w:pPr>
        <w:spacing w:line="360" w:lineRule="auto"/>
        <w:jc w:val="both"/>
        <w:rPr>
          <w:rFonts w:ascii="Segoe UI" w:hAnsi="Segoe UI" w:cs="Segoe UI"/>
          <w:sz w:val="22"/>
          <w:szCs w:val="22"/>
          <w:lang w:val="en-US"/>
        </w:rPr>
      </w:pPr>
    </w:p>
    <w:p w14:paraId="09E896C3" w14:textId="77777777" w:rsidR="00137C0C" w:rsidRPr="009B233E" w:rsidRDefault="00137C0C" w:rsidP="00137C0C">
      <w:pPr>
        <w:spacing w:line="360" w:lineRule="auto"/>
        <w:jc w:val="both"/>
        <w:rPr>
          <w:rFonts w:ascii="Segoe UI" w:hAnsi="Segoe UI" w:cs="Segoe UI"/>
          <w:sz w:val="22"/>
          <w:szCs w:val="22"/>
          <w:lang w:val="en-US"/>
        </w:rPr>
      </w:pPr>
    </w:p>
    <w:p w14:paraId="3AEC6ED0" w14:textId="77777777" w:rsidR="00137C0C" w:rsidRPr="009B233E" w:rsidRDefault="00137C0C" w:rsidP="00137C0C">
      <w:pPr>
        <w:spacing w:line="360" w:lineRule="auto"/>
        <w:jc w:val="both"/>
        <w:rPr>
          <w:rFonts w:ascii="Segoe UI" w:hAnsi="Segoe UI" w:cs="Segoe UI"/>
          <w:b/>
          <w:bCs/>
          <w:sz w:val="22"/>
          <w:szCs w:val="22"/>
          <w:lang w:val="en-US"/>
        </w:rPr>
      </w:pPr>
    </w:p>
    <w:p w14:paraId="1B63EF57" w14:textId="77777777" w:rsidR="00137C0C" w:rsidRPr="009B233E" w:rsidRDefault="00137C0C" w:rsidP="00137C0C">
      <w:pPr>
        <w:spacing w:line="360" w:lineRule="auto"/>
        <w:jc w:val="both"/>
        <w:rPr>
          <w:rFonts w:ascii="Segoe UI" w:hAnsi="Segoe UI" w:cs="Segoe UI"/>
          <w:b/>
          <w:bCs/>
          <w:sz w:val="22"/>
          <w:szCs w:val="22"/>
          <w:lang w:val="en-US"/>
        </w:rPr>
      </w:pPr>
    </w:p>
    <w:p w14:paraId="63E1A4E9" w14:textId="77777777" w:rsidR="00137C0C" w:rsidRPr="009B233E" w:rsidRDefault="00137C0C" w:rsidP="00137C0C">
      <w:pPr>
        <w:spacing w:line="360" w:lineRule="auto"/>
        <w:jc w:val="both"/>
        <w:rPr>
          <w:rFonts w:ascii="Segoe UI" w:hAnsi="Segoe UI" w:cs="Segoe UI"/>
          <w:b/>
          <w:bCs/>
          <w:sz w:val="22"/>
          <w:szCs w:val="22"/>
          <w:lang w:val="en-US"/>
        </w:rPr>
      </w:pPr>
    </w:p>
    <w:p w14:paraId="62806359" w14:textId="77777777" w:rsidR="00137C0C" w:rsidRPr="009B233E" w:rsidRDefault="00137C0C" w:rsidP="00137C0C">
      <w:pPr>
        <w:spacing w:line="360" w:lineRule="auto"/>
        <w:jc w:val="both"/>
        <w:rPr>
          <w:rFonts w:ascii="Segoe UI" w:hAnsi="Segoe UI" w:cs="Segoe UI"/>
          <w:b/>
          <w:bCs/>
          <w:sz w:val="22"/>
          <w:szCs w:val="22"/>
          <w:lang w:val="en-US"/>
        </w:rPr>
      </w:pPr>
    </w:p>
    <w:p w14:paraId="72702BF7" w14:textId="77777777" w:rsidR="00137C0C" w:rsidRPr="009B233E" w:rsidRDefault="00137C0C" w:rsidP="00137C0C">
      <w:pPr>
        <w:spacing w:line="360" w:lineRule="auto"/>
        <w:jc w:val="both"/>
        <w:rPr>
          <w:rFonts w:ascii="Segoe UI" w:hAnsi="Segoe UI" w:cs="Segoe UI"/>
          <w:b/>
          <w:bCs/>
          <w:sz w:val="22"/>
          <w:szCs w:val="22"/>
          <w:lang w:val="en-US"/>
        </w:rPr>
      </w:pPr>
    </w:p>
    <w:p w14:paraId="54538C61" w14:textId="77777777" w:rsidR="00137C0C" w:rsidRPr="009B233E" w:rsidRDefault="00137C0C" w:rsidP="00137C0C">
      <w:pPr>
        <w:spacing w:line="360" w:lineRule="auto"/>
        <w:jc w:val="both"/>
        <w:rPr>
          <w:rFonts w:ascii="Segoe UI" w:hAnsi="Segoe UI" w:cs="Segoe UI"/>
          <w:b/>
          <w:bCs/>
          <w:sz w:val="22"/>
          <w:szCs w:val="22"/>
          <w:lang w:val="en-US"/>
        </w:rPr>
      </w:pPr>
    </w:p>
    <w:p w14:paraId="243D4393" w14:textId="77777777" w:rsidR="00137C0C" w:rsidRPr="009B233E" w:rsidRDefault="00137C0C" w:rsidP="00137C0C">
      <w:pPr>
        <w:spacing w:line="360" w:lineRule="auto"/>
        <w:jc w:val="both"/>
        <w:rPr>
          <w:rFonts w:ascii="Segoe UI" w:hAnsi="Segoe UI" w:cs="Segoe UI"/>
          <w:b/>
          <w:bCs/>
          <w:sz w:val="22"/>
          <w:szCs w:val="22"/>
          <w:lang w:val="en-US"/>
        </w:rPr>
      </w:pPr>
    </w:p>
    <w:p w14:paraId="5D562C2D" w14:textId="77777777" w:rsidR="00137C0C" w:rsidRPr="000A18C0" w:rsidRDefault="00137C0C" w:rsidP="00137C0C">
      <w:pPr>
        <w:spacing w:line="360" w:lineRule="auto"/>
        <w:jc w:val="both"/>
        <w:rPr>
          <w:rFonts w:ascii="Segoe UI" w:hAnsi="Segoe UI" w:cs="Segoe UI"/>
          <w:sz w:val="20"/>
          <w:szCs w:val="20"/>
          <w:lang w:val="en-US"/>
        </w:rPr>
      </w:pPr>
      <w:r w:rsidRPr="000A18C0">
        <w:rPr>
          <w:rFonts w:ascii="Segoe UI" w:hAnsi="Segoe UI" w:cs="Segoe UI"/>
          <w:b/>
          <w:bCs/>
          <w:sz w:val="20"/>
          <w:szCs w:val="20"/>
          <w:lang w:val="en-US"/>
        </w:rPr>
        <w:t>Supplementary Figure 5</w:t>
      </w:r>
      <w:r w:rsidRPr="000A18C0">
        <w:rPr>
          <w:rFonts w:ascii="Segoe UI" w:hAnsi="Segoe UI" w:cs="Segoe UI"/>
          <w:sz w:val="20"/>
          <w:szCs w:val="20"/>
          <w:lang w:val="en-US"/>
        </w:rPr>
        <w:t xml:space="preserve">. </w:t>
      </w:r>
      <w:r w:rsidRPr="000A18C0">
        <w:rPr>
          <w:rFonts w:ascii="Segoe UI" w:hAnsi="Segoe UI" w:cs="Segoe UI"/>
          <w:b/>
          <w:bCs/>
          <w:sz w:val="20"/>
          <w:szCs w:val="20"/>
          <w:lang w:val="en-US"/>
        </w:rPr>
        <w:t>Microbial co-occurrence network within CST I-B</w:t>
      </w:r>
      <w:r w:rsidRPr="000A18C0">
        <w:rPr>
          <w:rFonts w:ascii="Segoe UI" w:hAnsi="Segoe UI" w:cs="Segoe UI"/>
          <w:sz w:val="20"/>
          <w:szCs w:val="20"/>
          <w:lang w:val="en-US"/>
        </w:rPr>
        <w:t xml:space="preserve">. Chord diagram illustrating co-occurrence relationships among dominant bacterial species within CST I-B samples. Each segment represents a microbial taxon, and connecting ribbons indicate positive associations based on co-abundance patterns across samples. </w:t>
      </w:r>
    </w:p>
    <w:p w14:paraId="4DE9A904" w14:textId="77777777" w:rsidR="00137C0C" w:rsidRPr="009B233E" w:rsidRDefault="00137C0C" w:rsidP="00137C0C">
      <w:pPr>
        <w:spacing w:line="360" w:lineRule="auto"/>
        <w:jc w:val="both"/>
        <w:rPr>
          <w:rFonts w:ascii="Segoe UI" w:hAnsi="Segoe UI" w:cs="Segoe UI"/>
          <w:sz w:val="22"/>
          <w:szCs w:val="22"/>
          <w:lang w:val="en-US"/>
        </w:rPr>
      </w:pPr>
    </w:p>
    <w:p w14:paraId="1805E329" w14:textId="77777777" w:rsidR="00137C0C" w:rsidRPr="009B233E" w:rsidRDefault="00137C0C" w:rsidP="00137C0C">
      <w:pPr>
        <w:spacing w:line="360" w:lineRule="auto"/>
        <w:jc w:val="both"/>
        <w:rPr>
          <w:rFonts w:ascii="Segoe UI" w:hAnsi="Segoe UI" w:cs="Segoe UI"/>
          <w:sz w:val="22"/>
          <w:szCs w:val="22"/>
          <w:lang w:val="en-US"/>
        </w:rPr>
      </w:pPr>
    </w:p>
    <w:p w14:paraId="34E8542B" w14:textId="77777777" w:rsidR="00137C0C" w:rsidRPr="009B233E" w:rsidRDefault="00137C0C" w:rsidP="00137C0C">
      <w:pPr>
        <w:spacing w:line="360" w:lineRule="auto"/>
        <w:jc w:val="both"/>
        <w:rPr>
          <w:rFonts w:ascii="Segoe UI" w:hAnsi="Segoe UI" w:cs="Segoe UI"/>
          <w:sz w:val="22"/>
          <w:szCs w:val="22"/>
          <w:lang w:val="en-US"/>
        </w:rPr>
      </w:pPr>
    </w:p>
    <w:p w14:paraId="4FF1B8E8" w14:textId="77777777" w:rsidR="00137C0C" w:rsidRPr="009B233E" w:rsidRDefault="00137C0C" w:rsidP="00137C0C">
      <w:pPr>
        <w:spacing w:line="360" w:lineRule="auto"/>
        <w:jc w:val="both"/>
        <w:rPr>
          <w:rFonts w:ascii="Segoe UI" w:hAnsi="Segoe UI" w:cs="Segoe UI"/>
          <w:noProof/>
          <w:sz w:val="22"/>
          <w:szCs w:val="22"/>
          <w:lang w:val="en-US"/>
        </w:rPr>
      </w:pPr>
    </w:p>
    <w:p w14:paraId="074F7A78" w14:textId="77777777" w:rsidR="00137C0C" w:rsidRPr="009B233E" w:rsidRDefault="00137C0C" w:rsidP="00137C0C">
      <w:pPr>
        <w:spacing w:line="360" w:lineRule="auto"/>
        <w:jc w:val="both"/>
        <w:rPr>
          <w:rFonts w:ascii="Segoe UI" w:hAnsi="Segoe UI" w:cs="Segoe UI"/>
          <w:noProof/>
          <w:sz w:val="22"/>
          <w:szCs w:val="22"/>
          <w:lang w:val="en-US"/>
        </w:rPr>
      </w:pPr>
    </w:p>
    <w:p w14:paraId="0F1A0D70" w14:textId="77777777" w:rsidR="00137C0C" w:rsidRPr="009B233E" w:rsidRDefault="00137C0C" w:rsidP="00137C0C">
      <w:pPr>
        <w:spacing w:line="360" w:lineRule="auto"/>
        <w:jc w:val="both"/>
        <w:rPr>
          <w:rFonts w:ascii="Segoe UI" w:hAnsi="Segoe UI" w:cs="Segoe UI"/>
          <w:noProof/>
          <w:sz w:val="22"/>
          <w:szCs w:val="22"/>
          <w:lang w:val="en-US"/>
        </w:rPr>
      </w:pPr>
    </w:p>
    <w:p w14:paraId="75822BDF" w14:textId="77777777" w:rsidR="00137C0C" w:rsidRPr="009B233E" w:rsidRDefault="00137C0C" w:rsidP="00137C0C">
      <w:pPr>
        <w:spacing w:line="360" w:lineRule="auto"/>
        <w:jc w:val="both"/>
        <w:rPr>
          <w:rFonts w:ascii="Segoe UI" w:hAnsi="Segoe UI" w:cs="Segoe UI"/>
          <w:noProof/>
          <w:sz w:val="22"/>
          <w:szCs w:val="22"/>
          <w:lang w:val="en-US"/>
        </w:rPr>
      </w:pPr>
    </w:p>
    <w:p w14:paraId="1DD9EDF8" w14:textId="77777777" w:rsidR="00137C0C" w:rsidRPr="009B233E" w:rsidRDefault="00137C0C" w:rsidP="00137C0C">
      <w:pPr>
        <w:spacing w:line="360" w:lineRule="auto"/>
        <w:jc w:val="both"/>
        <w:rPr>
          <w:rFonts w:ascii="Segoe UI" w:hAnsi="Segoe UI" w:cs="Segoe UI"/>
          <w:noProof/>
          <w:sz w:val="22"/>
          <w:szCs w:val="22"/>
          <w:lang w:val="en-US"/>
        </w:rPr>
      </w:pPr>
    </w:p>
    <w:p w14:paraId="4C8B028F" w14:textId="77777777" w:rsidR="00137C0C" w:rsidRPr="009B233E" w:rsidRDefault="00137C0C" w:rsidP="00137C0C">
      <w:pPr>
        <w:spacing w:line="360" w:lineRule="auto"/>
        <w:jc w:val="both"/>
        <w:rPr>
          <w:rFonts w:ascii="Segoe UI" w:hAnsi="Segoe UI" w:cs="Segoe UI"/>
          <w:noProof/>
          <w:sz w:val="22"/>
          <w:szCs w:val="22"/>
          <w:lang w:val="en-US"/>
        </w:rPr>
      </w:pPr>
    </w:p>
    <w:p w14:paraId="0BEDFC06" w14:textId="77777777" w:rsidR="00137C0C" w:rsidRPr="009B233E" w:rsidRDefault="00137C0C" w:rsidP="00137C0C">
      <w:pPr>
        <w:spacing w:line="360" w:lineRule="auto"/>
        <w:jc w:val="both"/>
        <w:rPr>
          <w:rFonts w:ascii="Segoe UI" w:hAnsi="Segoe UI" w:cs="Segoe UI"/>
          <w:sz w:val="22"/>
          <w:szCs w:val="22"/>
          <w:lang w:val="en-US"/>
        </w:rPr>
      </w:pPr>
      <w:r w:rsidRPr="009B233E">
        <w:rPr>
          <w:rFonts w:ascii="Segoe UI" w:hAnsi="Segoe UI" w:cs="Segoe UI"/>
          <w:noProof/>
          <w:sz w:val="22"/>
          <w:szCs w:val="22"/>
          <w:lang w:val="en-US"/>
        </w:rPr>
        <w:lastRenderedPageBreak/>
        <w:drawing>
          <wp:inline distT="0" distB="0" distL="0" distR="0" wp14:anchorId="4586C14E" wp14:editId="5DB2A945">
            <wp:extent cx="5731510" cy="4991100"/>
            <wp:effectExtent l="0" t="0" r="2540" b="0"/>
            <wp:docPr id="1903241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41602" name=""/>
                    <pic:cNvPicPr/>
                  </pic:nvPicPr>
                  <pic:blipFill>
                    <a:blip r:embed="rId9"/>
                    <a:stretch>
                      <a:fillRect/>
                    </a:stretch>
                  </pic:blipFill>
                  <pic:spPr>
                    <a:xfrm>
                      <a:off x="0" y="0"/>
                      <a:ext cx="5731510" cy="4991100"/>
                    </a:xfrm>
                    <a:prstGeom prst="rect">
                      <a:avLst/>
                    </a:prstGeom>
                  </pic:spPr>
                </pic:pic>
              </a:graphicData>
            </a:graphic>
          </wp:inline>
        </w:drawing>
      </w:r>
    </w:p>
    <w:p w14:paraId="43EA1E03" w14:textId="77777777" w:rsidR="00137C0C" w:rsidRPr="000A18C0" w:rsidRDefault="00137C0C" w:rsidP="00137C0C">
      <w:pPr>
        <w:spacing w:line="360" w:lineRule="auto"/>
        <w:jc w:val="both"/>
        <w:rPr>
          <w:rFonts w:ascii="Segoe UI" w:hAnsi="Segoe UI" w:cs="Segoe UI"/>
          <w:sz w:val="20"/>
          <w:szCs w:val="20"/>
          <w:lang w:val="en-US"/>
        </w:rPr>
      </w:pPr>
      <w:r w:rsidRPr="000A18C0">
        <w:rPr>
          <w:rFonts w:ascii="Segoe UI" w:hAnsi="Segoe UI" w:cs="Segoe UI"/>
          <w:b/>
          <w:bCs/>
          <w:sz w:val="20"/>
          <w:szCs w:val="20"/>
          <w:lang w:val="en-US"/>
        </w:rPr>
        <w:t>Supplementary Figure 6. Functional pathway differences at cohort-wide and CST-specific levels.</w:t>
      </w:r>
      <w:r w:rsidRPr="000A18C0">
        <w:rPr>
          <w:rFonts w:ascii="Segoe UI" w:hAnsi="Segoe UI" w:cs="Segoe UI"/>
          <w:sz w:val="20"/>
          <w:szCs w:val="20"/>
          <w:lang w:val="en-US"/>
        </w:rPr>
        <w:t xml:space="preserve"> (</w:t>
      </w:r>
      <w:r w:rsidRPr="000A18C0">
        <w:rPr>
          <w:rFonts w:ascii="Segoe UI" w:hAnsi="Segoe UI" w:cs="Segoe UI"/>
          <w:b/>
          <w:bCs/>
          <w:sz w:val="20"/>
          <w:szCs w:val="20"/>
          <w:lang w:val="en-US"/>
        </w:rPr>
        <w:t>A</w:t>
      </w:r>
      <w:r w:rsidRPr="000A18C0">
        <w:rPr>
          <w:rFonts w:ascii="Segoe UI" w:hAnsi="Segoe UI" w:cs="Segoe UI"/>
          <w:sz w:val="20"/>
          <w:szCs w:val="20"/>
          <w:lang w:val="en-US"/>
        </w:rPr>
        <w:t>) Functional module differences between CST I-B and CST I-A samples, summarized as differences in median pathway scores. (</w:t>
      </w:r>
      <w:r w:rsidRPr="000A18C0">
        <w:rPr>
          <w:rFonts w:ascii="Segoe UI" w:hAnsi="Segoe UI" w:cs="Segoe UI"/>
          <w:b/>
          <w:bCs/>
          <w:sz w:val="20"/>
          <w:szCs w:val="20"/>
          <w:lang w:val="en-US"/>
        </w:rPr>
        <w:t>B</w:t>
      </w:r>
      <w:r w:rsidRPr="000A18C0">
        <w:rPr>
          <w:rFonts w:ascii="Segoe UI" w:hAnsi="Segoe UI" w:cs="Segoe UI"/>
          <w:sz w:val="20"/>
          <w:szCs w:val="20"/>
          <w:lang w:val="en-US"/>
        </w:rPr>
        <w:t xml:space="preserve">) Top differentially abundant </w:t>
      </w:r>
      <w:proofErr w:type="spellStart"/>
      <w:r w:rsidRPr="000A18C0">
        <w:rPr>
          <w:rFonts w:ascii="Segoe UI" w:hAnsi="Segoe UI" w:cs="Segoe UI"/>
          <w:sz w:val="20"/>
          <w:szCs w:val="20"/>
          <w:lang w:val="en-US"/>
        </w:rPr>
        <w:t>MetaCyc</w:t>
      </w:r>
      <w:proofErr w:type="spellEnd"/>
      <w:r w:rsidRPr="000A18C0">
        <w:rPr>
          <w:rFonts w:ascii="Segoe UI" w:hAnsi="Segoe UI" w:cs="Segoe UI"/>
          <w:sz w:val="20"/>
          <w:szCs w:val="20"/>
          <w:lang w:val="en-US"/>
        </w:rPr>
        <w:t xml:space="preserve"> pathways, as inferred using PICRUSt2, between regression and progression groups in the study cohort, ranked by effect size (log2 fold change). Although several pathways related to carbohydrate metabolism and fermentation exhibit directional shifts, statistical significance was limited across the cohort. </w:t>
      </w:r>
    </w:p>
    <w:p w14:paraId="078E3CE6" w14:textId="77777777" w:rsidR="00137C0C" w:rsidRPr="009B233E" w:rsidRDefault="00137C0C" w:rsidP="00137C0C">
      <w:pPr>
        <w:spacing w:line="360" w:lineRule="auto"/>
        <w:jc w:val="both"/>
        <w:rPr>
          <w:rFonts w:ascii="Segoe UI" w:hAnsi="Segoe UI" w:cs="Segoe UI"/>
          <w:sz w:val="22"/>
          <w:szCs w:val="22"/>
          <w:lang w:val="en-US"/>
        </w:rPr>
      </w:pPr>
    </w:p>
    <w:p w14:paraId="76C2F4EE" w14:textId="77777777" w:rsidR="00137C0C" w:rsidRPr="009B233E" w:rsidRDefault="00137C0C" w:rsidP="00137C0C">
      <w:pPr>
        <w:spacing w:line="360" w:lineRule="auto"/>
        <w:jc w:val="both"/>
        <w:rPr>
          <w:rFonts w:ascii="Segoe UI" w:hAnsi="Segoe UI" w:cs="Segoe UI"/>
          <w:sz w:val="22"/>
          <w:szCs w:val="22"/>
          <w:lang w:val="en-US"/>
        </w:rPr>
      </w:pPr>
    </w:p>
    <w:p w14:paraId="303B4333" w14:textId="77777777" w:rsidR="00137C0C" w:rsidRPr="009B233E" w:rsidRDefault="00137C0C" w:rsidP="00137C0C">
      <w:pPr>
        <w:spacing w:line="360" w:lineRule="auto"/>
        <w:jc w:val="both"/>
        <w:rPr>
          <w:rFonts w:ascii="Segoe UI" w:hAnsi="Segoe UI" w:cs="Segoe UI"/>
          <w:sz w:val="22"/>
          <w:szCs w:val="22"/>
          <w:lang w:val="en-US"/>
        </w:rPr>
      </w:pPr>
    </w:p>
    <w:p w14:paraId="6C8DD55D" w14:textId="77777777" w:rsidR="00137C0C" w:rsidRPr="009B233E" w:rsidRDefault="00137C0C" w:rsidP="00137C0C">
      <w:pPr>
        <w:spacing w:line="360" w:lineRule="auto"/>
        <w:jc w:val="both"/>
        <w:rPr>
          <w:rFonts w:ascii="Segoe UI" w:hAnsi="Segoe UI" w:cs="Segoe UI"/>
          <w:sz w:val="22"/>
          <w:szCs w:val="22"/>
          <w:lang w:val="en-US"/>
        </w:rPr>
      </w:pPr>
    </w:p>
    <w:p w14:paraId="183F48D3" w14:textId="77777777" w:rsidR="00137C0C" w:rsidRPr="009B233E" w:rsidRDefault="00137C0C" w:rsidP="00137C0C">
      <w:pPr>
        <w:spacing w:line="360" w:lineRule="auto"/>
        <w:jc w:val="both"/>
        <w:rPr>
          <w:rFonts w:ascii="Segoe UI" w:hAnsi="Segoe UI" w:cs="Segoe UI"/>
          <w:sz w:val="22"/>
          <w:szCs w:val="22"/>
          <w:lang w:val="en-US"/>
        </w:rPr>
      </w:pPr>
    </w:p>
    <w:p w14:paraId="4ED979D4" w14:textId="77777777" w:rsidR="00137C0C" w:rsidRDefault="00137C0C" w:rsidP="00137C0C">
      <w:pPr>
        <w:spacing w:line="360" w:lineRule="auto"/>
        <w:jc w:val="both"/>
        <w:rPr>
          <w:rFonts w:ascii="Segoe UI" w:hAnsi="Segoe UI" w:cs="Segoe UI"/>
          <w:sz w:val="22"/>
          <w:szCs w:val="22"/>
          <w:lang w:val="en-US"/>
        </w:rPr>
      </w:pPr>
      <w:r w:rsidRPr="007E7BB9">
        <w:rPr>
          <w:rFonts w:ascii="Segoe UI" w:hAnsi="Segoe UI" w:cs="Segoe UI"/>
          <w:noProof/>
          <w:sz w:val="22"/>
          <w:szCs w:val="22"/>
          <w:lang w:val="en-US"/>
        </w:rPr>
        <w:lastRenderedPageBreak/>
        <w:drawing>
          <wp:anchor distT="0" distB="0" distL="114300" distR="114300" simplePos="0" relativeHeight="251662336" behindDoc="0" locked="0" layoutInCell="1" allowOverlap="1" wp14:anchorId="2A14B766" wp14:editId="77CC9D24">
            <wp:simplePos x="0" y="0"/>
            <wp:positionH relativeFrom="margin">
              <wp:posOffset>538284</wp:posOffset>
            </wp:positionH>
            <wp:positionV relativeFrom="paragraph">
              <wp:posOffset>6350</wp:posOffset>
            </wp:positionV>
            <wp:extent cx="4781550" cy="2497455"/>
            <wp:effectExtent l="0" t="0" r="0" b="0"/>
            <wp:wrapSquare wrapText="bothSides"/>
            <wp:docPr id="1310963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963424" name=""/>
                    <pic:cNvPicPr/>
                  </pic:nvPicPr>
                  <pic:blipFill>
                    <a:blip r:embed="rId10">
                      <a:extLst>
                        <a:ext uri="{28A0092B-C50C-407E-A947-70E740481C1C}">
                          <a14:useLocalDpi xmlns:a14="http://schemas.microsoft.com/office/drawing/2010/main" val="0"/>
                        </a:ext>
                      </a:extLst>
                    </a:blip>
                    <a:stretch>
                      <a:fillRect/>
                    </a:stretch>
                  </pic:blipFill>
                  <pic:spPr>
                    <a:xfrm>
                      <a:off x="0" y="0"/>
                      <a:ext cx="4781550" cy="2497455"/>
                    </a:xfrm>
                    <a:prstGeom prst="rect">
                      <a:avLst/>
                    </a:prstGeom>
                  </pic:spPr>
                </pic:pic>
              </a:graphicData>
            </a:graphic>
            <wp14:sizeRelH relativeFrom="margin">
              <wp14:pctWidth>0</wp14:pctWidth>
            </wp14:sizeRelH>
            <wp14:sizeRelV relativeFrom="margin">
              <wp14:pctHeight>0</wp14:pctHeight>
            </wp14:sizeRelV>
          </wp:anchor>
        </w:drawing>
      </w:r>
    </w:p>
    <w:p w14:paraId="0823962E" w14:textId="77777777" w:rsidR="00137C0C" w:rsidRDefault="00137C0C" w:rsidP="00137C0C">
      <w:pPr>
        <w:spacing w:line="360" w:lineRule="auto"/>
        <w:jc w:val="both"/>
        <w:rPr>
          <w:rFonts w:ascii="Segoe UI" w:hAnsi="Segoe UI" w:cs="Segoe UI"/>
          <w:sz w:val="20"/>
          <w:szCs w:val="20"/>
          <w:lang w:val="en-US"/>
        </w:rPr>
      </w:pPr>
      <w:r w:rsidRPr="000A18C0">
        <w:rPr>
          <w:rFonts w:ascii="Segoe UI" w:hAnsi="Segoe UI" w:cs="Segoe UI"/>
          <w:b/>
          <w:bCs/>
          <w:sz w:val="20"/>
          <w:szCs w:val="20"/>
          <w:lang w:val="en-US"/>
        </w:rPr>
        <w:t>Supplementary Figure 7. Exploratory predictive modeling within CST I samples</w:t>
      </w:r>
      <w:r w:rsidRPr="000A18C0">
        <w:rPr>
          <w:rFonts w:ascii="Segoe UI" w:hAnsi="Segoe UI" w:cs="Segoe UI"/>
          <w:sz w:val="20"/>
          <w:szCs w:val="20"/>
          <w:lang w:val="en-US"/>
        </w:rPr>
        <w:t xml:space="preserve">. ROC curves comparing the performance of </w:t>
      </w:r>
      <w:r>
        <w:rPr>
          <w:rFonts w:ascii="Segoe UI" w:hAnsi="Segoe UI" w:cs="Segoe UI"/>
          <w:sz w:val="20"/>
          <w:szCs w:val="20"/>
          <w:lang w:val="en-US"/>
        </w:rPr>
        <w:t xml:space="preserve">age, </w:t>
      </w:r>
      <w:r w:rsidRPr="000A18C0">
        <w:rPr>
          <w:rFonts w:ascii="Segoe UI" w:hAnsi="Segoe UI" w:cs="Segoe UI"/>
          <w:sz w:val="20"/>
          <w:szCs w:val="20"/>
          <w:lang w:val="en-US"/>
        </w:rPr>
        <w:t>microbiome-based</w:t>
      </w:r>
      <w:r>
        <w:rPr>
          <w:rFonts w:ascii="Segoe UI" w:hAnsi="Segoe UI" w:cs="Segoe UI"/>
          <w:sz w:val="20"/>
          <w:szCs w:val="20"/>
          <w:lang w:val="en-US"/>
        </w:rPr>
        <w:t>,</w:t>
      </w:r>
      <w:r w:rsidRPr="000A18C0">
        <w:rPr>
          <w:rFonts w:ascii="Segoe UI" w:hAnsi="Segoe UI" w:cs="Segoe UI"/>
          <w:sz w:val="20"/>
          <w:szCs w:val="20"/>
          <w:lang w:val="en-US"/>
        </w:rPr>
        <w:t xml:space="preserve"> and </w:t>
      </w:r>
      <w:r>
        <w:rPr>
          <w:rFonts w:ascii="Segoe UI" w:hAnsi="Segoe UI" w:cs="Segoe UI"/>
          <w:sz w:val="20"/>
          <w:szCs w:val="20"/>
          <w:lang w:val="en-US"/>
        </w:rPr>
        <w:t>integrated</w:t>
      </w:r>
      <w:r w:rsidRPr="000A18C0">
        <w:rPr>
          <w:rFonts w:ascii="Segoe UI" w:hAnsi="Segoe UI" w:cs="Segoe UI"/>
          <w:sz w:val="20"/>
          <w:szCs w:val="20"/>
          <w:lang w:val="en-US"/>
        </w:rPr>
        <w:t xml:space="preserve"> models within the CST I subset (</w:t>
      </w:r>
      <w:r w:rsidRPr="000A18C0">
        <w:rPr>
          <w:rFonts w:ascii="Segoe UI" w:hAnsi="Segoe UI" w:cs="Segoe UI"/>
          <w:i/>
          <w:iCs/>
          <w:sz w:val="20"/>
          <w:szCs w:val="20"/>
          <w:lang w:val="en-US"/>
        </w:rPr>
        <w:t>n</w:t>
      </w:r>
      <w:r w:rsidRPr="000A18C0">
        <w:rPr>
          <w:rFonts w:ascii="Segoe UI" w:hAnsi="Segoe UI" w:cs="Segoe UI"/>
          <w:sz w:val="20"/>
          <w:szCs w:val="20"/>
          <w:lang w:val="en-US"/>
        </w:rPr>
        <w:t xml:space="preserve"> = 27). The model</w:t>
      </w:r>
      <w:r>
        <w:rPr>
          <w:rFonts w:ascii="Segoe UI" w:hAnsi="Segoe UI" w:cs="Segoe UI"/>
          <w:sz w:val="20"/>
          <w:szCs w:val="20"/>
          <w:lang w:val="en-US"/>
        </w:rPr>
        <w:t xml:space="preserve"> incorporating microbiome taxa</w:t>
      </w:r>
      <w:r w:rsidRPr="000A18C0">
        <w:rPr>
          <w:rFonts w:ascii="Segoe UI" w:hAnsi="Segoe UI" w:cs="Segoe UI"/>
          <w:sz w:val="20"/>
          <w:szCs w:val="20"/>
          <w:lang w:val="en-US"/>
        </w:rPr>
        <w:t xml:space="preserve"> achieved good discrimination (AUC = 0.</w:t>
      </w:r>
      <w:r>
        <w:rPr>
          <w:rFonts w:ascii="Segoe UI" w:hAnsi="Segoe UI" w:cs="Segoe UI"/>
          <w:sz w:val="20"/>
          <w:szCs w:val="20"/>
          <w:lang w:val="en-US"/>
        </w:rPr>
        <w:t>84</w:t>
      </w:r>
      <w:r w:rsidRPr="000A18C0">
        <w:rPr>
          <w:rFonts w:ascii="Segoe UI" w:hAnsi="Segoe UI" w:cs="Segoe UI"/>
          <w:sz w:val="20"/>
          <w:szCs w:val="20"/>
          <w:lang w:val="en-US"/>
        </w:rPr>
        <w:t xml:space="preserve">). Inclusion of functional pathway scores resulted in apparent near-perfect discrimination (AUC = 1.00). </w:t>
      </w:r>
      <w:r>
        <w:rPr>
          <w:rFonts w:ascii="Segoe UI" w:hAnsi="Segoe UI" w:cs="Segoe UI"/>
          <w:sz w:val="20"/>
          <w:szCs w:val="20"/>
          <w:lang w:val="en-US"/>
        </w:rPr>
        <w:t>C</w:t>
      </w:r>
      <w:r w:rsidRPr="005525AC">
        <w:rPr>
          <w:rFonts w:ascii="Segoe UI" w:hAnsi="Segoe UI" w:cs="Segoe UI"/>
          <w:sz w:val="20"/>
          <w:szCs w:val="20"/>
          <w:lang w:val="en-US"/>
        </w:rPr>
        <w:t xml:space="preserve">omparisons of ROC curves were performed using paired DeLong tests. * </w:t>
      </w:r>
      <w:r w:rsidRPr="005525AC">
        <w:rPr>
          <w:rFonts w:ascii="Segoe UI" w:hAnsi="Segoe UI" w:cs="Segoe UI"/>
          <w:i/>
          <w:iCs/>
          <w:sz w:val="20"/>
          <w:szCs w:val="20"/>
          <w:lang w:val="en-US"/>
        </w:rPr>
        <w:t>p</w:t>
      </w:r>
      <w:r w:rsidRPr="005525AC">
        <w:rPr>
          <w:rFonts w:ascii="Segoe UI" w:hAnsi="Segoe UI" w:cs="Segoe UI"/>
          <w:sz w:val="20"/>
          <w:szCs w:val="20"/>
          <w:lang w:val="en-US"/>
        </w:rPr>
        <w:t xml:space="preserve"> &lt; 0.05; **</w:t>
      </w:r>
      <w:r>
        <w:rPr>
          <w:rFonts w:ascii="Segoe UI" w:hAnsi="Segoe UI" w:cs="Segoe UI"/>
          <w:sz w:val="20"/>
          <w:szCs w:val="20"/>
          <w:lang w:val="en-US"/>
        </w:rPr>
        <w:t>*</w:t>
      </w:r>
      <w:r w:rsidRPr="005525AC">
        <w:rPr>
          <w:rFonts w:ascii="Segoe UI" w:hAnsi="Segoe UI" w:cs="Segoe UI"/>
          <w:sz w:val="20"/>
          <w:szCs w:val="20"/>
          <w:lang w:val="en-US"/>
        </w:rPr>
        <w:t xml:space="preserve"> </w:t>
      </w:r>
      <w:r w:rsidRPr="005525AC">
        <w:rPr>
          <w:rFonts w:ascii="Segoe UI" w:hAnsi="Segoe UI" w:cs="Segoe UI"/>
          <w:i/>
          <w:iCs/>
          <w:sz w:val="20"/>
          <w:szCs w:val="20"/>
          <w:lang w:val="en-US"/>
        </w:rPr>
        <w:t>p</w:t>
      </w:r>
      <w:r w:rsidRPr="005525AC">
        <w:rPr>
          <w:rFonts w:ascii="Segoe UI" w:hAnsi="Segoe UI" w:cs="Segoe UI"/>
          <w:sz w:val="20"/>
          <w:szCs w:val="20"/>
          <w:lang w:val="en-US"/>
        </w:rPr>
        <w:t xml:space="preserve"> &lt; 0.0</w:t>
      </w:r>
      <w:r>
        <w:rPr>
          <w:rFonts w:ascii="Segoe UI" w:hAnsi="Segoe UI" w:cs="Segoe UI"/>
          <w:sz w:val="20"/>
          <w:szCs w:val="20"/>
          <w:lang w:val="en-US"/>
        </w:rPr>
        <w:t>0</w:t>
      </w:r>
      <w:r w:rsidRPr="005525AC">
        <w:rPr>
          <w:rFonts w:ascii="Segoe UI" w:hAnsi="Segoe UI" w:cs="Segoe UI"/>
          <w:sz w:val="20"/>
          <w:szCs w:val="20"/>
          <w:lang w:val="en-US"/>
        </w:rPr>
        <w:t>1</w:t>
      </w:r>
      <w:r>
        <w:rPr>
          <w:rFonts w:ascii="Segoe UI" w:hAnsi="Segoe UI" w:cs="Segoe UI"/>
          <w:sz w:val="20"/>
          <w:szCs w:val="20"/>
          <w:lang w:val="en-US"/>
        </w:rPr>
        <w:t>.</w:t>
      </w:r>
    </w:p>
    <w:p w14:paraId="58452638" w14:textId="77777777" w:rsidR="00137C0C" w:rsidRPr="000A18C0" w:rsidRDefault="00137C0C" w:rsidP="00137C0C">
      <w:pPr>
        <w:spacing w:line="360" w:lineRule="auto"/>
        <w:jc w:val="both"/>
        <w:rPr>
          <w:rFonts w:ascii="Segoe UI" w:hAnsi="Segoe UI" w:cs="Segoe UI"/>
          <w:sz w:val="20"/>
          <w:szCs w:val="20"/>
          <w:lang w:val="en-US"/>
        </w:rPr>
      </w:pPr>
    </w:p>
    <w:p w14:paraId="6FD8256E" w14:textId="77777777" w:rsidR="00137C0C" w:rsidRPr="009B233E" w:rsidRDefault="00137C0C" w:rsidP="00137C0C">
      <w:pPr>
        <w:tabs>
          <w:tab w:val="left" w:pos="2760"/>
        </w:tabs>
        <w:spacing w:after="0" w:line="360" w:lineRule="auto"/>
        <w:jc w:val="both"/>
        <w:rPr>
          <w:rFonts w:ascii="Segoe UI" w:hAnsi="Segoe UI" w:cs="Segoe UI"/>
          <w:b/>
          <w:bCs/>
          <w:sz w:val="22"/>
          <w:szCs w:val="22"/>
          <w:lang w:val="en-US"/>
        </w:rPr>
      </w:pPr>
      <w:r w:rsidRPr="002408B9">
        <w:rPr>
          <w:rFonts w:ascii="Segoe UI" w:hAnsi="Segoe UI" w:cs="Segoe UI"/>
          <w:b/>
          <w:bCs/>
          <w:noProof/>
          <w:sz w:val="22"/>
          <w:szCs w:val="22"/>
          <w:lang w:val="en-US"/>
        </w:rPr>
        <w:drawing>
          <wp:inline distT="0" distB="0" distL="0" distR="0" wp14:anchorId="7FB56D27" wp14:editId="6E2973C4">
            <wp:extent cx="5731510" cy="2186305"/>
            <wp:effectExtent l="0" t="0" r="2540" b="4445"/>
            <wp:docPr id="233299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99396" name=""/>
                    <pic:cNvPicPr/>
                  </pic:nvPicPr>
                  <pic:blipFill>
                    <a:blip r:embed="rId11"/>
                    <a:stretch>
                      <a:fillRect/>
                    </a:stretch>
                  </pic:blipFill>
                  <pic:spPr>
                    <a:xfrm>
                      <a:off x="0" y="0"/>
                      <a:ext cx="5731510" cy="2186305"/>
                    </a:xfrm>
                    <a:prstGeom prst="rect">
                      <a:avLst/>
                    </a:prstGeom>
                  </pic:spPr>
                </pic:pic>
              </a:graphicData>
            </a:graphic>
          </wp:inline>
        </w:drawing>
      </w:r>
    </w:p>
    <w:p w14:paraId="5220ED2A" w14:textId="77777777" w:rsidR="00137C0C" w:rsidRDefault="00137C0C" w:rsidP="00137C0C">
      <w:pPr>
        <w:tabs>
          <w:tab w:val="left" w:pos="2760"/>
        </w:tabs>
        <w:spacing w:line="360" w:lineRule="auto"/>
        <w:jc w:val="both"/>
        <w:rPr>
          <w:rFonts w:ascii="Segoe UI" w:hAnsi="Segoe UI" w:cs="Segoe UI"/>
          <w:sz w:val="20"/>
          <w:szCs w:val="20"/>
          <w:lang w:val="en-US"/>
        </w:rPr>
      </w:pPr>
      <w:r w:rsidRPr="000A18C0">
        <w:rPr>
          <w:rFonts w:ascii="Segoe UI" w:hAnsi="Segoe UI" w:cs="Segoe UI"/>
          <w:b/>
          <w:bCs/>
          <w:sz w:val="20"/>
          <w:szCs w:val="20"/>
          <w:lang w:val="en-US"/>
        </w:rPr>
        <w:t xml:space="preserve">Supplementary Figure 8. Predicted probabilities from </w:t>
      </w:r>
      <w:r>
        <w:rPr>
          <w:rFonts w:ascii="Segoe UI" w:hAnsi="Segoe UI" w:cs="Segoe UI"/>
          <w:b/>
          <w:bCs/>
          <w:sz w:val="20"/>
          <w:szCs w:val="20"/>
          <w:lang w:val="en-US"/>
        </w:rPr>
        <w:t>integrated</w:t>
      </w:r>
      <w:r w:rsidRPr="000A18C0">
        <w:rPr>
          <w:rFonts w:ascii="Segoe UI" w:hAnsi="Segoe UI" w:cs="Segoe UI"/>
          <w:b/>
          <w:bCs/>
          <w:sz w:val="20"/>
          <w:szCs w:val="20"/>
          <w:lang w:val="en-US"/>
        </w:rPr>
        <w:t xml:space="preserve"> logistic regression models.</w:t>
      </w:r>
      <w:r w:rsidRPr="000A18C0">
        <w:rPr>
          <w:rFonts w:ascii="Segoe UI" w:hAnsi="Segoe UI" w:cs="Segoe UI"/>
          <w:sz w:val="20"/>
          <w:szCs w:val="20"/>
          <w:lang w:val="en-US"/>
        </w:rPr>
        <w:t xml:space="preserve"> (</w:t>
      </w:r>
      <w:r w:rsidRPr="000A18C0">
        <w:rPr>
          <w:rFonts w:ascii="Segoe UI" w:hAnsi="Segoe UI" w:cs="Segoe UI"/>
          <w:b/>
          <w:bCs/>
          <w:sz w:val="20"/>
          <w:szCs w:val="20"/>
          <w:lang w:val="en-US"/>
        </w:rPr>
        <w:t>A</w:t>
      </w:r>
      <w:r w:rsidRPr="000A18C0">
        <w:rPr>
          <w:rFonts w:ascii="Segoe UI" w:hAnsi="Segoe UI" w:cs="Segoe UI"/>
          <w:sz w:val="20"/>
          <w:szCs w:val="20"/>
          <w:lang w:val="en-US"/>
        </w:rPr>
        <w:t xml:space="preserve">) Predicted probabilities of progression generated by the </w:t>
      </w:r>
      <w:r>
        <w:rPr>
          <w:rFonts w:ascii="Segoe UI" w:hAnsi="Segoe UI" w:cs="Segoe UI"/>
          <w:sz w:val="20"/>
          <w:szCs w:val="20"/>
          <w:lang w:val="en-US"/>
        </w:rPr>
        <w:t>integrated</w:t>
      </w:r>
      <w:r w:rsidRPr="000A18C0">
        <w:rPr>
          <w:rFonts w:ascii="Segoe UI" w:hAnsi="Segoe UI" w:cs="Segoe UI"/>
          <w:sz w:val="20"/>
          <w:szCs w:val="20"/>
          <w:lang w:val="en-US"/>
        </w:rPr>
        <w:t xml:space="preserve"> model in the full LSIL cohort. Boxplots indicate the median and interquartile range. (</w:t>
      </w:r>
      <w:r w:rsidRPr="000A18C0">
        <w:rPr>
          <w:rFonts w:ascii="Segoe UI" w:hAnsi="Segoe UI" w:cs="Segoe UI"/>
          <w:b/>
          <w:bCs/>
          <w:sz w:val="20"/>
          <w:szCs w:val="20"/>
          <w:lang w:val="en-US"/>
        </w:rPr>
        <w:t>B</w:t>
      </w:r>
      <w:r w:rsidRPr="000A18C0">
        <w:rPr>
          <w:rFonts w:ascii="Segoe UI" w:hAnsi="Segoe UI" w:cs="Segoe UI"/>
          <w:sz w:val="20"/>
          <w:szCs w:val="20"/>
          <w:lang w:val="en-US"/>
        </w:rPr>
        <w:t xml:space="preserve">) Predicted probabilities of progression generated by the </w:t>
      </w:r>
      <w:r>
        <w:rPr>
          <w:rFonts w:ascii="Segoe UI" w:hAnsi="Segoe UI" w:cs="Segoe UI"/>
          <w:sz w:val="20"/>
          <w:szCs w:val="20"/>
          <w:lang w:val="en-US"/>
        </w:rPr>
        <w:t>integrated</w:t>
      </w:r>
      <w:r w:rsidRPr="000A18C0">
        <w:rPr>
          <w:rFonts w:ascii="Segoe UI" w:hAnsi="Segoe UI" w:cs="Segoe UI"/>
          <w:sz w:val="20"/>
          <w:szCs w:val="20"/>
          <w:lang w:val="en-US"/>
        </w:rPr>
        <w:t xml:space="preserve"> logistic regression model distinguishing CST I samples. Statistical significance was assessed using a Mann–Whitney U test. </w:t>
      </w:r>
    </w:p>
    <w:p w14:paraId="54373601" w14:textId="77777777" w:rsidR="00137C0C" w:rsidRDefault="00137C0C" w:rsidP="00137C0C">
      <w:pPr>
        <w:tabs>
          <w:tab w:val="left" w:pos="2760"/>
        </w:tabs>
        <w:spacing w:line="360" w:lineRule="auto"/>
        <w:jc w:val="both"/>
        <w:rPr>
          <w:rFonts w:ascii="Segoe UI" w:hAnsi="Segoe UI" w:cs="Segoe UI"/>
          <w:sz w:val="20"/>
          <w:szCs w:val="20"/>
          <w:lang w:val="en-US"/>
        </w:rPr>
      </w:pPr>
    </w:p>
    <w:p w14:paraId="651FA4B8" w14:textId="77777777" w:rsidR="00137C0C" w:rsidRDefault="00137C0C" w:rsidP="00137C0C">
      <w:pPr>
        <w:tabs>
          <w:tab w:val="left" w:pos="2760"/>
        </w:tabs>
        <w:spacing w:line="360" w:lineRule="auto"/>
        <w:jc w:val="both"/>
        <w:rPr>
          <w:rFonts w:ascii="Segoe UI" w:hAnsi="Segoe UI" w:cs="Segoe UI"/>
          <w:sz w:val="22"/>
          <w:szCs w:val="22"/>
          <w:lang w:val="en-US"/>
        </w:rPr>
      </w:pPr>
    </w:p>
    <w:p w14:paraId="09FF1751" w14:textId="77777777" w:rsidR="00137C0C" w:rsidRPr="009B233E" w:rsidRDefault="00137C0C" w:rsidP="00137C0C">
      <w:pPr>
        <w:tabs>
          <w:tab w:val="left" w:pos="2760"/>
        </w:tabs>
        <w:spacing w:line="360" w:lineRule="auto"/>
        <w:jc w:val="both"/>
        <w:rPr>
          <w:rFonts w:ascii="Segoe UI" w:hAnsi="Segoe UI" w:cs="Segoe UI"/>
          <w:sz w:val="22"/>
          <w:szCs w:val="22"/>
          <w:lang w:val="en-US"/>
        </w:rPr>
      </w:pPr>
    </w:p>
    <w:p w14:paraId="3854BA95" w14:textId="77777777" w:rsidR="00A91650" w:rsidRDefault="00A91650"/>
    <w:sectPr w:rsidR="00A91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0C"/>
    <w:rsid w:val="000E2EDD"/>
    <w:rsid w:val="00137C0C"/>
    <w:rsid w:val="00277C76"/>
    <w:rsid w:val="00A91650"/>
    <w:rsid w:val="00CD53DF"/>
    <w:rsid w:val="00E559FE"/>
    <w:rsid w:val="00E63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962C"/>
  <w15:chartTrackingRefBased/>
  <w15:docId w15:val="{63F94275-E4A2-449C-9403-2DEF95F6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C0C"/>
    <w:rPr>
      <w:lang w:val="sv-SE"/>
    </w:rPr>
  </w:style>
  <w:style w:type="paragraph" w:styleId="Heading1">
    <w:name w:val="heading 1"/>
    <w:basedOn w:val="Normal"/>
    <w:next w:val="Normal"/>
    <w:link w:val="Heading1Char"/>
    <w:uiPriority w:val="9"/>
    <w:qFormat/>
    <w:rsid w:val="00137C0C"/>
    <w:pPr>
      <w:keepNext/>
      <w:keepLines/>
      <w:spacing w:before="360" w:after="80"/>
      <w:outlineLvl w:val="0"/>
    </w:pPr>
    <w:rPr>
      <w:rFonts w:asciiTheme="majorHAnsi" w:eastAsiaTheme="majorEastAsia" w:hAnsiTheme="majorHAnsi" w:cstheme="majorBidi"/>
      <w:color w:val="0F4761" w:themeColor="accent1" w:themeShade="BF"/>
      <w:sz w:val="40"/>
      <w:szCs w:val="40"/>
      <w:lang w:val="en-IN"/>
    </w:rPr>
  </w:style>
  <w:style w:type="paragraph" w:styleId="Heading2">
    <w:name w:val="heading 2"/>
    <w:basedOn w:val="Normal"/>
    <w:next w:val="Normal"/>
    <w:link w:val="Heading2Char"/>
    <w:uiPriority w:val="9"/>
    <w:semiHidden/>
    <w:unhideWhenUsed/>
    <w:qFormat/>
    <w:rsid w:val="00137C0C"/>
    <w:pPr>
      <w:keepNext/>
      <w:keepLines/>
      <w:spacing w:before="160" w:after="80"/>
      <w:outlineLvl w:val="1"/>
    </w:pPr>
    <w:rPr>
      <w:rFonts w:asciiTheme="majorHAnsi" w:eastAsiaTheme="majorEastAsia" w:hAnsiTheme="majorHAnsi" w:cstheme="majorBidi"/>
      <w:color w:val="0F4761" w:themeColor="accent1" w:themeShade="BF"/>
      <w:sz w:val="32"/>
      <w:szCs w:val="32"/>
      <w:lang w:val="en-IN"/>
    </w:rPr>
  </w:style>
  <w:style w:type="paragraph" w:styleId="Heading3">
    <w:name w:val="heading 3"/>
    <w:basedOn w:val="Normal"/>
    <w:next w:val="Normal"/>
    <w:link w:val="Heading3Char"/>
    <w:uiPriority w:val="9"/>
    <w:semiHidden/>
    <w:unhideWhenUsed/>
    <w:qFormat/>
    <w:rsid w:val="00137C0C"/>
    <w:pPr>
      <w:keepNext/>
      <w:keepLines/>
      <w:spacing w:before="160" w:after="80"/>
      <w:outlineLvl w:val="2"/>
    </w:pPr>
    <w:rPr>
      <w:rFonts w:eastAsiaTheme="majorEastAsia" w:cstheme="majorBidi"/>
      <w:color w:val="0F4761" w:themeColor="accent1" w:themeShade="BF"/>
      <w:sz w:val="28"/>
      <w:szCs w:val="28"/>
      <w:lang w:val="en-IN"/>
    </w:rPr>
  </w:style>
  <w:style w:type="paragraph" w:styleId="Heading4">
    <w:name w:val="heading 4"/>
    <w:basedOn w:val="Normal"/>
    <w:next w:val="Normal"/>
    <w:link w:val="Heading4Char"/>
    <w:uiPriority w:val="9"/>
    <w:semiHidden/>
    <w:unhideWhenUsed/>
    <w:qFormat/>
    <w:rsid w:val="00137C0C"/>
    <w:pPr>
      <w:keepNext/>
      <w:keepLines/>
      <w:spacing w:before="80" w:after="40"/>
      <w:outlineLvl w:val="3"/>
    </w:pPr>
    <w:rPr>
      <w:rFonts w:eastAsiaTheme="majorEastAsia" w:cstheme="majorBidi"/>
      <w:i/>
      <w:iCs/>
      <w:color w:val="0F4761" w:themeColor="accent1" w:themeShade="BF"/>
      <w:lang w:val="en-IN"/>
    </w:rPr>
  </w:style>
  <w:style w:type="paragraph" w:styleId="Heading5">
    <w:name w:val="heading 5"/>
    <w:basedOn w:val="Normal"/>
    <w:next w:val="Normal"/>
    <w:link w:val="Heading5Char"/>
    <w:uiPriority w:val="9"/>
    <w:semiHidden/>
    <w:unhideWhenUsed/>
    <w:qFormat/>
    <w:rsid w:val="00137C0C"/>
    <w:pPr>
      <w:keepNext/>
      <w:keepLines/>
      <w:spacing w:before="80" w:after="40"/>
      <w:outlineLvl w:val="4"/>
    </w:pPr>
    <w:rPr>
      <w:rFonts w:eastAsiaTheme="majorEastAsia" w:cstheme="majorBidi"/>
      <w:color w:val="0F4761" w:themeColor="accent1" w:themeShade="BF"/>
      <w:lang w:val="en-IN"/>
    </w:rPr>
  </w:style>
  <w:style w:type="paragraph" w:styleId="Heading6">
    <w:name w:val="heading 6"/>
    <w:basedOn w:val="Normal"/>
    <w:next w:val="Normal"/>
    <w:link w:val="Heading6Char"/>
    <w:uiPriority w:val="9"/>
    <w:semiHidden/>
    <w:unhideWhenUsed/>
    <w:qFormat/>
    <w:rsid w:val="00137C0C"/>
    <w:pPr>
      <w:keepNext/>
      <w:keepLines/>
      <w:spacing w:before="40" w:after="0"/>
      <w:outlineLvl w:val="5"/>
    </w:pPr>
    <w:rPr>
      <w:rFonts w:eastAsiaTheme="majorEastAsia" w:cstheme="majorBidi"/>
      <w:i/>
      <w:iCs/>
      <w:color w:val="595959" w:themeColor="text1" w:themeTint="A6"/>
      <w:lang w:val="en-IN"/>
    </w:rPr>
  </w:style>
  <w:style w:type="paragraph" w:styleId="Heading7">
    <w:name w:val="heading 7"/>
    <w:basedOn w:val="Normal"/>
    <w:next w:val="Normal"/>
    <w:link w:val="Heading7Char"/>
    <w:uiPriority w:val="9"/>
    <w:semiHidden/>
    <w:unhideWhenUsed/>
    <w:qFormat/>
    <w:rsid w:val="00137C0C"/>
    <w:pPr>
      <w:keepNext/>
      <w:keepLines/>
      <w:spacing w:before="40" w:after="0"/>
      <w:outlineLvl w:val="6"/>
    </w:pPr>
    <w:rPr>
      <w:rFonts w:eastAsiaTheme="majorEastAsia" w:cstheme="majorBidi"/>
      <w:color w:val="595959" w:themeColor="text1" w:themeTint="A6"/>
      <w:lang w:val="en-IN"/>
    </w:rPr>
  </w:style>
  <w:style w:type="paragraph" w:styleId="Heading8">
    <w:name w:val="heading 8"/>
    <w:basedOn w:val="Normal"/>
    <w:next w:val="Normal"/>
    <w:link w:val="Heading8Char"/>
    <w:uiPriority w:val="9"/>
    <w:semiHidden/>
    <w:unhideWhenUsed/>
    <w:qFormat/>
    <w:rsid w:val="00137C0C"/>
    <w:pPr>
      <w:keepNext/>
      <w:keepLines/>
      <w:spacing w:after="0"/>
      <w:outlineLvl w:val="7"/>
    </w:pPr>
    <w:rPr>
      <w:rFonts w:eastAsiaTheme="majorEastAsia" w:cstheme="majorBidi"/>
      <w:i/>
      <w:iCs/>
      <w:color w:val="272727" w:themeColor="text1" w:themeTint="D8"/>
      <w:lang w:val="en-IN"/>
    </w:rPr>
  </w:style>
  <w:style w:type="paragraph" w:styleId="Heading9">
    <w:name w:val="heading 9"/>
    <w:basedOn w:val="Normal"/>
    <w:next w:val="Normal"/>
    <w:link w:val="Heading9Char"/>
    <w:uiPriority w:val="9"/>
    <w:semiHidden/>
    <w:unhideWhenUsed/>
    <w:qFormat/>
    <w:rsid w:val="00137C0C"/>
    <w:pPr>
      <w:keepNext/>
      <w:keepLines/>
      <w:spacing w:after="0"/>
      <w:outlineLvl w:val="8"/>
    </w:pPr>
    <w:rPr>
      <w:rFonts w:eastAsiaTheme="majorEastAsia" w:cstheme="majorBidi"/>
      <w:color w:val="272727" w:themeColor="text1" w:themeTint="D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C0C"/>
    <w:rPr>
      <w:rFonts w:eastAsiaTheme="majorEastAsia" w:cstheme="majorBidi"/>
      <w:color w:val="272727" w:themeColor="text1" w:themeTint="D8"/>
    </w:rPr>
  </w:style>
  <w:style w:type="paragraph" w:styleId="Title">
    <w:name w:val="Title"/>
    <w:basedOn w:val="Normal"/>
    <w:next w:val="Normal"/>
    <w:link w:val="TitleChar"/>
    <w:uiPriority w:val="10"/>
    <w:qFormat/>
    <w:rsid w:val="00137C0C"/>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137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C0C"/>
    <w:pPr>
      <w:numPr>
        <w:ilvl w:val="1"/>
      </w:numPr>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137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C0C"/>
    <w:pPr>
      <w:spacing w:before="160"/>
      <w:jc w:val="center"/>
    </w:pPr>
    <w:rPr>
      <w:i/>
      <w:iCs/>
      <w:color w:val="404040" w:themeColor="text1" w:themeTint="BF"/>
      <w:lang w:val="en-IN"/>
    </w:rPr>
  </w:style>
  <w:style w:type="character" w:customStyle="1" w:styleId="QuoteChar">
    <w:name w:val="Quote Char"/>
    <w:basedOn w:val="DefaultParagraphFont"/>
    <w:link w:val="Quote"/>
    <w:uiPriority w:val="29"/>
    <w:rsid w:val="00137C0C"/>
    <w:rPr>
      <w:i/>
      <w:iCs/>
      <w:color w:val="404040" w:themeColor="text1" w:themeTint="BF"/>
    </w:rPr>
  </w:style>
  <w:style w:type="paragraph" w:styleId="ListParagraph">
    <w:name w:val="List Paragraph"/>
    <w:basedOn w:val="Normal"/>
    <w:uiPriority w:val="34"/>
    <w:qFormat/>
    <w:rsid w:val="00137C0C"/>
    <w:pPr>
      <w:ind w:left="720"/>
      <w:contextualSpacing/>
    </w:pPr>
    <w:rPr>
      <w:lang w:val="en-IN"/>
    </w:rPr>
  </w:style>
  <w:style w:type="character" w:styleId="IntenseEmphasis">
    <w:name w:val="Intense Emphasis"/>
    <w:basedOn w:val="DefaultParagraphFont"/>
    <w:uiPriority w:val="21"/>
    <w:qFormat/>
    <w:rsid w:val="00137C0C"/>
    <w:rPr>
      <w:i/>
      <w:iCs/>
      <w:color w:val="0F4761" w:themeColor="accent1" w:themeShade="BF"/>
    </w:rPr>
  </w:style>
  <w:style w:type="paragraph" w:styleId="IntenseQuote">
    <w:name w:val="Intense Quote"/>
    <w:basedOn w:val="Normal"/>
    <w:next w:val="Normal"/>
    <w:link w:val="IntenseQuoteChar"/>
    <w:uiPriority w:val="30"/>
    <w:qFormat/>
    <w:rsid w:val="00137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IN"/>
    </w:rPr>
  </w:style>
  <w:style w:type="character" w:customStyle="1" w:styleId="IntenseQuoteChar">
    <w:name w:val="Intense Quote Char"/>
    <w:basedOn w:val="DefaultParagraphFont"/>
    <w:link w:val="IntenseQuote"/>
    <w:uiPriority w:val="30"/>
    <w:rsid w:val="00137C0C"/>
    <w:rPr>
      <w:i/>
      <w:iCs/>
      <w:color w:val="0F4761" w:themeColor="accent1" w:themeShade="BF"/>
    </w:rPr>
  </w:style>
  <w:style w:type="character" w:styleId="IntenseReference">
    <w:name w:val="Intense Reference"/>
    <w:basedOn w:val="DefaultParagraphFont"/>
    <w:uiPriority w:val="32"/>
    <w:qFormat/>
    <w:rsid w:val="00137C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2026-07-13T18:06:00Z</dcterms:created>
  <dcterms:modified xsi:type="dcterms:W3CDTF">2026-07-13T18:07:00Z</dcterms:modified>
</cp:coreProperties>
</file>