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7F8E1" w14:textId="1465C1A5" w:rsidR="000E21C7" w:rsidRPr="00447260" w:rsidRDefault="00A676E7" w:rsidP="000E21C7">
      <w:pPr>
        <w:pStyle w:val="Geenafstand"/>
        <w:rPr>
          <w:rFonts w:ascii="Calibri" w:hAnsi="Calibri" w:cs="Calibri"/>
          <w:b/>
          <w:bCs/>
          <w:lang w:val="en-US"/>
        </w:rPr>
      </w:pPr>
      <w:r>
        <w:rPr>
          <w:rFonts w:ascii="Calibri" w:hAnsi="Calibri" w:cs="Calibri"/>
          <w:b/>
          <w:bCs/>
          <w:lang w:val="en-US"/>
        </w:rPr>
        <w:t xml:space="preserve">Supplement 1: </w:t>
      </w:r>
      <w:r w:rsidR="000E21C7" w:rsidRPr="00447260">
        <w:rPr>
          <w:rFonts w:ascii="Calibri" w:hAnsi="Calibri" w:cs="Calibri"/>
          <w:b/>
          <w:bCs/>
          <w:lang w:val="en-US"/>
        </w:rPr>
        <w:t xml:space="preserve">Material &amp; Methods  </w:t>
      </w:r>
    </w:p>
    <w:p w14:paraId="3D53A89B" w14:textId="77777777" w:rsidR="000E21C7" w:rsidRPr="00447260" w:rsidRDefault="000E21C7" w:rsidP="000E21C7">
      <w:pPr>
        <w:pStyle w:val="Geenafstand"/>
        <w:rPr>
          <w:rFonts w:ascii="Calibri" w:hAnsi="Calibri" w:cs="Calibri"/>
          <w:lang w:val="en-US"/>
        </w:rPr>
      </w:pPr>
    </w:p>
    <w:p w14:paraId="4D78061E" w14:textId="77777777" w:rsidR="000E21C7" w:rsidRPr="000E21C7" w:rsidRDefault="000E21C7" w:rsidP="000E21C7">
      <w:pPr>
        <w:pStyle w:val="Geenafstand"/>
        <w:jc w:val="both"/>
        <w:rPr>
          <w:rFonts w:ascii="Calibri" w:hAnsi="Calibri" w:cs="Calibri"/>
          <w:u w:val="single"/>
          <w:lang w:val="en-US"/>
        </w:rPr>
      </w:pPr>
      <w:r w:rsidRPr="000E21C7">
        <w:rPr>
          <w:rFonts w:ascii="Calibri" w:hAnsi="Calibri" w:cs="Calibri"/>
          <w:u w:val="single"/>
          <w:lang w:val="en-US"/>
        </w:rPr>
        <w:t xml:space="preserve">Cohort information </w:t>
      </w:r>
    </w:p>
    <w:p w14:paraId="108F9580" w14:textId="122F97ED" w:rsidR="000E21C7" w:rsidRPr="000E21C7" w:rsidRDefault="000E21C7" w:rsidP="000E21C7">
      <w:pPr>
        <w:pStyle w:val="Geenafstand"/>
        <w:jc w:val="both"/>
        <w:rPr>
          <w:rFonts w:ascii="Calibri" w:hAnsi="Calibri" w:cs="Calibri"/>
          <w:lang w:val="en-US"/>
        </w:rPr>
      </w:pPr>
      <w:r w:rsidRPr="000E21C7">
        <w:rPr>
          <w:rFonts w:ascii="Calibri" w:hAnsi="Calibri" w:cs="Calibri"/>
          <w:lang w:val="en-US"/>
        </w:rPr>
        <w:t xml:space="preserve">All breast cancer samples in this study were obtained from participants within the ORNAMENT study trial: a multicenter, </w:t>
      </w:r>
      <w:proofErr w:type="spellStart"/>
      <w:r w:rsidRPr="000E21C7">
        <w:rPr>
          <w:rFonts w:ascii="Calibri" w:hAnsi="Calibri" w:cs="Calibri"/>
          <w:lang w:val="en-US"/>
        </w:rPr>
        <w:t>crOss</w:t>
      </w:r>
      <w:proofErr w:type="spellEnd"/>
      <w:r w:rsidRPr="000E21C7">
        <w:rPr>
          <w:rFonts w:ascii="Calibri" w:hAnsi="Calibri" w:cs="Calibri"/>
          <w:lang w:val="en-US"/>
        </w:rPr>
        <w:t xml:space="preserve"> sectional, study to assess microRNA expression in Nipple Aspirate Fluid, blood and </w:t>
      </w:r>
      <w:proofErr w:type="spellStart"/>
      <w:r w:rsidRPr="000E21C7">
        <w:rPr>
          <w:rFonts w:ascii="Calibri" w:hAnsi="Calibri" w:cs="Calibri"/>
          <w:lang w:val="en-US"/>
        </w:rPr>
        <w:t>tuMor</w:t>
      </w:r>
      <w:proofErr w:type="spellEnd"/>
      <w:r w:rsidRPr="000E21C7">
        <w:rPr>
          <w:rFonts w:ascii="Calibri" w:hAnsi="Calibri" w:cs="Calibri"/>
          <w:lang w:val="en-US"/>
        </w:rPr>
        <w:t xml:space="preserve"> material in women with primary </w:t>
      </w:r>
      <w:proofErr w:type="spellStart"/>
      <w:r w:rsidRPr="000E21C7">
        <w:rPr>
          <w:rFonts w:ascii="Calibri" w:hAnsi="Calibri" w:cs="Calibri"/>
          <w:lang w:val="en-US"/>
        </w:rPr>
        <w:t>brEast</w:t>
      </w:r>
      <w:proofErr w:type="spellEnd"/>
      <w:r w:rsidRPr="000E21C7">
        <w:rPr>
          <w:rFonts w:ascii="Calibri" w:hAnsi="Calibri" w:cs="Calibri"/>
          <w:lang w:val="en-US"/>
        </w:rPr>
        <w:t xml:space="preserve"> </w:t>
      </w:r>
      <w:proofErr w:type="spellStart"/>
      <w:r w:rsidRPr="000E21C7">
        <w:rPr>
          <w:rFonts w:ascii="Calibri" w:hAnsi="Calibri" w:cs="Calibri"/>
          <w:lang w:val="en-US"/>
        </w:rPr>
        <w:t>caNcer</w:t>
      </w:r>
      <w:proofErr w:type="spellEnd"/>
      <w:r w:rsidRPr="000E21C7">
        <w:rPr>
          <w:rFonts w:ascii="Calibri" w:hAnsi="Calibri" w:cs="Calibri"/>
          <w:lang w:val="en-US"/>
        </w:rPr>
        <w:t xml:space="preserve"> compared with healthy </w:t>
      </w:r>
      <w:proofErr w:type="spellStart"/>
      <w:r w:rsidRPr="000E21C7">
        <w:rPr>
          <w:rFonts w:ascii="Calibri" w:hAnsi="Calibri" w:cs="Calibri"/>
          <w:lang w:val="en-US"/>
        </w:rPr>
        <w:t>conTrols</w:t>
      </w:r>
      <w:proofErr w:type="spellEnd"/>
      <w:r w:rsidRPr="000E21C7">
        <w:rPr>
          <w:rFonts w:ascii="Calibri" w:hAnsi="Calibri" w:cs="Calibri"/>
          <w:lang w:val="en-US"/>
        </w:rPr>
        <w:t xml:space="preserve"> (CCMO NL57343.041.16; Dutch Trial Register NTR6162/ NL6031)</w:t>
      </w:r>
      <w:r w:rsidRPr="000E21C7">
        <w:rPr>
          <w:rFonts w:ascii="Calibri" w:hAnsi="Calibri" w:cs="Calibri"/>
          <w:lang w:val="en-US"/>
        </w:rPr>
        <w:fldChar w:fldCharType="begin"/>
      </w:r>
      <w:r w:rsidR="004B4F1D">
        <w:rPr>
          <w:rFonts w:ascii="Calibri" w:hAnsi="Calibri" w:cs="Calibri"/>
          <w:lang w:val="en-US"/>
        </w:rPr>
        <w:instrText xml:space="preserve"> ADDIN EN.CITE &lt;EndNote&gt;&lt;Cite&gt;&lt;Author&gt;NL6031.&lt;/Author&gt;&lt;RecNum&gt;37&lt;/RecNum&gt;&lt;DisplayText&gt;&lt;style face="superscript"&gt;1&lt;/style&gt;&lt;/DisplayText&gt;&lt;record&gt;&lt;rec-number&gt;37&lt;/rec-number&gt;&lt;foreign-keys&gt;&lt;key app="EN" db-id="a90x5dxearved2erfprpe9eef5eesfdwzesz" timestamp="1700654294"&gt;37&lt;/key&gt;&lt;/foreign-keys&gt;&lt;ref-type name="Journal Article"&gt;17&lt;/ref-type&gt;&lt;contributors&gt;&lt;authors&gt;&lt;author&gt;Netherlands Trial Register: Trial NL6031. &lt;/author&gt;&lt;/authors&gt;&lt;/contributors&gt;&lt;titles&gt;&lt;title&gt;The ORNAMENT study: A multicenter, crOss sectional, study to assess microRNA expression in Nipple Aspirated Fluid, blood and tuMor material in women with primary brEast caNcer compared with healthy conTrols. &lt;/title&gt;&lt;/titles&gt;&lt;dates&gt;&lt;/dates&gt;&lt;urls&gt;&lt;/urls&gt;&lt;/record&gt;&lt;/Cite&gt;&lt;/EndNote&gt;</w:instrText>
      </w:r>
      <w:r w:rsidRPr="000E21C7">
        <w:rPr>
          <w:rFonts w:ascii="Calibri" w:hAnsi="Calibri" w:cs="Calibri"/>
          <w:lang w:val="en-US"/>
        </w:rPr>
        <w:fldChar w:fldCharType="separate"/>
      </w:r>
      <w:r w:rsidR="004B4F1D" w:rsidRPr="004B4F1D">
        <w:rPr>
          <w:rFonts w:ascii="Calibri" w:hAnsi="Calibri" w:cs="Calibri"/>
          <w:noProof/>
          <w:vertAlign w:val="superscript"/>
          <w:lang w:val="en-US"/>
        </w:rPr>
        <w:t>1</w:t>
      </w:r>
      <w:r w:rsidRPr="000E21C7">
        <w:rPr>
          <w:rFonts w:ascii="Calibri" w:hAnsi="Calibri" w:cs="Calibri"/>
          <w:lang w:val="en-US"/>
        </w:rPr>
        <w:fldChar w:fldCharType="end"/>
      </w:r>
      <w:r w:rsidRPr="000E21C7">
        <w:rPr>
          <w:rFonts w:ascii="Calibri" w:hAnsi="Calibri" w:cs="Calibri"/>
          <w:lang w:val="en-US"/>
        </w:rPr>
        <w:t>. A total of 149 patients with untreated primary invasive breast cancer were included between January 2017 and March 2021. Among these patients, 135 had successful nipple fluid aspirations, and 12</w:t>
      </w:r>
      <w:r w:rsidR="00381792">
        <w:rPr>
          <w:rFonts w:ascii="Calibri" w:hAnsi="Calibri" w:cs="Calibri"/>
          <w:lang w:val="en-US"/>
        </w:rPr>
        <w:t>9</w:t>
      </w:r>
      <w:r w:rsidRPr="000E21C7">
        <w:rPr>
          <w:rFonts w:ascii="Calibri" w:hAnsi="Calibri" w:cs="Calibri"/>
          <w:lang w:val="en-US"/>
        </w:rPr>
        <w:t xml:space="preserve"> samples</w:t>
      </w:r>
      <w:r w:rsidR="00381792">
        <w:rPr>
          <w:rFonts w:ascii="Calibri" w:hAnsi="Calibri" w:cs="Calibri"/>
          <w:lang w:val="en-US"/>
        </w:rPr>
        <w:t xml:space="preserve"> (including bilateral samples)</w:t>
      </w:r>
      <w:r w:rsidRPr="000E21C7">
        <w:rPr>
          <w:rFonts w:ascii="Calibri" w:hAnsi="Calibri" w:cs="Calibri"/>
          <w:lang w:val="en-US"/>
        </w:rPr>
        <w:t xml:space="preserve"> were obtained from the affected breast. At the time the samples were collected, all participants met the following criteria: they were over 18 years of age; were female; were not lactating; were not pregnant; had no active breast infection; had not undergone bilateral ablation/reduction with nipple graft; had no disseminated breast cancer. In this multicenter trial, patients were included from the University Medical Center Utrecht (UMCU), the </w:t>
      </w:r>
      <w:proofErr w:type="spellStart"/>
      <w:r w:rsidRPr="000E21C7">
        <w:rPr>
          <w:rFonts w:ascii="Calibri" w:hAnsi="Calibri" w:cs="Calibri"/>
          <w:lang w:val="en-US"/>
        </w:rPr>
        <w:t>Diakonessenhuis</w:t>
      </w:r>
      <w:proofErr w:type="spellEnd"/>
      <w:r w:rsidR="00B71E5F">
        <w:rPr>
          <w:rFonts w:ascii="Calibri" w:hAnsi="Calibri" w:cs="Calibri"/>
          <w:lang w:val="en-US"/>
        </w:rPr>
        <w:t xml:space="preserve"> Utrecht</w:t>
      </w:r>
      <w:r w:rsidRPr="000E21C7">
        <w:rPr>
          <w:rFonts w:ascii="Calibri" w:hAnsi="Calibri" w:cs="Calibri"/>
          <w:lang w:val="en-US"/>
        </w:rPr>
        <w:t>, Alexander Monro Hospital</w:t>
      </w:r>
      <w:r w:rsidR="00632D46">
        <w:rPr>
          <w:rFonts w:ascii="Calibri" w:hAnsi="Calibri" w:cs="Calibri"/>
          <w:lang w:val="en-US"/>
        </w:rPr>
        <w:t xml:space="preserve"> </w:t>
      </w:r>
      <w:proofErr w:type="spellStart"/>
      <w:r w:rsidR="00632D46">
        <w:rPr>
          <w:rFonts w:ascii="Calibri" w:hAnsi="Calibri" w:cs="Calibri"/>
          <w:lang w:val="en-US"/>
        </w:rPr>
        <w:t>Bilthoven</w:t>
      </w:r>
      <w:proofErr w:type="spellEnd"/>
      <w:r w:rsidRPr="000E21C7">
        <w:rPr>
          <w:rFonts w:ascii="Calibri" w:hAnsi="Calibri" w:cs="Calibri"/>
          <w:lang w:val="en-US"/>
        </w:rPr>
        <w:t xml:space="preserve">, and </w:t>
      </w:r>
      <w:proofErr w:type="spellStart"/>
      <w:r w:rsidRPr="000E21C7">
        <w:rPr>
          <w:rFonts w:ascii="Calibri" w:hAnsi="Calibri" w:cs="Calibri"/>
          <w:lang w:val="en-US"/>
        </w:rPr>
        <w:t>Alrijne</w:t>
      </w:r>
      <w:proofErr w:type="spellEnd"/>
      <w:r w:rsidRPr="000E21C7">
        <w:rPr>
          <w:rFonts w:ascii="Calibri" w:hAnsi="Calibri" w:cs="Calibri"/>
          <w:lang w:val="en-US"/>
        </w:rPr>
        <w:t xml:space="preserve"> Hospital</w:t>
      </w:r>
      <w:r w:rsidR="00632D46">
        <w:rPr>
          <w:rFonts w:ascii="Calibri" w:hAnsi="Calibri" w:cs="Calibri"/>
          <w:lang w:val="en-US"/>
        </w:rPr>
        <w:t xml:space="preserve"> </w:t>
      </w:r>
      <w:proofErr w:type="spellStart"/>
      <w:r w:rsidR="00632D46">
        <w:rPr>
          <w:rFonts w:ascii="Calibri" w:hAnsi="Calibri" w:cs="Calibri"/>
          <w:lang w:val="en-US"/>
        </w:rPr>
        <w:t>Leiderdorp</w:t>
      </w:r>
      <w:proofErr w:type="spellEnd"/>
      <w:r w:rsidRPr="000E21C7">
        <w:rPr>
          <w:rFonts w:ascii="Calibri" w:hAnsi="Calibri" w:cs="Calibri"/>
          <w:lang w:val="en-US"/>
        </w:rPr>
        <w:t xml:space="preserve">. The Medical University of </w:t>
      </w:r>
      <w:proofErr w:type="spellStart"/>
      <w:r w:rsidRPr="000E21C7">
        <w:rPr>
          <w:rFonts w:ascii="Calibri" w:hAnsi="Calibri" w:cs="Calibri"/>
          <w:lang w:val="en-US"/>
        </w:rPr>
        <w:t>Gdańsk</w:t>
      </w:r>
      <w:proofErr w:type="spellEnd"/>
      <w:r w:rsidRPr="000E21C7">
        <w:rPr>
          <w:rFonts w:ascii="Calibri" w:hAnsi="Calibri" w:cs="Calibri"/>
          <w:lang w:val="en-US"/>
        </w:rPr>
        <w:t>, Poland, provided 1</w:t>
      </w:r>
      <w:r w:rsidR="00E97923">
        <w:rPr>
          <w:rFonts w:ascii="Calibri" w:hAnsi="Calibri" w:cs="Calibri"/>
          <w:lang w:val="en-US"/>
        </w:rPr>
        <w:t>6</w:t>
      </w:r>
      <w:r w:rsidR="00613838">
        <w:rPr>
          <w:rFonts w:ascii="Calibri" w:hAnsi="Calibri" w:cs="Calibri"/>
          <w:lang w:val="en-US"/>
        </w:rPr>
        <w:t xml:space="preserve"> patients</w:t>
      </w:r>
      <w:r w:rsidR="00E97923">
        <w:rPr>
          <w:rFonts w:ascii="Calibri" w:hAnsi="Calibri" w:cs="Calibri"/>
          <w:lang w:val="en-US"/>
        </w:rPr>
        <w:t xml:space="preserve"> </w:t>
      </w:r>
      <w:r w:rsidR="00E97923" w:rsidRPr="000E21C7">
        <w:rPr>
          <w:rFonts w:ascii="Calibri" w:hAnsi="Calibri" w:cs="Calibri"/>
          <w:lang w:val="en-US"/>
        </w:rPr>
        <w:t>using the same inclusion and exclusion criteria</w:t>
      </w:r>
      <w:r w:rsidR="00E97923">
        <w:rPr>
          <w:rFonts w:ascii="Calibri" w:hAnsi="Calibri" w:cs="Calibri"/>
          <w:lang w:val="en-US"/>
        </w:rPr>
        <w:t xml:space="preserve">, of which 11 </w:t>
      </w:r>
      <w:r w:rsidR="000B4630">
        <w:rPr>
          <w:rFonts w:ascii="Calibri" w:hAnsi="Calibri" w:cs="Calibri"/>
          <w:lang w:val="en-US"/>
        </w:rPr>
        <w:t xml:space="preserve">had </w:t>
      </w:r>
      <w:r w:rsidR="00613838" w:rsidRPr="000E21C7">
        <w:rPr>
          <w:rFonts w:ascii="Calibri" w:hAnsi="Calibri" w:cs="Calibri"/>
          <w:lang w:val="en-US"/>
        </w:rPr>
        <w:t>successful nipple fluid aspiration</w:t>
      </w:r>
      <w:r w:rsidR="000B4630">
        <w:rPr>
          <w:rFonts w:ascii="Calibri" w:hAnsi="Calibri" w:cs="Calibri"/>
          <w:lang w:val="en-US"/>
        </w:rPr>
        <w:t xml:space="preserve">. </w:t>
      </w:r>
    </w:p>
    <w:p w14:paraId="6F6718DA" w14:textId="77777777" w:rsidR="000E21C7" w:rsidRPr="000E21C7" w:rsidRDefault="000E21C7" w:rsidP="000E21C7">
      <w:pPr>
        <w:pStyle w:val="Geenafstand"/>
        <w:jc w:val="both"/>
        <w:rPr>
          <w:rFonts w:ascii="Calibri" w:hAnsi="Calibri" w:cs="Calibri"/>
          <w:lang w:val="en-US"/>
        </w:rPr>
      </w:pPr>
    </w:p>
    <w:p w14:paraId="61315CBA" w14:textId="620E94B6" w:rsidR="000E21C7" w:rsidRPr="000E21C7" w:rsidRDefault="000E21C7" w:rsidP="000E21C7">
      <w:pPr>
        <w:pStyle w:val="Geenafstand"/>
        <w:jc w:val="both"/>
        <w:rPr>
          <w:rFonts w:ascii="Calibri" w:hAnsi="Calibri" w:cs="Calibri"/>
          <w:lang w:val="en-US"/>
        </w:rPr>
      </w:pPr>
      <w:r w:rsidRPr="000E21C7">
        <w:rPr>
          <w:rFonts w:ascii="Calibri" w:hAnsi="Calibri" w:cs="Calibri"/>
          <w:lang w:val="en-US"/>
        </w:rPr>
        <w:t>All healthy control samples in this study were obtained from participants within the trial: Breast Cancer Biomarkers in Nipple Aspiration Fluid in Healthy Controls (CCMO NL41845.041.12</w:t>
      </w:r>
      <w:r w:rsidR="00CC59C9">
        <w:rPr>
          <w:rFonts w:ascii="Calibri" w:hAnsi="Calibri" w:cs="Calibri"/>
          <w:lang w:val="en-US"/>
        </w:rPr>
        <w:t>; Dutch Trial Register NL8987</w:t>
      </w:r>
      <w:r w:rsidRPr="000E21C7">
        <w:rPr>
          <w:rFonts w:ascii="Calibri" w:hAnsi="Calibri" w:cs="Calibri"/>
          <w:lang w:val="en-US"/>
        </w:rPr>
        <w:t>)</w:t>
      </w:r>
      <w:r w:rsidRPr="000E21C7">
        <w:rPr>
          <w:rFonts w:ascii="Calibri" w:hAnsi="Calibri" w:cs="Calibri"/>
          <w:lang w:val="en-US"/>
        </w:rPr>
        <w:fldChar w:fldCharType="begin"/>
      </w:r>
      <w:r w:rsidR="004B4F1D">
        <w:rPr>
          <w:rFonts w:ascii="Calibri" w:hAnsi="Calibri" w:cs="Calibri"/>
          <w:lang w:val="en-US"/>
        </w:rPr>
        <w:instrText xml:space="preserve"> ADDIN EN.CITE &lt;EndNote&gt;&lt;Cite&gt;&lt;Author&gt;NL8987.&lt;/Author&gt;&lt;RecNum&gt;38&lt;/RecNum&gt;&lt;DisplayText&gt;&lt;style face="superscript"&gt;2&lt;/style&gt;&lt;/DisplayText&gt;&lt;record&gt;&lt;rec-number&gt;38&lt;/rec-number&gt;&lt;foreign-keys&gt;&lt;key app="EN" db-id="a90x5dxearved2erfprpe9eef5eesfdwzesz" timestamp="1700654294"&gt;38&lt;/key&gt;&lt;/foreign-keys&gt;&lt;ref-type name="Journal Article"&gt;17&lt;/ref-type&gt;&lt;contributors&gt;&lt;authors&gt;&lt;author&gt;Netherlands Trial Register: Trial NL8987. &lt;/author&gt;&lt;/authors&gt;&lt;/contributors&gt;&lt;titles&gt;&lt;title&gt;Breast Cancer Biomarkers in Nipple Aspirate Fluid and Blood in Healthy Women. &lt;/title&gt;&lt;/titles&gt;&lt;dates&gt;&lt;/dates&gt;&lt;urls&gt;&lt;/urls&gt;&lt;/record&gt;&lt;/Cite&gt;&lt;/EndNote&gt;</w:instrText>
      </w:r>
      <w:r w:rsidRPr="000E21C7">
        <w:rPr>
          <w:rFonts w:ascii="Calibri" w:hAnsi="Calibri" w:cs="Calibri"/>
          <w:lang w:val="en-US"/>
        </w:rPr>
        <w:fldChar w:fldCharType="separate"/>
      </w:r>
      <w:r w:rsidR="004B4F1D" w:rsidRPr="004B4F1D">
        <w:rPr>
          <w:rFonts w:ascii="Calibri" w:hAnsi="Calibri" w:cs="Calibri"/>
          <w:noProof/>
          <w:vertAlign w:val="superscript"/>
          <w:lang w:val="en-US"/>
        </w:rPr>
        <w:t>2</w:t>
      </w:r>
      <w:r w:rsidRPr="000E21C7">
        <w:rPr>
          <w:rFonts w:ascii="Calibri" w:hAnsi="Calibri" w:cs="Calibri"/>
          <w:lang w:val="en-US"/>
        </w:rPr>
        <w:fldChar w:fldCharType="end"/>
      </w:r>
      <w:r w:rsidRPr="000E21C7">
        <w:rPr>
          <w:rFonts w:ascii="Calibri" w:hAnsi="Calibri" w:cs="Calibri"/>
          <w:lang w:val="en-US"/>
        </w:rPr>
        <w:t xml:space="preserve">. A total of 116 healthy controls were included between August 2017 and February 2021. All these volunteers had a successful nipple fluid aspiration in at least one breast. One sample was excluded </w:t>
      </w:r>
      <w:r w:rsidR="008B2A39">
        <w:rPr>
          <w:rFonts w:ascii="Calibri" w:hAnsi="Calibri" w:cs="Calibri"/>
          <w:lang w:val="en-US"/>
        </w:rPr>
        <w:t xml:space="preserve">from the analysis </w:t>
      </w:r>
      <w:r w:rsidRPr="000E21C7">
        <w:rPr>
          <w:rFonts w:ascii="Calibri" w:hAnsi="Calibri" w:cs="Calibri"/>
          <w:lang w:val="en-US"/>
        </w:rPr>
        <w:t xml:space="preserve">due to bad quality. At the time the samples were collected, all participants were healthy and met the following criteria: were female, were non-lactating, were not pregnant, were over the age of 45 years, and had no increased breast cancer risk. All sampling of healthy volunteers was performed at the UMCU. Two women were diagnosed with breast cancer after NAF collection and were therefore excluded as healthy controls. One was diagnosed with breast cancer 2 weeks after sample collection, and the other was diagnosed after 1 year and 3 months. The first women was included in the ORNAMENT cohort. </w:t>
      </w:r>
    </w:p>
    <w:p w14:paraId="3DBF3D63" w14:textId="77777777" w:rsidR="000E21C7" w:rsidRPr="000E21C7" w:rsidRDefault="000E21C7" w:rsidP="000E21C7">
      <w:pPr>
        <w:pStyle w:val="Geenafstand"/>
        <w:jc w:val="both"/>
        <w:rPr>
          <w:rFonts w:ascii="Calibri" w:hAnsi="Calibri" w:cs="Calibri"/>
          <w:lang w:val="en-US"/>
        </w:rPr>
      </w:pPr>
    </w:p>
    <w:p w14:paraId="6CA2D56E" w14:textId="6F794146" w:rsidR="000E21C7" w:rsidRPr="000E21C7" w:rsidRDefault="000E21C7" w:rsidP="000E21C7">
      <w:pPr>
        <w:pStyle w:val="Geenafstand"/>
        <w:jc w:val="both"/>
        <w:rPr>
          <w:rFonts w:ascii="Calibri" w:hAnsi="Calibri" w:cs="Calibri"/>
          <w:lang w:val="en-US"/>
        </w:rPr>
      </w:pPr>
      <w:r w:rsidRPr="000E21C7">
        <w:rPr>
          <w:rFonts w:ascii="Calibri" w:hAnsi="Calibri" w:cs="Calibri"/>
          <w:lang w:val="en-US"/>
        </w:rPr>
        <w:t xml:space="preserve">Both studies were approved by the Institutional Review Board of the UMCU and other participating hospitals (ORNAMENT: 16-337; </w:t>
      </w:r>
      <w:r w:rsidR="00B6147D">
        <w:rPr>
          <w:rFonts w:ascii="Calibri" w:hAnsi="Calibri" w:cs="Calibri"/>
          <w:lang w:val="en-US"/>
        </w:rPr>
        <w:t>H</w:t>
      </w:r>
      <w:r w:rsidRPr="000E21C7">
        <w:rPr>
          <w:rFonts w:ascii="Calibri" w:hAnsi="Calibri" w:cs="Calibri"/>
          <w:lang w:val="en-US"/>
        </w:rPr>
        <w:t>ealthy controls: 12-495). Written informed consent was obtained from all participating women.</w:t>
      </w:r>
    </w:p>
    <w:p w14:paraId="3DE2CE54" w14:textId="77777777" w:rsidR="000E21C7" w:rsidRPr="000E21C7" w:rsidRDefault="000E21C7" w:rsidP="000E21C7">
      <w:pPr>
        <w:pStyle w:val="Geenafstand"/>
        <w:jc w:val="both"/>
        <w:rPr>
          <w:rFonts w:ascii="Calibri" w:hAnsi="Calibri" w:cs="Calibri"/>
          <w:lang w:val="en-US"/>
        </w:rPr>
      </w:pPr>
    </w:p>
    <w:p w14:paraId="41123F9D" w14:textId="12426B6A" w:rsidR="000E21C7" w:rsidRPr="000E21C7" w:rsidRDefault="000E21C7" w:rsidP="000E21C7">
      <w:pPr>
        <w:pStyle w:val="Geenafstand"/>
        <w:jc w:val="both"/>
        <w:rPr>
          <w:rFonts w:ascii="Calibri" w:hAnsi="Calibri" w:cs="Calibri"/>
          <w:lang w:val="en-US"/>
        </w:rPr>
      </w:pPr>
      <w:r w:rsidRPr="000E21C7">
        <w:rPr>
          <w:rFonts w:ascii="Calibri" w:hAnsi="Calibri" w:cs="Calibri"/>
          <w:lang w:val="en-US"/>
        </w:rPr>
        <w:t>NAF samples, if possible bilateral, were acquired by trained research nurses using a vacuum device after administration of oxytocin nasal spray, as described previously by Patuleia et al.</w:t>
      </w:r>
      <w:r w:rsidRPr="000E21C7">
        <w:rPr>
          <w:rFonts w:ascii="Calibri" w:hAnsi="Calibri" w:cs="Calibri"/>
          <w:lang w:val="en-US"/>
        </w:rPr>
        <w:fldChar w:fldCharType="begin">
          <w:fldData xml:space="preserve">PEVuZE5vdGU+PENpdGU+PEF1dGhvcj5QYXR1bGVpYTwvQXV0aG9yPjxZZWFyPjIwMjI8L1llYXI+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</w:fldData>
        </w:fldChar>
      </w:r>
      <w:r w:rsidR="004B4F1D">
        <w:rPr>
          <w:rFonts w:ascii="Calibri" w:hAnsi="Calibri" w:cs="Calibri"/>
          <w:lang w:val="en-US"/>
        </w:rPr>
        <w:instrText xml:space="preserve"> ADDIN EN.CITE </w:instrText>
      </w:r>
      <w:r w:rsidR="004B4F1D">
        <w:rPr>
          <w:rFonts w:ascii="Calibri" w:hAnsi="Calibri" w:cs="Calibri"/>
          <w:lang w:val="en-US"/>
        </w:rPr>
        <w:fldChar w:fldCharType="begin">
          <w:fldData xml:space="preserve">PEVuZE5vdGU+PENpdGU+PEF1dGhvcj5QYXR1bGVpYTwvQXV0aG9yPjxZZWFyPjIwMjI8L1llYXI+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</w:fldData>
        </w:fldChar>
      </w:r>
      <w:r w:rsidR="004B4F1D">
        <w:rPr>
          <w:rFonts w:ascii="Calibri" w:hAnsi="Calibri" w:cs="Calibri"/>
          <w:lang w:val="en-US"/>
        </w:rPr>
        <w:instrText xml:space="preserve"> ADDIN EN.CITE.DATA </w:instrText>
      </w:r>
      <w:r w:rsidR="004B4F1D">
        <w:rPr>
          <w:rFonts w:ascii="Calibri" w:hAnsi="Calibri" w:cs="Calibri"/>
          <w:lang w:val="en-US"/>
        </w:rPr>
      </w:r>
      <w:r w:rsidR="004B4F1D">
        <w:rPr>
          <w:rFonts w:ascii="Calibri" w:hAnsi="Calibri" w:cs="Calibri"/>
          <w:lang w:val="en-US"/>
        </w:rPr>
        <w:fldChar w:fldCharType="end"/>
      </w:r>
      <w:r w:rsidRPr="000E21C7">
        <w:rPr>
          <w:rFonts w:ascii="Calibri" w:hAnsi="Calibri" w:cs="Calibri"/>
          <w:lang w:val="en-US"/>
        </w:rPr>
      </w:r>
      <w:r w:rsidRPr="000E21C7">
        <w:rPr>
          <w:rFonts w:ascii="Calibri" w:hAnsi="Calibri" w:cs="Calibri"/>
          <w:lang w:val="en-US"/>
        </w:rPr>
        <w:fldChar w:fldCharType="separate"/>
      </w:r>
      <w:r w:rsidR="004B4F1D" w:rsidRPr="004B4F1D">
        <w:rPr>
          <w:rFonts w:ascii="Calibri" w:hAnsi="Calibri" w:cs="Calibri"/>
          <w:noProof/>
          <w:vertAlign w:val="superscript"/>
          <w:lang w:val="en-US"/>
        </w:rPr>
        <w:t>3</w:t>
      </w:r>
      <w:r w:rsidRPr="000E21C7">
        <w:rPr>
          <w:rFonts w:ascii="Calibri" w:hAnsi="Calibri" w:cs="Calibri"/>
          <w:lang w:val="en-US"/>
        </w:rPr>
        <w:fldChar w:fldCharType="end"/>
      </w:r>
      <w:r w:rsidRPr="000E21C7">
        <w:rPr>
          <w:rFonts w:ascii="Calibri" w:hAnsi="Calibri" w:cs="Calibri"/>
          <w:lang w:val="en-US"/>
        </w:rPr>
        <w:t>. To conserve the NAF, 10 µl of RLT buffer (Qiagen, Cat#80224) with 1:100 v/v β-</w:t>
      </w:r>
      <w:proofErr w:type="spellStart"/>
      <w:r w:rsidRPr="000E21C7">
        <w:rPr>
          <w:rFonts w:ascii="Calibri" w:hAnsi="Calibri" w:cs="Calibri"/>
          <w:lang w:val="en-US"/>
        </w:rPr>
        <w:t>mercaptoethanol</w:t>
      </w:r>
      <w:proofErr w:type="spellEnd"/>
      <w:r w:rsidRPr="000E21C7">
        <w:rPr>
          <w:rFonts w:ascii="Calibri" w:hAnsi="Calibri" w:cs="Calibri"/>
          <w:lang w:val="en-US"/>
        </w:rPr>
        <w:t xml:space="preserve"> (14.3 M) was added and the mixture was stored at -80°C. At the start of this procedure, participants were asked to complete a questionnaire (Supplement </w:t>
      </w:r>
      <w:r w:rsidR="00816806">
        <w:rPr>
          <w:rFonts w:ascii="Calibri" w:hAnsi="Calibri" w:cs="Calibri"/>
          <w:lang w:val="en-US"/>
        </w:rPr>
        <w:t>3</w:t>
      </w:r>
      <w:r w:rsidRPr="000E21C7">
        <w:rPr>
          <w:rFonts w:ascii="Calibri" w:hAnsi="Calibri" w:cs="Calibri"/>
          <w:lang w:val="en-US"/>
        </w:rPr>
        <w:t>). For the healthy controls, the survey contained an extra part to ensure they met the inclusion criteria. Tumor characteristics of the breast cancer patients were obtained through pathology rapports, where receptor status was based on the biopsy. Molecular subtypes were defined as: Luminal A-like (ER-positive (&gt;10%), PR positive (&gt;10%) or negative, HER2 negative with low proliferation (mitotic activity index of &lt;13/2 mm</w:t>
      </w:r>
      <w:r w:rsidRPr="000E21C7">
        <w:rPr>
          <w:rFonts w:ascii="Calibri" w:hAnsi="Calibri" w:cs="Calibri"/>
          <w:vertAlign w:val="superscript"/>
          <w:lang w:val="en-US"/>
        </w:rPr>
        <w:t>2</w:t>
      </w:r>
      <w:r w:rsidRPr="000E21C7">
        <w:rPr>
          <w:rFonts w:ascii="Calibri" w:hAnsi="Calibri" w:cs="Calibri"/>
          <w:lang w:val="en-US"/>
        </w:rPr>
        <w:t>)); Luminal B-like (ER-positive (&gt;10%), PR positive (&gt;10%) or negative and HER2 positive, or as ER-positive (&gt;10%), PR positive (&gt;10%) or negative and HER2 negative with high proliferation (mitotic activity index of ≥ 13/2 mm</w:t>
      </w:r>
      <w:r w:rsidRPr="000E21C7">
        <w:rPr>
          <w:rFonts w:ascii="Calibri" w:hAnsi="Calibri" w:cs="Calibri"/>
          <w:vertAlign w:val="superscript"/>
          <w:lang w:val="en-US"/>
        </w:rPr>
        <w:t>2</w:t>
      </w:r>
      <w:r w:rsidRPr="000E21C7">
        <w:rPr>
          <w:rFonts w:ascii="Calibri" w:hAnsi="Calibri" w:cs="Calibri"/>
          <w:lang w:val="en-US"/>
        </w:rPr>
        <w:t>); HER2-driven (ER/PR negative and HER2 positive); Triple negative (ER/PR/HER2 negative)</w:t>
      </w:r>
      <w:r w:rsidRPr="000E21C7">
        <w:rPr>
          <w:rFonts w:ascii="Calibri" w:hAnsi="Calibri" w:cs="Calibri"/>
          <w:lang w:val="en-US"/>
        </w:rPr>
        <w:fldChar w:fldCharType="begin">
          <w:fldData xml:space="preserve">PEVuZE5vdGU+PENpdGU+PEF1dGhvcj5GaW5zdGVyYnVzY2g8L0F1dGhvcj48WWVhcj4yMDIwPC9Z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</w:fldData>
        </w:fldChar>
      </w:r>
      <w:r w:rsidR="004B4F1D">
        <w:rPr>
          <w:rFonts w:ascii="Calibri" w:hAnsi="Calibri" w:cs="Calibri"/>
          <w:lang w:val="en-US"/>
        </w:rPr>
        <w:instrText xml:space="preserve"> ADDIN EN.CITE </w:instrText>
      </w:r>
      <w:r w:rsidR="004B4F1D">
        <w:rPr>
          <w:rFonts w:ascii="Calibri" w:hAnsi="Calibri" w:cs="Calibri"/>
          <w:lang w:val="en-US"/>
        </w:rPr>
        <w:fldChar w:fldCharType="begin">
          <w:fldData xml:space="preserve">PEVuZE5vdGU+PENpdGU+PEF1dGhvcj5GaW5zdGVyYnVzY2g8L0F1dGhvcj48WWVhcj4yMDIwPC9Z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</w:fldData>
        </w:fldChar>
      </w:r>
      <w:r w:rsidR="004B4F1D">
        <w:rPr>
          <w:rFonts w:ascii="Calibri" w:hAnsi="Calibri" w:cs="Calibri"/>
          <w:lang w:val="en-US"/>
        </w:rPr>
        <w:instrText xml:space="preserve"> ADDIN EN.CITE.DATA </w:instrText>
      </w:r>
      <w:r w:rsidR="004B4F1D">
        <w:rPr>
          <w:rFonts w:ascii="Calibri" w:hAnsi="Calibri" w:cs="Calibri"/>
          <w:lang w:val="en-US"/>
        </w:rPr>
      </w:r>
      <w:r w:rsidR="004B4F1D">
        <w:rPr>
          <w:rFonts w:ascii="Calibri" w:hAnsi="Calibri" w:cs="Calibri"/>
          <w:lang w:val="en-US"/>
        </w:rPr>
        <w:fldChar w:fldCharType="end"/>
      </w:r>
      <w:r w:rsidRPr="000E21C7">
        <w:rPr>
          <w:rFonts w:ascii="Calibri" w:hAnsi="Calibri" w:cs="Calibri"/>
          <w:lang w:val="en-US"/>
        </w:rPr>
      </w:r>
      <w:r w:rsidRPr="000E21C7">
        <w:rPr>
          <w:rFonts w:ascii="Calibri" w:hAnsi="Calibri" w:cs="Calibri"/>
          <w:lang w:val="en-US"/>
        </w:rPr>
        <w:fldChar w:fldCharType="separate"/>
      </w:r>
      <w:r w:rsidR="004B4F1D" w:rsidRPr="004B4F1D">
        <w:rPr>
          <w:rFonts w:ascii="Calibri" w:hAnsi="Calibri" w:cs="Calibri"/>
          <w:noProof/>
          <w:vertAlign w:val="superscript"/>
          <w:lang w:val="en-US"/>
        </w:rPr>
        <w:t>4</w:t>
      </w:r>
      <w:r w:rsidRPr="000E21C7">
        <w:rPr>
          <w:rFonts w:ascii="Calibri" w:hAnsi="Calibri" w:cs="Calibri"/>
          <w:lang w:val="en-US"/>
        </w:rPr>
        <w:fldChar w:fldCharType="end"/>
      </w:r>
      <w:r w:rsidRPr="000E21C7">
        <w:rPr>
          <w:rFonts w:ascii="Calibri" w:hAnsi="Calibri" w:cs="Calibri"/>
          <w:lang w:val="en-US"/>
        </w:rPr>
        <w:t xml:space="preserve">. </w:t>
      </w:r>
    </w:p>
    <w:p w14:paraId="741F2E5E" w14:textId="77777777" w:rsidR="000E21C7" w:rsidRPr="000E21C7" w:rsidRDefault="000E21C7" w:rsidP="000E21C7">
      <w:pPr>
        <w:pStyle w:val="Geenafstand"/>
        <w:jc w:val="both"/>
        <w:rPr>
          <w:rFonts w:ascii="Calibri" w:hAnsi="Calibri" w:cs="Calibri"/>
          <w:lang w:val="en-US"/>
        </w:rPr>
      </w:pPr>
    </w:p>
    <w:p w14:paraId="6B42BF29" w14:textId="77777777" w:rsidR="000E21C7" w:rsidRPr="000E21C7" w:rsidRDefault="000E21C7" w:rsidP="000E21C7">
      <w:pPr>
        <w:pStyle w:val="Geenafstand"/>
        <w:jc w:val="both"/>
        <w:rPr>
          <w:rFonts w:ascii="Calibri" w:hAnsi="Calibri" w:cs="Calibri"/>
          <w:u w:val="single"/>
          <w:lang w:val="en-US"/>
        </w:rPr>
      </w:pPr>
      <w:r w:rsidRPr="000E21C7">
        <w:rPr>
          <w:rFonts w:ascii="Calibri" w:hAnsi="Calibri" w:cs="Calibri"/>
          <w:u w:val="single"/>
          <w:lang w:val="en-US"/>
        </w:rPr>
        <w:t>Nucleic acid extraction</w:t>
      </w:r>
    </w:p>
    <w:p w14:paraId="7AAC8133" w14:textId="65C213F0" w:rsidR="000E21C7" w:rsidRPr="000E21C7" w:rsidRDefault="000E21C7" w:rsidP="000E21C7">
      <w:pPr>
        <w:pStyle w:val="Geenafstand"/>
        <w:jc w:val="both"/>
        <w:rPr>
          <w:rFonts w:ascii="Calibri" w:hAnsi="Calibri" w:cs="Calibri"/>
          <w:lang w:val="en-US"/>
        </w:rPr>
      </w:pPr>
      <w:r w:rsidRPr="000E21C7">
        <w:rPr>
          <w:rFonts w:ascii="Calibri" w:hAnsi="Calibri" w:cs="Calibri"/>
          <w:lang w:val="en-US"/>
        </w:rPr>
        <w:t xml:space="preserve">Prior to mi(RNA) and DNA extraction from NAF, its post-thawing characteristics (RAL color, volume, viscosity, cloudiness) were recorded. To extract (mi)RNA and DNA, the </w:t>
      </w:r>
      <w:proofErr w:type="spellStart"/>
      <w:r w:rsidRPr="000E21C7">
        <w:rPr>
          <w:rFonts w:ascii="Calibri" w:hAnsi="Calibri" w:cs="Calibri"/>
          <w:lang w:val="en-US"/>
        </w:rPr>
        <w:t>Allprep</w:t>
      </w:r>
      <w:proofErr w:type="spellEnd"/>
      <w:r w:rsidRPr="000E21C7">
        <w:rPr>
          <w:rFonts w:ascii="Calibri" w:hAnsi="Calibri" w:cs="Calibri"/>
          <w:lang w:val="en-US"/>
        </w:rPr>
        <w:t xml:space="preserve"> Universal DNA/RNA/miRNA kit (Qiagen, Cat#80224) was used. Samples of ≤ 10 µL were fully utilized, whereas samples with larger volumes were aliquoted and 10 µL was used for (mi)RNA and DNA extraction. To </w:t>
      </w:r>
      <w:r w:rsidRPr="000E21C7">
        <w:rPr>
          <w:rFonts w:ascii="Calibri" w:hAnsi="Calibri" w:cs="Calibri"/>
          <w:lang w:val="en-US"/>
        </w:rPr>
        <w:lastRenderedPageBreak/>
        <w:t xml:space="preserve">denature RNases, a mix of 350 </w:t>
      </w:r>
      <w:r w:rsidR="00D604DE" w:rsidRPr="000E21C7">
        <w:rPr>
          <w:rFonts w:ascii="Calibri" w:hAnsi="Calibri" w:cs="Calibri"/>
          <w:lang w:val="en-US"/>
        </w:rPr>
        <w:t>µ</w:t>
      </w:r>
      <w:r w:rsidRPr="000E21C7">
        <w:rPr>
          <w:rFonts w:ascii="Calibri" w:hAnsi="Calibri" w:cs="Calibri"/>
          <w:lang w:val="en-US"/>
        </w:rPr>
        <w:t>L of ß-</w:t>
      </w:r>
      <w:proofErr w:type="spellStart"/>
      <w:r w:rsidRPr="000E21C7">
        <w:rPr>
          <w:rFonts w:ascii="Calibri" w:hAnsi="Calibri" w:cs="Calibri"/>
          <w:lang w:val="en-US"/>
        </w:rPr>
        <w:t>mercaptoethanol</w:t>
      </w:r>
      <w:proofErr w:type="spellEnd"/>
      <w:r w:rsidRPr="000E21C7">
        <w:rPr>
          <w:rFonts w:ascii="Calibri" w:hAnsi="Calibri" w:cs="Calibri"/>
          <w:lang w:val="en-US"/>
        </w:rPr>
        <w:t xml:space="preserve"> (14.3 M) and RLT (1:100) was added to each NAF sample.  After pulse-</w:t>
      </w:r>
      <w:proofErr w:type="spellStart"/>
      <w:r w:rsidRPr="000E21C7">
        <w:rPr>
          <w:rFonts w:ascii="Calibri" w:hAnsi="Calibri" w:cs="Calibri"/>
          <w:lang w:val="en-US"/>
        </w:rPr>
        <w:t>vortexing</w:t>
      </w:r>
      <w:proofErr w:type="spellEnd"/>
      <w:r w:rsidRPr="000E21C7">
        <w:rPr>
          <w:rFonts w:ascii="Calibri" w:hAnsi="Calibri" w:cs="Calibri"/>
          <w:lang w:val="en-US"/>
        </w:rPr>
        <w:t xml:space="preserve"> for 15 seconds, the entire NAF sample was transferred to an </w:t>
      </w:r>
      <w:proofErr w:type="spellStart"/>
      <w:r w:rsidRPr="000E21C7">
        <w:rPr>
          <w:rFonts w:ascii="Calibri" w:hAnsi="Calibri" w:cs="Calibri"/>
          <w:lang w:val="en-US"/>
        </w:rPr>
        <w:t>Allprep</w:t>
      </w:r>
      <w:proofErr w:type="spellEnd"/>
      <w:r w:rsidRPr="000E21C7">
        <w:rPr>
          <w:rFonts w:ascii="Calibri" w:hAnsi="Calibri" w:cs="Calibri"/>
          <w:lang w:val="en-US"/>
        </w:rPr>
        <w:t xml:space="preserve"> DNA mini column. Subsequently, the manufacturer’s protocol (version from November 2020) was followed (starting at step 9, page 52) with the following specifics: 50 µL of proteinase K; 200 and 400 µL of ethanol; 20 seconds centrifugation; elution of (mi)RNA in 30 µL of pre-heated RNase-free water and centrifugation for 2 min, 19800 RCF; elution of DNA in 50 µL pre-heated nuclease-free water and centrifugation for 2 min, 19800 RCF. After isolation, miRNA concentrations were measured using a Qubit 3.0 fluorometer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cat nr. Q33216) and the microRNA Assay kit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cat#Q32881). RNA was stored at -80°C and DNA was stored at -20°C. </w:t>
      </w:r>
    </w:p>
    <w:p w14:paraId="46E584BA" w14:textId="77777777" w:rsidR="000E21C7" w:rsidRPr="000E21C7" w:rsidRDefault="000E21C7" w:rsidP="000E21C7">
      <w:pPr>
        <w:pStyle w:val="Geenafstand"/>
        <w:jc w:val="both"/>
        <w:rPr>
          <w:rFonts w:ascii="Calibri" w:hAnsi="Calibri" w:cs="Calibri"/>
          <w:lang w:val="en-US"/>
        </w:rPr>
      </w:pPr>
    </w:p>
    <w:p w14:paraId="6E21AF81" w14:textId="77777777" w:rsidR="000E21C7" w:rsidRPr="000E21C7" w:rsidRDefault="000E21C7" w:rsidP="000E21C7">
      <w:pPr>
        <w:pStyle w:val="Geenafstand"/>
        <w:jc w:val="both"/>
        <w:rPr>
          <w:rFonts w:ascii="Calibri" w:hAnsi="Calibri" w:cs="Calibri"/>
          <w:u w:val="single"/>
          <w:lang w:val="en-US"/>
        </w:rPr>
      </w:pPr>
      <w:r w:rsidRPr="000E21C7">
        <w:rPr>
          <w:rFonts w:ascii="Calibri" w:hAnsi="Calibri" w:cs="Calibri"/>
          <w:u w:val="single"/>
          <w:lang w:val="en-US"/>
        </w:rPr>
        <w:t xml:space="preserve">Reverse transcription and pre-amplification </w:t>
      </w:r>
    </w:p>
    <w:p w14:paraId="1D56E333" w14:textId="620DF275" w:rsidR="000E21C7" w:rsidRPr="000E21C7" w:rsidRDefault="000E21C7" w:rsidP="000E21C7">
      <w:pPr>
        <w:pStyle w:val="Geenafstand"/>
        <w:jc w:val="both"/>
        <w:rPr>
          <w:rFonts w:ascii="Calibri" w:hAnsi="Calibri" w:cs="Calibri"/>
          <w:lang w:val="en-US"/>
        </w:rPr>
      </w:pPr>
      <w:r w:rsidRPr="000E21C7">
        <w:rPr>
          <w:rFonts w:ascii="Calibri" w:hAnsi="Calibri" w:cs="Calibri"/>
          <w:lang w:val="en-US"/>
        </w:rPr>
        <w:t xml:space="preserve">The </w:t>
      </w:r>
      <w:proofErr w:type="spellStart"/>
      <w:r w:rsidRPr="000E21C7">
        <w:rPr>
          <w:rFonts w:ascii="Calibri" w:hAnsi="Calibri" w:cs="Calibri"/>
          <w:lang w:val="en-US"/>
        </w:rPr>
        <w:t>Taqman</w:t>
      </w:r>
      <w:proofErr w:type="spellEnd"/>
      <w:r w:rsidRPr="000E21C7">
        <w:rPr>
          <w:rFonts w:ascii="Calibri" w:hAnsi="Calibri" w:cs="Calibri"/>
          <w:lang w:val="en-US"/>
        </w:rPr>
        <w:t xml:space="preserve"> Advanced miRNA cDNA Synthesis kit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cat#A28007) was used for cDNA synthesis following the manufacturer’s protocol, with 19 miR</w:t>
      </w:r>
      <w:r w:rsidR="008773E8">
        <w:rPr>
          <w:rFonts w:ascii="Calibri" w:hAnsi="Calibri" w:cs="Calibri"/>
          <w:lang w:val="en-US"/>
        </w:rPr>
        <w:t xml:space="preserve">NA </w:t>
      </w:r>
      <w:r w:rsidRPr="000E21C7">
        <w:rPr>
          <w:rFonts w:ascii="Calibri" w:hAnsi="Calibri" w:cs="Calibri"/>
          <w:lang w:val="en-US"/>
        </w:rPr>
        <w:t>amp</w:t>
      </w:r>
      <w:r w:rsidR="008773E8">
        <w:rPr>
          <w:rFonts w:ascii="Calibri" w:hAnsi="Calibri" w:cs="Calibri"/>
          <w:lang w:val="en-US"/>
        </w:rPr>
        <w:t>lification</w:t>
      </w:r>
      <w:r w:rsidRPr="000E21C7">
        <w:rPr>
          <w:rFonts w:ascii="Calibri" w:hAnsi="Calibri" w:cs="Calibri"/>
          <w:lang w:val="en-US"/>
        </w:rPr>
        <w:t xml:space="preserve"> reaction cycles. All incubation and amplification steps were performed in a </w:t>
      </w:r>
      <w:proofErr w:type="spellStart"/>
      <w:r w:rsidRPr="000E21C7">
        <w:rPr>
          <w:rFonts w:ascii="Calibri" w:hAnsi="Calibri" w:cs="Calibri"/>
          <w:lang w:val="en-US"/>
        </w:rPr>
        <w:t>Veriti</w:t>
      </w:r>
      <w:proofErr w:type="spellEnd"/>
      <w:r w:rsidRPr="000E21C7">
        <w:rPr>
          <w:rFonts w:ascii="Calibri" w:hAnsi="Calibri" w:cs="Calibri"/>
          <w:lang w:val="en-US"/>
        </w:rPr>
        <w:t xml:space="preserve"> Thermal cycler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Cat#4375305). Depending on the miRNA concentration, either 4 ng/µL, 2 ng/µL or undiluted product (&lt;2 ng/µL) was added to the reaction. Positive and negative controls were taken along, consisting of a (mi)RNA mix extracted from multiple breast cancer tissues and RNase free water (Qiagen), respectively. After pre-amplification, the product was diluted 1:10 in 0,1x Tris (no EDTA) buffer. This buffer was prepared by diluting Buffer EB (Qiagen; 10 mM Tris-Cl pH8.5) 10 times in nuclease-free water. The remainder of the reverse transcription reaction, the miRNA amplification reaction, and the diluted miRNA amplification reaction were separately stored at -20°C. </w:t>
      </w:r>
    </w:p>
    <w:p w14:paraId="2956CE68" w14:textId="77777777" w:rsidR="000E21C7" w:rsidRPr="000E21C7" w:rsidRDefault="000E21C7" w:rsidP="000E21C7">
      <w:pPr>
        <w:pStyle w:val="Geenafstand"/>
        <w:jc w:val="both"/>
        <w:rPr>
          <w:rFonts w:ascii="Calibri" w:hAnsi="Calibri" w:cs="Calibri"/>
          <w:lang w:val="en-US"/>
        </w:rPr>
      </w:pPr>
    </w:p>
    <w:p w14:paraId="02392C13" w14:textId="77777777" w:rsidR="000E21C7" w:rsidRPr="000E21C7" w:rsidRDefault="000E21C7" w:rsidP="000E21C7">
      <w:pPr>
        <w:pStyle w:val="Geenafstand"/>
        <w:jc w:val="both"/>
        <w:rPr>
          <w:rFonts w:ascii="Calibri" w:hAnsi="Calibri" w:cs="Calibri"/>
          <w:u w:val="single"/>
          <w:lang w:val="en-US"/>
        </w:rPr>
      </w:pPr>
      <w:r w:rsidRPr="000E21C7">
        <w:rPr>
          <w:rFonts w:ascii="Calibri" w:hAnsi="Calibri" w:cs="Calibri"/>
          <w:u w:val="single"/>
          <w:lang w:val="en-US"/>
        </w:rPr>
        <w:t xml:space="preserve">Quantitative PCR </w:t>
      </w:r>
    </w:p>
    <w:p w14:paraId="665C8288" w14:textId="38C1C020" w:rsidR="000E21C7" w:rsidRPr="000E21C7" w:rsidRDefault="000E21C7" w:rsidP="000E21C7">
      <w:pPr>
        <w:pStyle w:val="Geenafstand"/>
        <w:jc w:val="both"/>
        <w:rPr>
          <w:rFonts w:ascii="Calibri" w:hAnsi="Calibri" w:cs="Calibri"/>
          <w:lang w:val="en-US"/>
        </w:rPr>
      </w:pPr>
      <w:r w:rsidRPr="000E21C7">
        <w:rPr>
          <w:rFonts w:ascii="Calibri" w:hAnsi="Calibri" w:cs="Calibri"/>
          <w:lang w:val="en-US"/>
        </w:rPr>
        <w:t>To measure miRNA expression levels in NAF samples, a quantitative polymerase chain reaction (qPCR) was performed in custom pre-coated 384 well plates containing 23 TaqMan Advanced miRNA Assays in lyophilized</w:t>
      </w:r>
      <w:r w:rsidRPr="000E21C7" w:rsidDel="00016467">
        <w:rPr>
          <w:rFonts w:ascii="Calibri" w:hAnsi="Calibri" w:cs="Calibri"/>
          <w:lang w:val="en-US"/>
        </w:rPr>
        <w:t xml:space="preserve"> </w:t>
      </w:r>
      <w:r w:rsidRPr="000E21C7">
        <w:rPr>
          <w:rFonts w:ascii="Calibri" w:hAnsi="Calibri" w:cs="Calibri"/>
          <w:lang w:val="en-US"/>
        </w:rPr>
        <w:t>form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cat#4398985</w:t>
      </w:r>
      <w:r w:rsidR="00A46401">
        <w:rPr>
          <w:rFonts w:ascii="Calibri" w:hAnsi="Calibri" w:cs="Calibri"/>
          <w:lang w:val="en-US"/>
        </w:rPr>
        <w:t xml:space="preserve">, </w:t>
      </w:r>
      <w:r w:rsidRPr="000E21C7">
        <w:rPr>
          <w:rFonts w:ascii="Calibri" w:hAnsi="Calibri" w:cs="Calibri"/>
          <w:lang w:val="en-US"/>
        </w:rPr>
        <w:t xml:space="preserve">Table S1). The qPCR was performed as described by the manufacturer, with a few alterations. To avoid miRNA assay loss, the unopened 384 well plate was spun down for 3 min at 270 RCF before opening the lid. The total volume per well was 10 µL, consisting of 2.5 µL diluted miRNA amplification reaction product, 5 µL </w:t>
      </w:r>
      <w:proofErr w:type="spellStart"/>
      <w:r w:rsidRPr="000E21C7">
        <w:rPr>
          <w:rFonts w:ascii="Calibri" w:hAnsi="Calibri" w:cs="Calibri"/>
          <w:lang w:val="en-US"/>
        </w:rPr>
        <w:t>Taqman</w:t>
      </w:r>
      <w:proofErr w:type="spellEnd"/>
      <w:r w:rsidRPr="000E21C7">
        <w:rPr>
          <w:rFonts w:ascii="Calibri" w:hAnsi="Calibri" w:cs="Calibri"/>
          <w:lang w:val="en-US"/>
        </w:rPr>
        <w:t xml:space="preserve"> Fast Advanced </w:t>
      </w:r>
      <w:proofErr w:type="spellStart"/>
      <w:r w:rsidRPr="000E21C7">
        <w:rPr>
          <w:rFonts w:ascii="Calibri" w:hAnsi="Calibri" w:cs="Calibri"/>
          <w:lang w:val="en-US"/>
        </w:rPr>
        <w:t>Mastermix</w:t>
      </w:r>
      <w:proofErr w:type="spellEnd"/>
      <w:r w:rsidRPr="000E21C7">
        <w:rPr>
          <w:rFonts w:ascii="Calibri" w:hAnsi="Calibri" w:cs="Calibri"/>
          <w:lang w:val="en-US"/>
        </w:rPr>
        <w:t xml:space="preserve">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Cat#4444557), and 2.5 µL </w:t>
      </w:r>
      <w:proofErr w:type="spellStart"/>
      <w:r w:rsidRPr="000E21C7">
        <w:rPr>
          <w:rFonts w:ascii="Calibri" w:hAnsi="Calibri" w:cs="Calibri"/>
          <w:lang w:val="en-US"/>
        </w:rPr>
        <w:t>RNAase</w:t>
      </w:r>
      <w:proofErr w:type="spellEnd"/>
      <w:r w:rsidRPr="000E21C7">
        <w:rPr>
          <w:rFonts w:ascii="Calibri" w:hAnsi="Calibri" w:cs="Calibri"/>
          <w:lang w:val="en-US"/>
        </w:rPr>
        <w:t xml:space="preserve"> free water. One 384-well plate was used to process 8 samples, taken along in duplicate for every miRNA. An </w:t>
      </w:r>
      <w:proofErr w:type="spellStart"/>
      <w:r w:rsidRPr="000E21C7">
        <w:rPr>
          <w:rFonts w:ascii="Calibri" w:hAnsi="Calibri" w:cs="Calibri"/>
          <w:lang w:val="en-US"/>
        </w:rPr>
        <w:t>interplate</w:t>
      </w:r>
      <w:proofErr w:type="spellEnd"/>
      <w:r w:rsidRPr="000E21C7">
        <w:rPr>
          <w:rFonts w:ascii="Calibri" w:hAnsi="Calibri" w:cs="Calibri"/>
          <w:lang w:val="en-US"/>
        </w:rPr>
        <w:t xml:space="preserve"> control was also taken along in quadruplicate. One </w:t>
      </w:r>
      <w:proofErr w:type="spellStart"/>
      <w:r w:rsidRPr="000E21C7">
        <w:rPr>
          <w:rFonts w:ascii="Calibri" w:hAnsi="Calibri" w:cs="Calibri"/>
          <w:lang w:val="en-US"/>
        </w:rPr>
        <w:t>mastermix</w:t>
      </w:r>
      <w:proofErr w:type="spellEnd"/>
      <w:r w:rsidRPr="000E21C7">
        <w:rPr>
          <w:rFonts w:ascii="Calibri" w:hAnsi="Calibri" w:cs="Calibri"/>
          <w:lang w:val="en-US"/>
        </w:rPr>
        <w:t xml:space="preserve"> per sample was prepared, and 10 µL total volume was added to the 384 well reaction plate with a </w:t>
      </w:r>
      <w:proofErr w:type="spellStart"/>
      <w:r w:rsidRPr="000E21C7">
        <w:rPr>
          <w:rFonts w:ascii="Calibri" w:hAnsi="Calibri" w:cs="Calibri"/>
          <w:lang w:val="en-US"/>
        </w:rPr>
        <w:t>Multipette</w:t>
      </w:r>
      <w:proofErr w:type="spellEnd"/>
      <w:r w:rsidRPr="000E21C7">
        <w:rPr>
          <w:rFonts w:ascii="Calibri" w:hAnsi="Calibri" w:cs="Calibri"/>
          <w:lang w:val="en-US"/>
        </w:rPr>
        <w:t xml:space="preserve">® E3 electronic multi-dispenser pipette (Eppendorf, Hamburg, Germany). To ensure all miRNA assay product dissolved in the mix, the plate was set on a </w:t>
      </w:r>
      <w:proofErr w:type="spellStart"/>
      <w:r w:rsidRPr="000E21C7">
        <w:rPr>
          <w:rFonts w:ascii="Calibri" w:hAnsi="Calibri" w:cs="Calibri"/>
          <w:lang w:val="en-US"/>
        </w:rPr>
        <w:t>thermoshaker</w:t>
      </w:r>
      <w:proofErr w:type="spellEnd"/>
      <w:r w:rsidRPr="000E21C7">
        <w:rPr>
          <w:rFonts w:ascii="Calibri" w:hAnsi="Calibri" w:cs="Calibri"/>
          <w:lang w:val="en-US"/>
        </w:rPr>
        <w:t xml:space="preserve"> (Thermomixer comfort, Eppendorf) at 20°C at 700 rpm for 30 seconds. Moreover, an incubation step of 30 minutes at 4°C was added. The plate was spun down before and after the incubation step at 430 RCF, respectively. The qPCR reaction was performed with the </w:t>
      </w:r>
      <w:proofErr w:type="spellStart"/>
      <w:r w:rsidRPr="000E21C7">
        <w:rPr>
          <w:rFonts w:ascii="Calibri" w:hAnsi="Calibri" w:cs="Calibri"/>
          <w:lang w:val="en-US"/>
        </w:rPr>
        <w:t>ViiA</w:t>
      </w:r>
      <w:proofErr w:type="spellEnd"/>
      <w:r w:rsidRPr="000E21C7">
        <w:rPr>
          <w:rFonts w:ascii="Calibri" w:hAnsi="Calibri" w:cs="Calibri"/>
          <w:lang w:val="en-US"/>
        </w:rPr>
        <w:t xml:space="preserve"> 7 Real-Time PCR system (Life technologies,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The data was saved using the </w:t>
      </w:r>
      <w:proofErr w:type="spellStart"/>
      <w:r w:rsidRPr="000E21C7">
        <w:rPr>
          <w:rFonts w:ascii="Calibri" w:hAnsi="Calibri" w:cs="Calibri"/>
          <w:lang w:val="en-US"/>
        </w:rPr>
        <w:t>Vii</w:t>
      </w:r>
      <w:r w:rsidR="00A068B9">
        <w:rPr>
          <w:rFonts w:ascii="Calibri" w:hAnsi="Calibri" w:cs="Calibri"/>
          <w:lang w:val="en-US"/>
        </w:rPr>
        <w:t>A</w:t>
      </w:r>
      <w:r w:rsidRPr="000E21C7">
        <w:rPr>
          <w:rFonts w:ascii="Calibri" w:hAnsi="Calibri" w:cs="Calibri"/>
          <w:vertAlign w:val="superscript"/>
          <w:lang w:val="en-US"/>
        </w:rPr>
        <w:t>TM</w:t>
      </w:r>
      <w:proofErr w:type="spellEnd"/>
      <w:r w:rsidRPr="000E21C7">
        <w:rPr>
          <w:rFonts w:ascii="Calibri" w:hAnsi="Calibri" w:cs="Calibri"/>
          <w:lang w:val="en-US"/>
        </w:rPr>
        <w:t xml:space="preserve"> 7 Software (v.1.2.4) and transferred to the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w:t>
      </w:r>
      <w:proofErr w:type="spellStart"/>
      <w:r w:rsidRPr="000E21C7">
        <w:rPr>
          <w:rFonts w:ascii="Calibri" w:hAnsi="Calibri" w:cs="Calibri"/>
          <w:lang w:val="en-US"/>
        </w:rPr>
        <w:t>Connect</w:t>
      </w:r>
      <w:r w:rsidRPr="000E21C7">
        <w:rPr>
          <w:rFonts w:ascii="Calibri" w:hAnsi="Calibri" w:cs="Calibri"/>
          <w:vertAlign w:val="superscript"/>
          <w:lang w:val="en-US"/>
        </w:rPr>
        <w:t>TM</w:t>
      </w:r>
      <w:proofErr w:type="spellEnd"/>
      <w:r w:rsidRPr="000E21C7">
        <w:rPr>
          <w:rFonts w:ascii="Calibri" w:hAnsi="Calibri" w:cs="Calibri"/>
          <w:lang w:val="en-US"/>
        </w:rPr>
        <w:t xml:space="preserve"> system (</w:t>
      </w:r>
      <w:proofErr w:type="spellStart"/>
      <w:r w:rsidRPr="000E21C7">
        <w:rPr>
          <w:rFonts w:ascii="Calibri" w:hAnsi="Calibri" w:cs="Calibri"/>
          <w:lang w:val="en-US"/>
        </w:rPr>
        <w:t>Thermo</w:t>
      </w:r>
      <w:proofErr w:type="spellEnd"/>
      <w:r w:rsidRPr="000E21C7">
        <w:rPr>
          <w:rFonts w:ascii="Calibri" w:hAnsi="Calibri" w:cs="Calibri"/>
          <w:lang w:val="en-US"/>
        </w:rPr>
        <w:t xml:space="preserve"> Fisher Scientific Cloud).</w:t>
      </w:r>
    </w:p>
    <w:p w14:paraId="06088D01" w14:textId="77777777" w:rsidR="000E21C7" w:rsidRPr="000E21C7" w:rsidRDefault="000E21C7" w:rsidP="000E21C7">
      <w:pPr>
        <w:pStyle w:val="Geenafstand"/>
        <w:jc w:val="both"/>
        <w:rPr>
          <w:rFonts w:ascii="Calibri" w:hAnsi="Calibri" w:cs="Calibri"/>
          <w:lang w:val="en-US"/>
        </w:rPr>
      </w:pPr>
    </w:p>
    <w:p w14:paraId="11161192" w14:textId="59027385" w:rsidR="000E21C7" w:rsidRPr="000E21C7" w:rsidRDefault="00A43762" w:rsidP="000E21C7">
      <w:pPr>
        <w:pStyle w:val="Geenafstand"/>
        <w:jc w:val="both"/>
        <w:rPr>
          <w:rFonts w:ascii="Calibri" w:hAnsi="Calibri" w:cs="Calibri"/>
          <w:lang w:val="en-US"/>
        </w:rPr>
      </w:pPr>
      <w:r>
        <w:rPr>
          <w:rFonts w:ascii="Calibri" w:hAnsi="Calibri" w:cs="Calibri"/>
          <w:lang w:val="en-US"/>
        </w:rPr>
        <w:t>A s</w:t>
      </w:r>
      <w:r w:rsidR="000E21C7" w:rsidRPr="000E21C7">
        <w:rPr>
          <w:rFonts w:ascii="Calibri" w:hAnsi="Calibri" w:cs="Calibri"/>
          <w:lang w:val="en-US"/>
        </w:rPr>
        <w:t>pecific threshold, baseline minimum and maximum</w:t>
      </w:r>
      <w:r>
        <w:rPr>
          <w:rFonts w:ascii="Calibri" w:hAnsi="Calibri" w:cs="Calibri"/>
          <w:lang w:val="en-US"/>
        </w:rPr>
        <w:t xml:space="preserve"> was</w:t>
      </w:r>
      <w:r w:rsidR="000E21C7" w:rsidRPr="000E21C7">
        <w:rPr>
          <w:rFonts w:ascii="Calibri" w:hAnsi="Calibri" w:cs="Calibri"/>
          <w:lang w:val="en-US"/>
        </w:rPr>
        <w:t xml:space="preserve"> set for each miRNA, based on the average of all signal curves per miRNA (Table S2). Moreover, individual sample baselines were altered to reduce interference of background noise. These alterations were made in the </w:t>
      </w:r>
      <w:proofErr w:type="spellStart"/>
      <w:r w:rsidR="000E21C7" w:rsidRPr="000E21C7">
        <w:rPr>
          <w:rFonts w:ascii="Calibri" w:hAnsi="Calibri" w:cs="Calibri"/>
          <w:lang w:val="en-US"/>
        </w:rPr>
        <w:t>Thermo</w:t>
      </w:r>
      <w:proofErr w:type="spellEnd"/>
      <w:r w:rsidR="000E21C7" w:rsidRPr="000E21C7">
        <w:rPr>
          <w:rFonts w:ascii="Calibri" w:hAnsi="Calibri" w:cs="Calibri"/>
          <w:lang w:val="en-US"/>
        </w:rPr>
        <w:t xml:space="preserve"> Fisher Scientific </w:t>
      </w:r>
      <w:proofErr w:type="spellStart"/>
      <w:r w:rsidR="000E21C7" w:rsidRPr="000E21C7">
        <w:rPr>
          <w:rFonts w:ascii="Calibri" w:hAnsi="Calibri" w:cs="Calibri"/>
          <w:lang w:val="en-US"/>
        </w:rPr>
        <w:t>Connect</w:t>
      </w:r>
      <w:r w:rsidR="000E21C7" w:rsidRPr="000E21C7">
        <w:rPr>
          <w:rFonts w:ascii="Calibri" w:hAnsi="Calibri" w:cs="Calibri"/>
          <w:vertAlign w:val="superscript"/>
          <w:lang w:val="en-US"/>
        </w:rPr>
        <w:t>TM</w:t>
      </w:r>
      <w:proofErr w:type="spellEnd"/>
      <w:r w:rsidR="000E21C7" w:rsidRPr="000E21C7">
        <w:rPr>
          <w:rFonts w:ascii="Calibri" w:hAnsi="Calibri" w:cs="Calibri"/>
          <w:lang w:val="en-US"/>
        </w:rPr>
        <w:t xml:space="preserve"> system. </w:t>
      </w:r>
    </w:p>
    <w:p w14:paraId="16ACB5FB" w14:textId="77777777" w:rsidR="000E21C7" w:rsidRPr="000E21C7" w:rsidRDefault="000E21C7" w:rsidP="000E21C7">
      <w:pPr>
        <w:pStyle w:val="Geenafstand"/>
        <w:jc w:val="both"/>
        <w:rPr>
          <w:rFonts w:ascii="Calibri" w:hAnsi="Calibri" w:cs="Calibri"/>
          <w:lang w:val="en-US"/>
        </w:rPr>
      </w:pPr>
    </w:p>
    <w:p w14:paraId="7ACE0A8A" w14:textId="0378C749" w:rsidR="000E21C7" w:rsidRPr="000E21C7" w:rsidRDefault="000E21C7" w:rsidP="000E21C7">
      <w:pPr>
        <w:pStyle w:val="Geenafstand"/>
        <w:jc w:val="both"/>
        <w:rPr>
          <w:rFonts w:ascii="Calibri" w:hAnsi="Calibri" w:cs="Calibri"/>
          <w:lang w:val="en-US"/>
        </w:rPr>
      </w:pPr>
      <w:r w:rsidRPr="000E21C7">
        <w:rPr>
          <w:rFonts w:ascii="Calibri" w:hAnsi="Calibri" w:cs="Calibri"/>
          <w:lang w:val="en-US"/>
        </w:rPr>
        <w:t>Mean C</w:t>
      </w:r>
      <w:r w:rsidR="00544B25">
        <w:rPr>
          <w:rFonts w:ascii="Calibri" w:hAnsi="Calibri" w:cs="Calibri"/>
          <w:lang w:val="en-US"/>
        </w:rPr>
        <w:t>t</w:t>
      </w:r>
      <w:r w:rsidRPr="000E21C7">
        <w:rPr>
          <w:rFonts w:ascii="Calibri" w:hAnsi="Calibri" w:cs="Calibri"/>
          <w:lang w:val="en-US"/>
        </w:rPr>
        <w:t xml:space="preserve"> values were corrected for the endogenous control miR-99b-5p using the formula: ∆C</w:t>
      </w:r>
      <w:r w:rsidR="00544B25">
        <w:rPr>
          <w:rFonts w:ascii="Calibri" w:hAnsi="Calibri" w:cs="Calibri"/>
          <w:lang w:val="en-US"/>
        </w:rPr>
        <w:t>t</w:t>
      </w:r>
      <w:r w:rsidRPr="000E21C7">
        <w:rPr>
          <w:rFonts w:ascii="Calibri" w:hAnsi="Calibri" w:cs="Calibri"/>
          <w:lang w:val="en-US"/>
        </w:rPr>
        <w:t xml:space="preserve"> = Mean C</w:t>
      </w:r>
      <w:r w:rsidR="00544B25">
        <w:rPr>
          <w:rFonts w:ascii="Calibri" w:hAnsi="Calibri" w:cs="Calibri"/>
          <w:lang w:val="en-US"/>
        </w:rPr>
        <w:t>t</w:t>
      </w:r>
      <w:r w:rsidRPr="000E21C7">
        <w:rPr>
          <w:rFonts w:ascii="Calibri" w:hAnsi="Calibri" w:cs="Calibri"/>
          <w:lang w:val="en-US"/>
        </w:rPr>
        <w:t xml:space="preserve"> value target miRNA of sample X – Mean C</w:t>
      </w:r>
      <w:r w:rsidR="00544B25">
        <w:rPr>
          <w:rFonts w:ascii="Calibri" w:hAnsi="Calibri" w:cs="Calibri"/>
          <w:lang w:val="en-US"/>
        </w:rPr>
        <w:t>t</w:t>
      </w:r>
      <w:r w:rsidRPr="000E21C7">
        <w:rPr>
          <w:rFonts w:ascii="Calibri" w:hAnsi="Calibri" w:cs="Calibri"/>
          <w:lang w:val="en-US"/>
        </w:rPr>
        <w:t xml:space="preserve"> value endogenous control of sample X. The ∆C</w:t>
      </w:r>
      <w:r w:rsidR="00544B25">
        <w:rPr>
          <w:rFonts w:ascii="Calibri" w:hAnsi="Calibri" w:cs="Calibri"/>
          <w:lang w:val="en-US"/>
        </w:rPr>
        <w:t>t</w:t>
      </w:r>
      <w:r w:rsidRPr="000E21C7">
        <w:rPr>
          <w:rFonts w:ascii="Calibri" w:hAnsi="Calibri" w:cs="Calibri"/>
          <w:lang w:val="en-US"/>
        </w:rPr>
        <w:t xml:space="preserve"> was used for further statistical analysis. </w:t>
      </w:r>
    </w:p>
    <w:p w14:paraId="4D773E5A" w14:textId="77777777" w:rsidR="000E21C7" w:rsidRDefault="000E21C7" w:rsidP="000E21C7">
      <w:pPr>
        <w:pStyle w:val="Geenafstand"/>
        <w:jc w:val="both"/>
        <w:rPr>
          <w:rFonts w:ascii="Calibri" w:hAnsi="Calibri" w:cs="Calibri"/>
          <w:lang w:val="en-US"/>
        </w:rPr>
      </w:pPr>
    </w:p>
    <w:p w14:paraId="17E911EF" w14:textId="77777777" w:rsidR="003718BD" w:rsidRDefault="003718BD" w:rsidP="000E21C7">
      <w:pPr>
        <w:pStyle w:val="Geenafstand"/>
        <w:jc w:val="both"/>
        <w:rPr>
          <w:rFonts w:ascii="Calibri" w:hAnsi="Calibri" w:cs="Calibri"/>
          <w:lang w:val="en-US"/>
        </w:rPr>
      </w:pPr>
    </w:p>
    <w:p w14:paraId="377C75E5" w14:textId="77777777" w:rsidR="003718BD" w:rsidRPr="000E21C7" w:rsidRDefault="003718BD" w:rsidP="000E21C7">
      <w:pPr>
        <w:pStyle w:val="Geenafstand"/>
        <w:jc w:val="both"/>
        <w:rPr>
          <w:rFonts w:ascii="Calibri" w:hAnsi="Calibri" w:cs="Calibri"/>
          <w:lang w:val="en-US"/>
        </w:rPr>
      </w:pPr>
    </w:p>
    <w:p w14:paraId="729FE406" w14:textId="77777777" w:rsidR="000E21C7" w:rsidRPr="000E21C7" w:rsidRDefault="000E21C7" w:rsidP="000E21C7">
      <w:pPr>
        <w:pStyle w:val="Geenafstand"/>
        <w:jc w:val="both"/>
        <w:rPr>
          <w:rFonts w:ascii="Calibri" w:hAnsi="Calibri" w:cs="Calibri"/>
          <w:u w:val="single"/>
          <w:lang w:val="en-US"/>
        </w:rPr>
      </w:pPr>
      <w:r w:rsidRPr="000E21C7">
        <w:rPr>
          <w:rFonts w:ascii="Calibri" w:hAnsi="Calibri" w:cs="Calibri"/>
          <w:u w:val="single"/>
          <w:lang w:val="en-US"/>
        </w:rPr>
        <w:lastRenderedPageBreak/>
        <w:t xml:space="preserve">Statistical analysis </w:t>
      </w:r>
    </w:p>
    <w:p w14:paraId="191F82A0" w14:textId="08816499" w:rsidR="004B0D0B" w:rsidRPr="000E21C7" w:rsidRDefault="000E21C7" w:rsidP="004B0D0B">
      <w:pPr>
        <w:pStyle w:val="Geenafstand"/>
        <w:jc w:val="both"/>
        <w:rPr>
          <w:rFonts w:ascii="Calibri" w:hAnsi="Calibri" w:cs="Calibri"/>
          <w:lang w:val="en-US"/>
        </w:rPr>
      </w:pPr>
      <w:r w:rsidRPr="000E21C7">
        <w:rPr>
          <w:rFonts w:ascii="Calibri" w:hAnsi="Calibri" w:cs="Calibri"/>
          <w:lang w:val="en-US"/>
        </w:rPr>
        <w:t>R</w:t>
      </w:r>
      <w:r w:rsidR="00731A94">
        <w:rPr>
          <w:rFonts w:ascii="Calibri" w:hAnsi="Calibri" w:cs="Calibri"/>
          <w:lang w:val="en-US"/>
        </w:rPr>
        <w:t xml:space="preserve"> </w:t>
      </w:r>
      <w:r w:rsidRPr="000E21C7">
        <w:rPr>
          <w:rFonts w:ascii="Calibri" w:hAnsi="Calibri" w:cs="Calibri"/>
          <w:lang w:val="en-US"/>
        </w:rPr>
        <w:t xml:space="preserve">version 4.3.2 was used for the statistical analysis, with the following packages: </w:t>
      </w:r>
      <w:proofErr w:type="spellStart"/>
      <w:r w:rsidR="003B0F4C" w:rsidRPr="00C75916">
        <w:rPr>
          <w:rFonts w:ascii="Calibri" w:hAnsi="Calibri" w:cs="Calibri"/>
          <w:lang w:val="en-US"/>
        </w:rPr>
        <w:t>glmnet</w:t>
      </w:r>
      <w:proofErr w:type="spellEnd"/>
      <w:r w:rsidR="003B0F4C">
        <w:rPr>
          <w:rFonts w:ascii="Calibri" w:hAnsi="Calibri" w:cs="Calibri"/>
          <w:lang w:val="en-US"/>
        </w:rPr>
        <w:t xml:space="preserve"> (version 4.1-8)</w:t>
      </w:r>
      <w:r w:rsidR="003B0F4C" w:rsidRPr="00C75916">
        <w:rPr>
          <w:rFonts w:ascii="Calibri" w:hAnsi="Calibri" w:cs="Calibri"/>
          <w:lang w:val="en-US"/>
        </w:rPr>
        <w:t>, MASS</w:t>
      </w:r>
      <w:r w:rsidR="003B0F4C">
        <w:rPr>
          <w:rFonts w:ascii="Calibri" w:hAnsi="Calibri" w:cs="Calibri"/>
          <w:lang w:val="en-US"/>
        </w:rPr>
        <w:t xml:space="preserve"> (version 7.3-60), penalized (version 0.9-52), and survival (version 3.7-0)</w:t>
      </w:r>
      <w:r w:rsidRPr="000E21C7">
        <w:rPr>
          <w:rFonts w:ascii="Calibri" w:hAnsi="Calibri" w:cs="Calibri"/>
          <w:lang w:val="en-US"/>
        </w:rPr>
        <w:t>. Linear regression was used to determine the difference in miRNA expression (dependent variable) between breast cancer patients and healthy controls (independent variable, together with cloudiness and RNA input), where the estimated coefficients were used to calculate fold changes</w:t>
      </w:r>
      <w:r w:rsidR="00675655">
        <w:rPr>
          <w:rFonts w:ascii="Calibri" w:hAnsi="Calibri" w:cs="Calibri"/>
          <w:lang w:val="en-US"/>
        </w:rPr>
        <w:t xml:space="preserve"> (</w:t>
      </w:r>
      <w:r w:rsidR="00010E96">
        <w:rPr>
          <w:rFonts w:ascii="Calibri" w:hAnsi="Calibri" w:cs="Calibri"/>
          <w:lang w:val="en-US"/>
        </w:rPr>
        <w:t>FC = 2</w:t>
      </w:r>
      <w:r w:rsidR="00010E96">
        <w:rPr>
          <w:rFonts w:ascii="Calibri" w:hAnsi="Calibri" w:cs="Calibri"/>
          <w:vertAlign w:val="superscript"/>
          <w:lang w:val="en-US"/>
        </w:rPr>
        <w:t>-coefficient</w:t>
      </w:r>
      <w:r w:rsidR="00010E96">
        <w:rPr>
          <w:rFonts w:ascii="Calibri" w:hAnsi="Calibri" w:cs="Calibri"/>
          <w:lang w:val="en-US"/>
        </w:rPr>
        <w:t>)</w:t>
      </w:r>
      <w:r w:rsidRPr="000E21C7">
        <w:rPr>
          <w:rFonts w:ascii="Calibri" w:hAnsi="Calibri" w:cs="Calibri"/>
          <w:lang w:val="en-US"/>
        </w:rPr>
        <w:t xml:space="preserve">. </w:t>
      </w:r>
      <w:r w:rsidR="009B5087" w:rsidRPr="009B5087">
        <w:rPr>
          <w:rFonts w:ascii="Calibri" w:hAnsi="Calibri" w:cs="Calibri"/>
          <w:lang w:val="en-US"/>
        </w:rPr>
        <w:t>Logistic regression was used to calculate adjusted odds ratios (OR</w:t>
      </w:r>
      <w:r w:rsidR="00930A3F">
        <w:rPr>
          <w:rFonts w:ascii="Calibri" w:hAnsi="Calibri" w:cs="Calibri"/>
          <w:lang w:val="en-US"/>
        </w:rPr>
        <w:t>s</w:t>
      </w:r>
      <w:r w:rsidR="009B5087" w:rsidRPr="009B5087">
        <w:rPr>
          <w:rFonts w:ascii="Calibri" w:hAnsi="Calibri" w:cs="Calibri"/>
          <w:lang w:val="en-US"/>
        </w:rPr>
        <w:t>) for individual miRNAs</w:t>
      </w:r>
      <w:r w:rsidR="009A4056">
        <w:rPr>
          <w:rFonts w:ascii="Calibri" w:hAnsi="Calibri" w:cs="Calibri"/>
          <w:lang w:val="en-US"/>
        </w:rPr>
        <w:t xml:space="preserve"> (</w:t>
      </w:r>
      <w:r w:rsidR="009A4056" w:rsidRPr="000E21C7">
        <w:rPr>
          <w:rFonts w:ascii="Calibri" w:hAnsi="Calibri" w:cs="Calibri"/>
          <w:lang w:val="en-US"/>
        </w:rPr>
        <w:t>added together with cloudiness and RNA input to the model)</w:t>
      </w:r>
      <w:r w:rsidR="009B5087" w:rsidRPr="009B5087">
        <w:rPr>
          <w:rFonts w:ascii="Calibri" w:hAnsi="Calibri" w:cs="Calibri"/>
          <w:lang w:val="en-US"/>
        </w:rPr>
        <w:t>, with breast cancer status as the outcome variable.</w:t>
      </w:r>
      <w:r w:rsidR="00CE61D2">
        <w:rPr>
          <w:rFonts w:ascii="Calibri" w:hAnsi="Calibri" w:cs="Calibri"/>
          <w:lang w:val="en-US"/>
        </w:rPr>
        <w:t xml:space="preserve"> </w:t>
      </w:r>
      <w:r w:rsidR="00791E00">
        <w:rPr>
          <w:rFonts w:ascii="Calibri" w:hAnsi="Calibri" w:cs="Calibri"/>
          <w:lang w:val="en-US"/>
        </w:rPr>
        <w:t>OR</w:t>
      </w:r>
      <w:r w:rsidR="003B6443">
        <w:rPr>
          <w:rFonts w:ascii="Calibri" w:hAnsi="Calibri" w:cs="Calibri"/>
          <w:lang w:val="en-US"/>
        </w:rPr>
        <w:t xml:space="preserve">s were calculated by exponentiating the estimated regression coefficient and then inverting the result (1/OR) to reflect the association per one-unit decrease in </w:t>
      </w:r>
      <w:r w:rsidR="007D03DE" w:rsidRPr="000E21C7">
        <w:rPr>
          <w:rFonts w:ascii="Calibri" w:hAnsi="Calibri" w:cs="Calibri"/>
          <w:lang w:val="en-US"/>
        </w:rPr>
        <w:t>∆</w:t>
      </w:r>
      <w:r w:rsidR="003B6443">
        <w:rPr>
          <w:rFonts w:ascii="Calibri" w:hAnsi="Calibri" w:cs="Calibri"/>
          <w:lang w:val="en-US"/>
        </w:rPr>
        <w:t xml:space="preserve">Ct value, which corresponds to </w:t>
      </w:r>
      <w:r w:rsidR="006557A9">
        <w:rPr>
          <w:rFonts w:ascii="Calibri" w:hAnsi="Calibri" w:cs="Calibri"/>
          <w:lang w:val="en-US"/>
        </w:rPr>
        <w:t xml:space="preserve">increased miRNA expression. </w:t>
      </w:r>
      <w:proofErr w:type="spellStart"/>
      <w:r w:rsidRPr="000E21C7">
        <w:rPr>
          <w:rFonts w:ascii="Calibri" w:hAnsi="Calibri" w:cs="Calibri"/>
          <w:lang w:val="en-US"/>
        </w:rPr>
        <w:t>Graphpad</w:t>
      </w:r>
      <w:proofErr w:type="spellEnd"/>
      <w:r w:rsidRPr="000E21C7">
        <w:rPr>
          <w:rFonts w:ascii="Calibri" w:hAnsi="Calibri" w:cs="Calibri"/>
          <w:lang w:val="en-US"/>
        </w:rPr>
        <w:t xml:space="preserve"> Prism version 10 </w:t>
      </w:r>
      <w:r w:rsidR="003E7595">
        <w:rPr>
          <w:lang w:val="en-US"/>
        </w:rPr>
        <w:t>(</w:t>
      </w:r>
      <w:r w:rsidR="003E7595" w:rsidRPr="000D3847">
        <w:rPr>
          <w:lang w:val="en-US"/>
        </w:rPr>
        <w:t>RRID:SCR_002798</w:t>
      </w:r>
      <w:r w:rsidR="003E7595">
        <w:rPr>
          <w:lang w:val="en-US"/>
        </w:rPr>
        <w:t xml:space="preserve">) </w:t>
      </w:r>
      <w:r w:rsidRPr="000E21C7">
        <w:rPr>
          <w:rFonts w:ascii="Calibri" w:hAnsi="Calibri" w:cs="Calibri"/>
          <w:lang w:val="en-US"/>
        </w:rPr>
        <w:t>was used to plot the fold changes and OR</w:t>
      </w:r>
      <w:r w:rsidR="00955001">
        <w:rPr>
          <w:rFonts w:ascii="Calibri" w:hAnsi="Calibri" w:cs="Calibri"/>
          <w:lang w:val="en-US"/>
        </w:rPr>
        <w:t>s</w:t>
      </w:r>
      <w:r w:rsidRPr="000E21C7">
        <w:rPr>
          <w:rFonts w:ascii="Calibri" w:hAnsi="Calibri" w:cs="Calibri"/>
          <w:lang w:val="en-US"/>
        </w:rPr>
        <w:t>. For the following analysis</w:t>
      </w:r>
      <w:r w:rsidR="004A5050">
        <w:rPr>
          <w:rFonts w:ascii="Calibri" w:hAnsi="Calibri" w:cs="Calibri"/>
          <w:lang w:val="en-US"/>
        </w:rPr>
        <w:t>,</w:t>
      </w:r>
      <w:r w:rsidRPr="000E21C7">
        <w:rPr>
          <w:rFonts w:ascii="Calibri" w:hAnsi="Calibri" w:cs="Calibri"/>
          <w:lang w:val="en-US"/>
        </w:rPr>
        <w:t xml:space="preserve"> </w:t>
      </w:r>
      <w:r w:rsidR="00E375D6" w:rsidRPr="000E21C7">
        <w:rPr>
          <w:rFonts w:ascii="Calibri" w:hAnsi="Calibri" w:cs="Calibri"/>
          <w:lang w:val="en-US"/>
        </w:rPr>
        <w:t>miRNA ∆C</w:t>
      </w:r>
      <w:r w:rsidR="00E375D6">
        <w:rPr>
          <w:rFonts w:ascii="Calibri" w:hAnsi="Calibri" w:cs="Calibri"/>
          <w:lang w:val="en-US"/>
        </w:rPr>
        <w:t>t</w:t>
      </w:r>
      <w:r w:rsidR="00E375D6" w:rsidRPr="000E21C7">
        <w:rPr>
          <w:rFonts w:ascii="Calibri" w:hAnsi="Calibri" w:cs="Calibri"/>
          <w:lang w:val="en-US"/>
        </w:rPr>
        <w:t xml:space="preserve"> values </w:t>
      </w:r>
      <w:r w:rsidR="00E375D6">
        <w:rPr>
          <w:rFonts w:ascii="Calibri" w:hAnsi="Calibri" w:cs="Calibri"/>
          <w:lang w:val="en-US"/>
        </w:rPr>
        <w:t xml:space="preserve">were corrected </w:t>
      </w:r>
      <w:r w:rsidRPr="000E21C7">
        <w:rPr>
          <w:rFonts w:ascii="Calibri" w:hAnsi="Calibri" w:cs="Calibri"/>
          <w:lang w:val="en-US"/>
        </w:rPr>
        <w:t>for NAF cloudiness and RNA input, using the residuals of a linear regression</w:t>
      </w:r>
      <w:r w:rsidR="004A5050">
        <w:rPr>
          <w:rFonts w:ascii="Calibri" w:hAnsi="Calibri" w:cs="Calibri"/>
          <w:lang w:val="en-US"/>
        </w:rPr>
        <w:t xml:space="preserve">, and </w:t>
      </w:r>
      <w:r w:rsidR="00E375D6">
        <w:rPr>
          <w:rFonts w:ascii="Calibri" w:hAnsi="Calibri" w:cs="Calibri"/>
          <w:lang w:val="en-US"/>
        </w:rPr>
        <w:t xml:space="preserve">these values </w:t>
      </w:r>
      <w:r w:rsidR="004A5050" w:rsidRPr="000E21C7">
        <w:rPr>
          <w:rFonts w:ascii="Calibri" w:hAnsi="Calibri" w:cs="Calibri"/>
          <w:lang w:val="en-US"/>
        </w:rPr>
        <w:t>were normalized by Box-Cox transformation</w:t>
      </w:r>
      <w:r w:rsidRPr="000E21C7">
        <w:rPr>
          <w:rFonts w:ascii="Calibri" w:hAnsi="Calibri" w:cs="Calibri"/>
          <w:lang w:val="en-US"/>
        </w:rPr>
        <w:t xml:space="preserve">. To determine differences in miRNA expression between groups, a two-sided t-test or ANOVA with post-hoc Tukey HSD test was performed (for 2 or &gt;2 groups, respectively) for normally distributed variables, while Mann-Whitney U or Kruskal-Wallis tests were used for non-normally distributed variables (Variables are described in table S6). Pearson or Spearman correlation (depending on distribution of variable) was used to determine the strength and direction of the linear relationship between miRNA expression and other continuous variables. A Bonferroni Holm correction for multiple comparison was applied. </w:t>
      </w:r>
      <w:r w:rsidR="004B0D0B" w:rsidRPr="00253EF4">
        <w:rPr>
          <w:rFonts w:ascii="Calibri" w:hAnsi="Calibri" w:cs="Calibri"/>
          <w:lang w:val="en-US"/>
        </w:rPr>
        <w:t>Hormonal factors, including menopause, contraception use and hormone replacement therapy (HRT) use, were questioned in the cohort, but will be analyzed separately.</w:t>
      </w:r>
    </w:p>
    <w:p w14:paraId="479EFD1F" w14:textId="77777777" w:rsidR="00A35A8A" w:rsidRDefault="00A35A8A" w:rsidP="00123B79">
      <w:pPr>
        <w:pStyle w:val="Geenafstand"/>
        <w:jc w:val="both"/>
        <w:rPr>
          <w:rFonts w:ascii="Calibri" w:hAnsi="Calibri" w:cs="Calibri"/>
          <w:lang w:val="en-US"/>
        </w:rPr>
      </w:pPr>
    </w:p>
    <w:p w14:paraId="3F0A4DCF" w14:textId="12A116B3" w:rsidR="00123B79" w:rsidRPr="000E21C7" w:rsidRDefault="00A71331" w:rsidP="00123B79">
      <w:pPr>
        <w:pStyle w:val="Geenafstand"/>
        <w:jc w:val="both"/>
        <w:rPr>
          <w:rFonts w:ascii="Calibri" w:hAnsi="Calibri" w:cs="Calibri"/>
          <w:lang w:val="en-US"/>
        </w:rPr>
      </w:pPr>
      <w:r>
        <w:rPr>
          <w:rFonts w:ascii="Calibri" w:hAnsi="Calibri" w:cs="Calibri"/>
          <w:lang w:val="en-US"/>
        </w:rPr>
        <w:t>To discriminate between breast cancer patients and healthy controls, a logistic regression model w</w:t>
      </w:r>
      <w:r w:rsidR="008B0024">
        <w:rPr>
          <w:rFonts w:ascii="Calibri" w:hAnsi="Calibri" w:cs="Calibri"/>
          <w:lang w:val="en-US"/>
        </w:rPr>
        <w:t xml:space="preserve">as developed based on the </w:t>
      </w:r>
      <w:r w:rsidR="00B454CD">
        <w:rPr>
          <w:rFonts w:ascii="Calibri" w:hAnsi="Calibri" w:cs="Calibri"/>
          <w:lang w:val="en-US"/>
        </w:rPr>
        <w:t>20</w:t>
      </w:r>
      <w:r w:rsidR="008B0024">
        <w:rPr>
          <w:rFonts w:ascii="Calibri" w:hAnsi="Calibri" w:cs="Calibri"/>
          <w:lang w:val="en-US"/>
        </w:rPr>
        <w:t>-miRNA p</w:t>
      </w:r>
      <w:r w:rsidR="00CD2C66">
        <w:rPr>
          <w:rFonts w:ascii="Calibri" w:hAnsi="Calibri" w:cs="Calibri"/>
          <w:lang w:val="en-US"/>
        </w:rPr>
        <w:t>a</w:t>
      </w:r>
      <w:r w:rsidR="008B0024">
        <w:rPr>
          <w:rFonts w:ascii="Calibri" w:hAnsi="Calibri" w:cs="Calibri"/>
          <w:lang w:val="en-US"/>
        </w:rPr>
        <w:t>n</w:t>
      </w:r>
      <w:r w:rsidR="00CD2C66">
        <w:rPr>
          <w:rFonts w:ascii="Calibri" w:hAnsi="Calibri" w:cs="Calibri"/>
          <w:lang w:val="en-US"/>
        </w:rPr>
        <w:t>e</w:t>
      </w:r>
      <w:r w:rsidR="008B0024">
        <w:rPr>
          <w:rFonts w:ascii="Calibri" w:hAnsi="Calibri" w:cs="Calibri"/>
          <w:lang w:val="en-US"/>
        </w:rPr>
        <w:t xml:space="preserve">l (and age). Model parameters were estimated </w:t>
      </w:r>
      <w:r w:rsidR="00C44708">
        <w:rPr>
          <w:rFonts w:ascii="Calibri" w:hAnsi="Calibri" w:cs="Calibri"/>
          <w:lang w:val="en-US"/>
        </w:rPr>
        <w:t>using LASSO</w:t>
      </w:r>
      <w:r w:rsidR="007D056E">
        <w:rPr>
          <w:rFonts w:ascii="Calibri" w:hAnsi="Calibri" w:cs="Calibri"/>
          <w:lang w:val="en-US"/>
        </w:rPr>
        <w:t xml:space="preserve">, with </w:t>
      </w:r>
      <w:r w:rsidR="0014156F">
        <w:rPr>
          <w:rFonts w:ascii="Calibri" w:hAnsi="Calibri" w:cs="Calibri"/>
          <w:lang w:val="en-US"/>
        </w:rPr>
        <w:t>optimal penalty parameter selection through 10-fold cross-validation</w:t>
      </w:r>
      <w:r w:rsidR="00CB64B9">
        <w:rPr>
          <w:rFonts w:ascii="Calibri" w:hAnsi="Calibri" w:cs="Calibri"/>
          <w:lang w:val="en-US"/>
        </w:rPr>
        <w:t>,</w:t>
      </w:r>
      <w:r w:rsidR="00B039C7">
        <w:rPr>
          <w:lang w:val="en-US"/>
        </w:rPr>
        <w:t xml:space="preserve"> </w:t>
      </w:r>
      <w:r w:rsidR="00B039C7" w:rsidRPr="00B039C7">
        <w:rPr>
          <w:rFonts w:ascii="Calibri" w:hAnsi="Calibri" w:cs="Calibri"/>
          <w:lang w:val="en-US"/>
        </w:rPr>
        <w:t>using the area under the ROC curve (AUC) as the performance metric</w:t>
      </w:r>
      <w:r w:rsidR="0014156F">
        <w:rPr>
          <w:rFonts w:ascii="Calibri" w:hAnsi="Calibri" w:cs="Calibri"/>
          <w:lang w:val="en-US"/>
        </w:rPr>
        <w:t xml:space="preserve">. </w:t>
      </w:r>
      <w:r w:rsidR="00FE4495">
        <w:rPr>
          <w:rFonts w:ascii="Calibri" w:hAnsi="Calibri" w:cs="Calibri"/>
          <w:lang w:val="en-US"/>
        </w:rPr>
        <w:t>LASSO</w:t>
      </w:r>
      <w:r w:rsidR="00652818">
        <w:rPr>
          <w:rFonts w:ascii="Calibri" w:hAnsi="Calibri" w:cs="Calibri"/>
          <w:lang w:val="en-US"/>
        </w:rPr>
        <w:t xml:space="preserve"> was selected to reduce the </w:t>
      </w:r>
      <w:r w:rsidR="00F62A5A">
        <w:rPr>
          <w:rFonts w:ascii="Calibri" w:hAnsi="Calibri" w:cs="Calibri"/>
          <w:lang w:val="en-US"/>
        </w:rPr>
        <w:t>model complexity</w:t>
      </w:r>
      <w:r w:rsidR="008065E3">
        <w:rPr>
          <w:rFonts w:ascii="Calibri" w:hAnsi="Calibri" w:cs="Calibri"/>
          <w:lang w:val="en-US"/>
        </w:rPr>
        <w:t xml:space="preserve"> and minimize the risk </w:t>
      </w:r>
      <w:r w:rsidR="00F62A5A">
        <w:rPr>
          <w:rFonts w:ascii="Calibri" w:hAnsi="Calibri" w:cs="Calibri"/>
          <w:lang w:val="en-US"/>
        </w:rPr>
        <w:t>of overfitting.</w:t>
      </w:r>
      <w:r w:rsidR="008C027B">
        <w:rPr>
          <w:rFonts w:ascii="Calibri" w:hAnsi="Calibri" w:cs="Calibri"/>
          <w:lang w:val="en-US"/>
        </w:rPr>
        <w:t xml:space="preserve"> </w:t>
      </w:r>
      <w:r w:rsidR="00875CEE">
        <w:rPr>
          <w:rFonts w:ascii="Calibri" w:hAnsi="Calibri" w:cs="Calibri"/>
          <w:lang w:val="en-US"/>
        </w:rPr>
        <w:t xml:space="preserve">Prior to model fitting, </w:t>
      </w:r>
      <w:r w:rsidR="004A5050" w:rsidRPr="000E21C7">
        <w:rPr>
          <w:rFonts w:ascii="Calibri" w:hAnsi="Calibri" w:cs="Calibri"/>
          <w:lang w:val="en-US"/>
        </w:rPr>
        <w:t>a correction for NAF cloudiness and RNA input</w:t>
      </w:r>
      <w:r w:rsidR="004A5050">
        <w:rPr>
          <w:rFonts w:ascii="Calibri" w:hAnsi="Calibri" w:cs="Calibri"/>
          <w:lang w:val="en-US"/>
        </w:rPr>
        <w:t xml:space="preserve"> was applied</w:t>
      </w:r>
      <w:r w:rsidR="004A5050" w:rsidRPr="000E21C7">
        <w:rPr>
          <w:rFonts w:ascii="Calibri" w:hAnsi="Calibri" w:cs="Calibri"/>
          <w:lang w:val="en-US"/>
        </w:rPr>
        <w:t>, using the residuals of a linear regression</w:t>
      </w:r>
      <w:r w:rsidR="00A838A9">
        <w:rPr>
          <w:rFonts w:ascii="Calibri" w:hAnsi="Calibri" w:cs="Calibri"/>
          <w:lang w:val="en-US"/>
        </w:rPr>
        <w:t xml:space="preserve">, and </w:t>
      </w:r>
      <w:r w:rsidR="00875CEE">
        <w:rPr>
          <w:rFonts w:ascii="Calibri" w:hAnsi="Calibri" w:cs="Calibri"/>
          <w:lang w:val="en-US"/>
        </w:rPr>
        <w:t xml:space="preserve">miRNA expression levels were normalized using </w:t>
      </w:r>
      <w:r w:rsidR="00C235D7">
        <w:rPr>
          <w:rFonts w:ascii="Calibri" w:hAnsi="Calibri" w:cs="Calibri"/>
          <w:lang w:val="en-US"/>
        </w:rPr>
        <w:t>Box-Cox transformation</w:t>
      </w:r>
      <w:r w:rsidR="00FF64BB">
        <w:rPr>
          <w:rFonts w:ascii="Calibri" w:hAnsi="Calibri" w:cs="Calibri"/>
          <w:lang w:val="en-US"/>
        </w:rPr>
        <w:t xml:space="preserve">. </w:t>
      </w:r>
      <w:r w:rsidR="00994AB0">
        <w:rPr>
          <w:rFonts w:ascii="Calibri" w:hAnsi="Calibri" w:cs="Calibri"/>
          <w:lang w:val="en-US"/>
        </w:rPr>
        <w:t xml:space="preserve">The affected side of the breast cancer patients were compared with a randomly chosen side of the healthy controls. </w:t>
      </w:r>
      <w:r w:rsidR="003B117E" w:rsidRPr="000E21C7">
        <w:rPr>
          <w:rFonts w:ascii="Calibri" w:hAnsi="Calibri" w:cs="Calibri"/>
          <w:lang w:val="en-US"/>
        </w:rPr>
        <w:t>A princi</w:t>
      </w:r>
      <w:r w:rsidR="003B117E">
        <w:rPr>
          <w:rFonts w:ascii="Calibri" w:hAnsi="Calibri" w:cs="Calibri"/>
          <w:lang w:val="en-US"/>
        </w:rPr>
        <w:t>pal</w:t>
      </w:r>
      <w:r w:rsidR="003B117E" w:rsidRPr="000E21C7">
        <w:rPr>
          <w:rFonts w:ascii="Calibri" w:hAnsi="Calibri" w:cs="Calibri"/>
          <w:lang w:val="en-US"/>
        </w:rPr>
        <w:t xml:space="preserve"> component analysis (PCA) was implemented in a second model to reduce the dimensions of the miRNA variables.</w:t>
      </w:r>
      <w:r w:rsidR="003B117E">
        <w:rPr>
          <w:rFonts w:ascii="Calibri" w:hAnsi="Calibri" w:cs="Calibri"/>
          <w:lang w:val="en-US"/>
        </w:rPr>
        <w:t xml:space="preserve"> </w:t>
      </w:r>
      <w:r w:rsidR="004E0683">
        <w:rPr>
          <w:rFonts w:ascii="Calibri" w:hAnsi="Calibri" w:cs="Calibri"/>
          <w:lang w:val="en-US"/>
        </w:rPr>
        <w:t xml:space="preserve">An </w:t>
      </w:r>
      <w:r w:rsidR="00660B1B">
        <w:rPr>
          <w:rFonts w:ascii="Calibri" w:hAnsi="Calibri" w:cs="Calibri"/>
          <w:lang w:val="en-US"/>
        </w:rPr>
        <w:t>external</w:t>
      </w:r>
      <w:r w:rsidR="004E0683">
        <w:rPr>
          <w:rFonts w:ascii="Calibri" w:hAnsi="Calibri" w:cs="Calibri"/>
          <w:lang w:val="en-US"/>
        </w:rPr>
        <w:t xml:space="preserve"> cross validation (</w:t>
      </w:r>
      <w:r w:rsidR="00522FF0">
        <w:rPr>
          <w:rFonts w:ascii="Calibri" w:hAnsi="Calibri" w:cs="Calibri"/>
          <w:lang w:val="en-US"/>
        </w:rPr>
        <w:t xml:space="preserve">10 folds, </w:t>
      </w:r>
      <w:r w:rsidR="00660B1B">
        <w:rPr>
          <w:rFonts w:ascii="Calibri" w:hAnsi="Calibri" w:cs="Calibri"/>
          <w:lang w:val="en-US"/>
        </w:rPr>
        <w:t>20 iterations</w:t>
      </w:r>
      <w:r w:rsidR="004E0683">
        <w:rPr>
          <w:rFonts w:ascii="Calibri" w:hAnsi="Calibri" w:cs="Calibri"/>
          <w:lang w:val="en-US"/>
        </w:rPr>
        <w:t xml:space="preserve">) was used </w:t>
      </w:r>
      <w:r w:rsidR="00660B1B">
        <w:rPr>
          <w:rFonts w:ascii="Calibri" w:hAnsi="Calibri" w:cs="Calibri"/>
          <w:lang w:val="en-US"/>
        </w:rPr>
        <w:t xml:space="preserve">to </w:t>
      </w:r>
      <w:r w:rsidR="00755797">
        <w:rPr>
          <w:rFonts w:ascii="Calibri" w:hAnsi="Calibri" w:cs="Calibri"/>
          <w:lang w:val="en-US"/>
        </w:rPr>
        <w:t>evaluate</w:t>
      </w:r>
      <w:r w:rsidR="00660B1B">
        <w:rPr>
          <w:rFonts w:ascii="Calibri" w:hAnsi="Calibri" w:cs="Calibri"/>
          <w:lang w:val="en-US"/>
        </w:rPr>
        <w:t xml:space="preserve"> discriminative performance of the model. </w:t>
      </w:r>
      <w:r w:rsidR="00405ECF">
        <w:rPr>
          <w:rFonts w:ascii="Calibri" w:hAnsi="Calibri" w:cs="Calibri"/>
          <w:lang w:val="en-US"/>
        </w:rPr>
        <w:t xml:space="preserve">This model was validated for the subtype analysis using only the data of the Luminal-A like patients or the Luminal-B like patients. </w:t>
      </w:r>
      <w:r w:rsidR="00123B79" w:rsidRPr="000E21C7">
        <w:rPr>
          <w:rFonts w:ascii="Calibri" w:hAnsi="Calibri" w:cs="Calibri"/>
          <w:lang w:val="en-US"/>
        </w:rPr>
        <w:t>Moreover, a paired comparison between the affected breast and the contralateral breast within breast cancer patients was also performed</w:t>
      </w:r>
      <w:r w:rsidR="00A456E1">
        <w:rPr>
          <w:rFonts w:ascii="Calibri" w:hAnsi="Calibri" w:cs="Calibri"/>
          <w:lang w:val="en-US"/>
        </w:rPr>
        <w:t xml:space="preserve">. This second model was </w:t>
      </w:r>
      <w:r w:rsidR="0016462F">
        <w:rPr>
          <w:rFonts w:ascii="Calibri" w:hAnsi="Calibri" w:cs="Calibri"/>
          <w:lang w:val="en-US"/>
        </w:rPr>
        <w:t xml:space="preserve">developed </w:t>
      </w:r>
      <w:r w:rsidR="00123B79" w:rsidRPr="000E21C7">
        <w:rPr>
          <w:rFonts w:ascii="Calibri" w:hAnsi="Calibri" w:cs="Calibri"/>
          <w:lang w:val="en-US"/>
        </w:rPr>
        <w:t xml:space="preserve">using </w:t>
      </w:r>
      <w:r w:rsidR="00D829FE">
        <w:rPr>
          <w:rFonts w:ascii="Calibri" w:hAnsi="Calibri" w:cs="Calibri"/>
          <w:lang w:val="en-US"/>
        </w:rPr>
        <w:t xml:space="preserve">a </w:t>
      </w:r>
      <w:r w:rsidR="00772645">
        <w:rPr>
          <w:rFonts w:ascii="Calibri" w:hAnsi="Calibri" w:cs="Calibri"/>
          <w:lang w:val="en-US"/>
        </w:rPr>
        <w:t xml:space="preserve">LASSO-penalized </w:t>
      </w:r>
      <w:r w:rsidR="00D829FE">
        <w:rPr>
          <w:rFonts w:ascii="Calibri" w:hAnsi="Calibri" w:cs="Calibri"/>
          <w:lang w:val="en-US"/>
        </w:rPr>
        <w:t xml:space="preserve">conditional logistic regression, with the same steps as the </w:t>
      </w:r>
      <w:r w:rsidR="00123B79" w:rsidRPr="000E21C7">
        <w:rPr>
          <w:rFonts w:ascii="Calibri" w:hAnsi="Calibri" w:cs="Calibri"/>
          <w:lang w:val="en-US"/>
        </w:rPr>
        <w:t xml:space="preserve">LASSO regression as explained above. </w:t>
      </w:r>
    </w:p>
    <w:p w14:paraId="3861175A" w14:textId="0957CF5A" w:rsidR="00A22995" w:rsidRPr="00832669" w:rsidRDefault="00A22995" w:rsidP="000E21C7">
      <w:pPr>
        <w:pStyle w:val="Geenafstand"/>
        <w:jc w:val="both"/>
        <w:rPr>
          <w:rFonts w:ascii="Calibri" w:hAnsi="Calibri" w:cs="Calibri"/>
          <w:lang w:val="en-US"/>
        </w:rPr>
      </w:pPr>
    </w:p>
    <w:p w14:paraId="76D7F002" w14:textId="77777777" w:rsidR="00A22995" w:rsidRDefault="00A22995" w:rsidP="000E21C7">
      <w:pPr>
        <w:pStyle w:val="Geenafstand"/>
        <w:jc w:val="both"/>
        <w:rPr>
          <w:rFonts w:ascii="Calibri" w:hAnsi="Calibri" w:cs="Calibri"/>
          <w:lang w:val="en-US"/>
        </w:rPr>
      </w:pPr>
    </w:p>
    <w:p w14:paraId="6DE3FDA5" w14:textId="77777777" w:rsidR="003B117E" w:rsidRDefault="003B117E" w:rsidP="000E21C7">
      <w:pPr>
        <w:pStyle w:val="Geenafstand"/>
        <w:jc w:val="both"/>
        <w:rPr>
          <w:rFonts w:ascii="Calibri" w:hAnsi="Calibri" w:cs="Calibri"/>
          <w:lang w:val="en-US"/>
        </w:rPr>
      </w:pPr>
    </w:p>
    <w:p w14:paraId="4A32B8AE" w14:textId="77777777" w:rsidR="004B4F1D" w:rsidRDefault="004B4F1D">
      <w:pPr>
        <w:rPr>
          <w:rFonts w:ascii="Calibri" w:hAnsi="Calibri" w:cs="Calibri"/>
          <w:lang w:val="en-US"/>
        </w:rPr>
      </w:pPr>
    </w:p>
    <w:p w14:paraId="3AF4566E" w14:textId="77777777" w:rsidR="004B4F1D" w:rsidRDefault="004B4F1D">
      <w:pPr>
        <w:rPr>
          <w:rFonts w:ascii="Calibri" w:hAnsi="Calibri" w:cs="Calibri"/>
          <w:lang w:val="en-US"/>
        </w:rPr>
      </w:pPr>
    </w:p>
    <w:p w14:paraId="127127CF" w14:textId="77777777" w:rsidR="00B4383C" w:rsidRDefault="00B4383C">
      <w:pPr>
        <w:rPr>
          <w:rFonts w:ascii="Calibri" w:hAnsi="Calibri" w:cs="Calibri"/>
          <w:lang w:val="en-US"/>
        </w:rPr>
      </w:pPr>
    </w:p>
    <w:p w14:paraId="153D528C" w14:textId="77777777" w:rsidR="00B4383C" w:rsidRDefault="00B4383C">
      <w:pPr>
        <w:rPr>
          <w:rFonts w:ascii="Calibri" w:hAnsi="Calibri" w:cs="Calibri"/>
          <w:lang w:val="en-US"/>
        </w:rPr>
      </w:pPr>
    </w:p>
    <w:p w14:paraId="19D30AA5" w14:textId="77777777" w:rsidR="00B4383C" w:rsidRDefault="00B4383C">
      <w:pPr>
        <w:rPr>
          <w:rFonts w:ascii="Calibri" w:hAnsi="Calibri" w:cs="Calibri"/>
          <w:lang w:val="en-US"/>
        </w:rPr>
      </w:pPr>
    </w:p>
    <w:p w14:paraId="13FAAAE3" w14:textId="77777777" w:rsidR="00B4383C" w:rsidRDefault="00B4383C">
      <w:pPr>
        <w:rPr>
          <w:rFonts w:ascii="Calibri" w:hAnsi="Calibri" w:cs="Calibri"/>
          <w:lang w:val="en-US"/>
        </w:rPr>
      </w:pPr>
    </w:p>
    <w:p w14:paraId="00CA1709" w14:textId="77777777" w:rsidR="00B4383C" w:rsidRDefault="00B4383C">
      <w:pPr>
        <w:rPr>
          <w:rFonts w:ascii="Calibri" w:hAnsi="Calibri" w:cs="Calibri"/>
          <w:lang w:val="en-US"/>
        </w:rPr>
      </w:pPr>
    </w:p>
    <w:p w14:paraId="40A0C881" w14:textId="6E5C584E" w:rsidR="00B4383C" w:rsidRPr="00B4383C" w:rsidRDefault="00B4383C">
      <w:pPr>
        <w:rPr>
          <w:rFonts w:ascii="Calibri" w:hAnsi="Calibri" w:cs="Calibri"/>
          <w:b/>
          <w:bCs/>
          <w:lang w:val="en-US"/>
        </w:rPr>
      </w:pPr>
      <w:r w:rsidRPr="00B4383C">
        <w:rPr>
          <w:rFonts w:ascii="Calibri" w:hAnsi="Calibri" w:cs="Calibri"/>
          <w:b/>
          <w:bCs/>
          <w:lang w:val="en-US"/>
        </w:rPr>
        <w:t>References</w:t>
      </w:r>
    </w:p>
    <w:p w14:paraId="2CF5A3E3" w14:textId="61956033" w:rsidR="00B16AD0" w:rsidRPr="00B16AD0" w:rsidRDefault="004B4F1D" w:rsidP="00B16AD0">
      <w:pPr>
        <w:pStyle w:val="EndNoteBibliography"/>
        <w:spacing w:after="0"/>
      </w:pPr>
      <w:r w:rsidRPr="00B4383C">
        <w:rPr>
          <w:rFonts w:ascii="Calibri" w:hAnsi="Calibri" w:cs="Calibri"/>
        </w:rPr>
        <w:fldChar w:fldCharType="begin"/>
      </w:r>
      <w:r w:rsidRPr="00B4383C">
        <w:rPr>
          <w:rFonts w:ascii="Calibri" w:hAnsi="Calibri" w:cs="Calibri"/>
        </w:rPr>
        <w:instrText xml:space="preserve"> ADDIN EN.REFLIST </w:instrText>
      </w:r>
      <w:r w:rsidRPr="00B4383C">
        <w:rPr>
          <w:rFonts w:ascii="Calibri" w:hAnsi="Calibri" w:cs="Calibri"/>
        </w:rPr>
        <w:fldChar w:fldCharType="separate"/>
      </w:r>
      <w:r w:rsidR="00B16AD0" w:rsidRPr="00B16AD0">
        <w:t>1.</w:t>
      </w:r>
      <w:r w:rsidR="00B16AD0" w:rsidRPr="00B16AD0">
        <w:tab/>
        <w:t xml:space="preserve"> </w:t>
      </w:r>
      <w:r w:rsidR="00C97BB4" w:rsidRPr="00C97BB4">
        <w:t>Overview of Medical-Scientific Research in the Netherlands (OMON), NL6031: The ORNAMENT study: A multicenter, crOss sectional, study to assess microRNA expression in Nipple Aspirated Fluid, blood and tuMor material in women with primary brEast caNcer compared with healthy conTrols. Accessed on March 17 2025. https://onderzoekmetmensen.nl/nl/trial/28422</w:t>
      </w:r>
    </w:p>
    <w:p w14:paraId="534DFEE8" w14:textId="1B7428B4" w:rsidR="00B16AD0" w:rsidRPr="00B16AD0" w:rsidRDefault="00B16AD0" w:rsidP="00B16AD0">
      <w:pPr>
        <w:pStyle w:val="EndNoteBibliography"/>
        <w:spacing w:after="0"/>
      </w:pPr>
      <w:r w:rsidRPr="00B16AD0">
        <w:t>2.</w:t>
      </w:r>
      <w:r w:rsidRPr="00B16AD0">
        <w:tab/>
      </w:r>
      <w:r w:rsidR="009935DF" w:rsidRPr="009935DF">
        <w:t>Overview of Medical-Scientific Research in the Netherlands (OMON), NL8987: Breast Cancer Biomarkers in Nipple Aspirate Fluid and Blood in Healthy Women. Accessed on March 17 2025. https://www.onderzoekmetmensen.nl/nl/trial/24678</w:t>
      </w:r>
      <w:r w:rsidRPr="00B16AD0">
        <w:t xml:space="preserve"> </w:t>
      </w:r>
    </w:p>
    <w:p w14:paraId="5124A84D" w14:textId="77777777" w:rsidR="00B16AD0" w:rsidRPr="00841764" w:rsidRDefault="00B16AD0" w:rsidP="00B16AD0">
      <w:pPr>
        <w:pStyle w:val="EndNoteBibliography"/>
        <w:spacing w:after="0"/>
        <w:rPr>
          <w:lang w:val="nl-NL"/>
        </w:rPr>
      </w:pPr>
      <w:r w:rsidRPr="00B16AD0">
        <w:t>3.</w:t>
      </w:r>
      <w:r w:rsidRPr="00B16AD0">
        <w:tab/>
        <w:t xml:space="preserve">Patuleia SIS, Moelans CB, Koopman J, et al. Patient-centered research: how do women tolerate nipple fluid aspiration as a potential screening tool for breast cancer? </w:t>
      </w:r>
      <w:r w:rsidRPr="00841764">
        <w:rPr>
          <w:i/>
          <w:lang w:val="nl-NL"/>
        </w:rPr>
        <w:t>BMC Cancer</w:t>
      </w:r>
      <w:r w:rsidRPr="00841764">
        <w:rPr>
          <w:lang w:val="nl-NL"/>
        </w:rPr>
        <w:t>. Jun 27 2022;22(1):705. doi:10.1186/s12885-022-09795-8</w:t>
      </w:r>
    </w:p>
    <w:p w14:paraId="27D7217B" w14:textId="77777777" w:rsidR="00B16AD0" w:rsidRPr="00B16AD0" w:rsidRDefault="00B16AD0" w:rsidP="00B16AD0">
      <w:pPr>
        <w:pStyle w:val="EndNoteBibliography"/>
      </w:pPr>
      <w:r w:rsidRPr="00841764">
        <w:rPr>
          <w:lang w:val="nl-NL"/>
        </w:rPr>
        <w:t>4.</w:t>
      </w:r>
      <w:r w:rsidRPr="00841764">
        <w:rPr>
          <w:lang w:val="nl-NL"/>
        </w:rPr>
        <w:tab/>
        <w:t xml:space="preserve">Finsterbusch K, Decker T, van Diest PJ, Focke CM. </w:t>
      </w:r>
      <w:r w:rsidRPr="00B16AD0">
        <w:t xml:space="preserve">Luminal A versus luminal B breast cancer: MammaTyper mRNA versus immunohistochemical subtyping with an emphasis on standardised Ki67 labelling-based or mitotic activity index-based proliferation assessment. </w:t>
      </w:r>
      <w:r w:rsidRPr="00B16AD0">
        <w:rPr>
          <w:i/>
        </w:rPr>
        <w:t>Histopathology</w:t>
      </w:r>
      <w:r w:rsidRPr="00B16AD0">
        <w:t>. Apr 2020;76(5):650-660. doi:10.1111/his.14048</w:t>
      </w:r>
    </w:p>
    <w:p w14:paraId="44CC4509" w14:textId="2DDD8F81" w:rsidR="001F0191" w:rsidRPr="000E21C7" w:rsidRDefault="004B4F1D">
      <w:pPr>
        <w:rPr>
          <w:rFonts w:ascii="Calibri" w:hAnsi="Calibri" w:cs="Calibri"/>
          <w:lang w:val="en-US"/>
        </w:rPr>
      </w:pPr>
      <w:r w:rsidRPr="00B4383C">
        <w:rPr>
          <w:rFonts w:ascii="Calibri" w:hAnsi="Calibri" w:cs="Calibri"/>
          <w:lang w:val="en-US"/>
        </w:rPr>
        <w:fldChar w:fldCharType="end"/>
      </w:r>
    </w:p>
    <w:sectPr w:rsidR="001F0191" w:rsidRPr="000E21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MA 11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0x5dxearved2erfprpe9eef5eesfdwzesz&quot;&gt;My EndNote Library_NAF vs serum vs tissue&lt;record-ids&gt;&lt;item&gt;37&lt;/item&gt;&lt;item&gt;38&lt;/item&gt;&lt;item&gt;39&lt;/item&gt;&lt;item&gt;114&lt;/item&gt;&lt;/record-ids&gt;&lt;/item&gt;&lt;/Libraries&gt;"/>
  </w:docVars>
  <w:rsids>
    <w:rsidRoot w:val="000E21C7"/>
    <w:rsid w:val="00010E96"/>
    <w:rsid w:val="00047138"/>
    <w:rsid w:val="000B4630"/>
    <w:rsid w:val="000B61CE"/>
    <w:rsid w:val="000B691E"/>
    <w:rsid w:val="000B7F61"/>
    <w:rsid w:val="000E21C7"/>
    <w:rsid w:val="000E7F00"/>
    <w:rsid w:val="00113AE8"/>
    <w:rsid w:val="00123B79"/>
    <w:rsid w:val="0014156F"/>
    <w:rsid w:val="0016316B"/>
    <w:rsid w:val="0016462F"/>
    <w:rsid w:val="00183E88"/>
    <w:rsid w:val="001946A6"/>
    <w:rsid w:val="001F0191"/>
    <w:rsid w:val="001F304E"/>
    <w:rsid w:val="002131DA"/>
    <w:rsid w:val="002172C9"/>
    <w:rsid w:val="002502A7"/>
    <w:rsid w:val="0025105E"/>
    <w:rsid w:val="00253EF4"/>
    <w:rsid w:val="0031733A"/>
    <w:rsid w:val="003718BD"/>
    <w:rsid w:val="00381792"/>
    <w:rsid w:val="003B0F4C"/>
    <w:rsid w:val="003B117E"/>
    <w:rsid w:val="003B6443"/>
    <w:rsid w:val="003E7595"/>
    <w:rsid w:val="00405ECF"/>
    <w:rsid w:val="00425ED0"/>
    <w:rsid w:val="00447260"/>
    <w:rsid w:val="00481A9A"/>
    <w:rsid w:val="004833BE"/>
    <w:rsid w:val="004A5050"/>
    <w:rsid w:val="004B0D0B"/>
    <w:rsid w:val="004B4F1D"/>
    <w:rsid w:val="004C19EA"/>
    <w:rsid w:val="004E0683"/>
    <w:rsid w:val="00522FF0"/>
    <w:rsid w:val="00544B25"/>
    <w:rsid w:val="00553ADE"/>
    <w:rsid w:val="00586D78"/>
    <w:rsid w:val="0059015A"/>
    <w:rsid w:val="005966C3"/>
    <w:rsid w:val="005C0378"/>
    <w:rsid w:val="005E0762"/>
    <w:rsid w:val="005E51BE"/>
    <w:rsid w:val="00613838"/>
    <w:rsid w:val="00632D46"/>
    <w:rsid w:val="00652818"/>
    <w:rsid w:val="006557A9"/>
    <w:rsid w:val="00660B1B"/>
    <w:rsid w:val="00675655"/>
    <w:rsid w:val="00675F07"/>
    <w:rsid w:val="006E741C"/>
    <w:rsid w:val="006F3330"/>
    <w:rsid w:val="00731A94"/>
    <w:rsid w:val="00755797"/>
    <w:rsid w:val="00757AD0"/>
    <w:rsid w:val="00772645"/>
    <w:rsid w:val="007742A7"/>
    <w:rsid w:val="0077446D"/>
    <w:rsid w:val="00791E00"/>
    <w:rsid w:val="007C176C"/>
    <w:rsid w:val="007D03DE"/>
    <w:rsid w:val="007D056E"/>
    <w:rsid w:val="008049B7"/>
    <w:rsid w:val="008065E3"/>
    <w:rsid w:val="008066CD"/>
    <w:rsid w:val="00816806"/>
    <w:rsid w:val="00824232"/>
    <w:rsid w:val="00826860"/>
    <w:rsid w:val="00832669"/>
    <w:rsid w:val="00841764"/>
    <w:rsid w:val="00875CEE"/>
    <w:rsid w:val="008773E8"/>
    <w:rsid w:val="00882929"/>
    <w:rsid w:val="00897E93"/>
    <w:rsid w:val="008B0024"/>
    <w:rsid w:val="008B0C01"/>
    <w:rsid w:val="008B2A39"/>
    <w:rsid w:val="008C027B"/>
    <w:rsid w:val="008D7C40"/>
    <w:rsid w:val="00903121"/>
    <w:rsid w:val="00910EB8"/>
    <w:rsid w:val="00930A3F"/>
    <w:rsid w:val="00955001"/>
    <w:rsid w:val="00966236"/>
    <w:rsid w:val="009935DF"/>
    <w:rsid w:val="00994AB0"/>
    <w:rsid w:val="00997399"/>
    <w:rsid w:val="009A4056"/>
    <w:rsid w:val="009B5087"/>
    <w:rsid w:val="00A068B9"/>
    <w:rsid w:val="00A22995"/>
    <w:rsid w:val="00A35A8A"/>
    <w:rsid w:val="00A43762"/>
    <w:rsid w:val="00A456E1"/>
    <w:rsid w:val="00A46401"/>
    <w:rsid w:val="00A676E7"/>
    <w:rsid w:val="00A70E46"/>
    <w:rsid w:val="00A71331"/>
    <w:rsid w:val="00A838A9"/>
    <w:rsid w:val="00A8471C"/>
    <w:rsid w:val="00A9612B"/>
    <w:rsid w:val="00AA37A3"/>
    <w:rsid w:val="00B039C7"/>
    <w:rsid w:val="00B07454"/>
    <w:rsid w:val="00B1234C"/>
    <w:rsid w:val="00B14F29"/>
    <w:rsid w:val="00B16AD0"/>
    <w:rsid w:val="00B235E6"/>
    <w:rsid w:val="00B4383C"/>
    <w:rsid w:val="00B454CD"/>
    <w:rsid w:val="00B6147D"/>
    <w:rsid w:val="00B71E5F"/>
    <w:rsid w:val="00BA32D6"/>
    <w:rsid w:val="00BF12CC"/>
    <w:rsid w:val="00C235D7"/>
    <w:rsid w:val="00C32C2F"/>
    <w:rsid w:val="00C337B2"/>
    <w:rsid w:val="00C44708"/>
    <w:rsid w:val="00C50766"/>
    <w:rsid w:val="00C97BB4"/>
    <w:rsid w:val="00CB64B9"/>
    <w:rsid w:val="00CC59C9"/>
    <w:rsid w:val="00CD2C66"/>
    <w:rsid w:val="00CD3422"/>
    <w:rsid w:val="00CD5D98"/>
    <w:rsid w:val="00CE2C86"/>
    <w:rsid w:val="00CE61D2"/>
    <w:rsid w:val="00D07C14"/>
    <w:rsid w:val="00D27449"/>
    <w:rsid w:val="00D604DE"/>
    <w:rsid w:val="00D65264"/>
    <w:rsid w:val="00D829FE"/>
    <w:rsid w:val="00DA6805"/>
    <w:rsid w:val="00DF5082"/>
    <w:rsid w:val="00E0423B"/>
    <w:rsid w:val="00E375D6"/>
    <w:rsid w:val="00E8405C"/>
    <w:rsid w:val="00E97923"/>
    <w:rsid w:val="00EE21C2"/>
    <w:rsid w:val="00EE3ED0"/>
    <w:rsid w:val="00EF28AD"/>
    <w:rsid w:val="00F47BE9"/>
    <w:rsid w:val="00F5690E"/>
    <w:rsid w:val="00F62A5A"/>
    <w:rsid w:val="00F63B39"/>
    <w:rsid w:val="00F865B7"/>
    <w:rsid w:val="00F92C3D"/>
    <w:rsid w:val="00F93A89"/>
    <w:rsid w:val="00FE4495"/>
    <w:rsid w:val="00FF64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1971"/>
  <w15:chartTrackingRefBased/>
  <w15:docId w15:val="{3AFE51C5-F905-4D83-B112-1DBADF681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21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2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21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21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21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21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21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21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21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21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21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21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21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21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21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21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21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21C7"/>
    <w:rPr>
      <w:rFonts w:eastAsiaTheme="majorEastAsia" w:cstheme="majorBidi"/>
      <w:color w:val="272727" w:themeColor="text1" w:themeTint="D8"/>
    </w:rPr>
  </w:style>
  <w:style w:type="paragraph" w:styleId="Titel">
    <w:name w:val="Title"/>
    <w:basedOn w:val="Standaard"/>
    <w:next w:val="Standaard"/>
    <w:link w:val="TitelChar"/>
    <w:uiPriority w:val="10"/>
    <w:qFormat/>
    <w:rsid w:val="000E21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21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21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21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21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21C7"/>
    <w:rPr>
      <w:i/>
      <w:iCs/>
      <w:color w:val="404040" w:themeColor="text1" w:themeTint="BF"/>
    </w:rPr>
  </w:style>
  <w:style w:type="paragraph" w:styleId="Lijstalinea">
    <w:name w:val="List Paragraph"/>
    <w:basedOn w:val="Standaard"/>
    <w:uiPriority w:val="34"/>
    <w:qFormat/>
    <w:rsid w:val="000E21C7"/>
    <w:pPr>
      <w:ind w:left="720"/>
      <w:contextualSpacing/>
    </w:pPr>
  </w:style>
  <w:style w:type="character" w:styleId="Intensievebenadrukking">
    <w:name w:val="Intense Emphasis"/>
    <w:basedOn w:val="Standaardalinea-lettertype"/>
    <w:uiPriority w:val="21"/>
    <w:qFormat/>
    <w:rsid w:val="000E21C7"/>
    <w:rPr>
      <w:i/>
      <w:iCs/>
      <w:color w:val="0F4761" w:themeColor="accent1" w:themeShade="BF"/>
    </w:rPr>
  </w:style>
  <w:style w:type="paragraph" w:styleId="Duidelijkcitaat">
    <w:name w:val="Intense Quote"/>
    <w:basedOn w:val="Standaard"/>
    <w:next w:val="Standaard"/>
    <w:link w:val="DuidelijkcitaatChar"/>
    <w:uiPriority w:val="30"/>
    <w:qFormat/>
    <w:rsid w:val="000E2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21C7"/>
    <w:rPr>
      <w:i/>
      <w:iCs/>
      <w:color w:val="0F4761" w:themeColor="accent1" w:themeShade="BF"/>
    </w:rPr>
  </w:style>
  <w:style w:type="character" w:styleId="Intensieveverwijzing">
    <w:name w:val="Intense Reference"/>
    <w:basedOn w:val="Standaardalinea-lettertype"/>
    <w:uiPriority w:val="32"/>
    <w:qFormat/>
    <w:rsid w:val="000E21C7"/>
    <w:rPr>
      <w:b/>
      <w:bCs/>
      <w:smallCaps/>
      <w:color w:val="0F4761" w:themeColor="accent1" w:themeShade="BF"/>
      <w:spacing w:val="5"/>
    </w:rPr>
  </w:style>
  <w:style w:type="paragraph" w:styleId="Geenafstand">
    <w:name w:val="No Spacing"/>
    <w:link w:val="GeenafstandChar"/>
    <w:uiPriority w:val="1"/>
    <w:qFormat/>
    <w:rsid w:val="000E21C7"/>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0E21C7"/>
    <w:rPr>
      <w:sz w:val="16"/>
      <w:szCs w:val="16"/>
    </w:rPr>
  </w:style>
  <w:style w:type="paragraph" w:styleId="Tekstopmerking">
    <w:name w:val="annotation text"/>
    <w:basedOn w:val="Standaard"/>
    <w:link w:val="TekstopmerkingChar"/>
    <w:uiPriority w:val="99"/>
    <w:unhideWhenUsed/>
    <w:rsid w:val="000E21C7"/>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0E21C7"/>
    <w:rPr>
      <w:kern w:val="0"/>
      <w:sz w:val="20"/>
      <w:szCs w:val="20"/>
      <w14:ligatures w14:val="none"/>
    </w:rPr>
  </w:style>
  <w:style w:type="character" w:customStyle="1" w:styleId="GeenafstandChar">
    <w:name w:val="Geen afstand Char"/>
    <w:basedOn w:val="Standaardalinea-lettertype"/>
    <w:link w:val="Geenafstand"/>
    <w:uiPriority w:val="1"/>
    <w:rsid w:val="000E21C7"/>
    <w:rPr>
      <w:kern w:val="0"/>
      <w14:ligatures w14:val="none"/>
    </w:rPr>
  </w:style>
  <w:style w:type="paragraph" w:customStyle="1" w:styleId="EndNoteBibliographyTitle">
    <w:name w:val="EndNote Bibliography Title"/>
    <w:basedOn w:val="Standaard"/>
    <w:link w:val="EndNoteBibliographyTitleChar"/>
    <w:rsid w:val="004B4F1D"/>
    <w:pPr>
      <w:spacing w:after="0"/>
      <w:jc w:val="center"/>
    </w:pPr>
    <w:rPr>
      <w:rFonts w:ascii="Aptos" w:hAnsi="Aptos"/>
      <w:noProof/>
      <w:lang w:val="en-US"/>
    </w:rPr>
  </w:style>
  <w:style w:type="character" w:customStyle="1" w:styleId="EndNoteBibliographyTitleChar">
    <w:name w:val="EndNote Bibliography Title Char"/>
    <w:basedOn w:val="GeenafstandChar"/>
    <w:link w:val="EndNoteBibliographyTitle"/>
    <w:rsid w:val="004B4F1D"/>
    <w:rPr>
      <w:rFonts w:ascii="Aptos" w:hAnsi="Aptos"/>
      <w:noProof/>
      <w:kern w:val="0"/>
      <w:lang w:val="en-US"/>
      <w14:ligatures w14:val="none"/>
    </w:rPr>
  </w:style>
  <w:style w:type="paragraph" w:customStyle="1" w:styleId="EndNoteBibliography">
    <w:name w:val="EndNote Bibliography"/>
    <w:basedOn w:val="Standaard"/>
    <w:link w:val="EndNoteBibliographyChar"/>
    <w:rsid w:val="004B4F1D"/>
    <w:pPr>
      <w:spacing w:line="240" w:lineRule="auto"/>
    </w:pPr>
    <w:rPr>
      <w:rFonts w:ascii="Aptos" w:hAnsi="Aptos"/>
      <w:noProof/>
      <w:lang w:val="en-US"/>
    </w:rPr>
  </w:style>
  <w:style w:type="character" w:customStyle="1" w:styleId="EndNoteBibliographyChar">
    <w:name w:val="EndNote Bibliography Char"/>
    <w:basedOn w:val="GeenafstandChar"/>
    <w:link w:val="EndNoteBibliography"/>
    <w:rsid w:val="004B4F1D"/>
    <w:rPr>
      <w:rFonts w:ascii="Aptos" w:hAnsi="Aptos"/>
      <w:noProof/>
      <w:kern w:val="0"/>
      <w:lang w:val="en-US"/>
      <w14:ligatures w14:val="none"/>
    </w:rPr>
  </w:style>
  <w:style w:type="paragraph" w:styleId="Onderwerpvanopmerking">
    <w:name w:val="annotation subject"/>
    <w:basedOn w:val="Tekstopmerking"/>
    <w:next w:val="Tekstopmerking"/>
    <w:link w:val="OnderwerpvanopmerkingChar"/>
    <w:uiPriority w:val="99"/>
    <w:semiHidden/>
    <w:unhideWhenUsed/>
    <w:rsid w:val="00B07454"/>
    <w:rPr>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B0745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4</Pages>
  <Words>2195</Words>
  <Characters>12076</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UMC Utrecht</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Rooij-4, L.A. de (Laura)</dc:creator>
  <cp:keywords/>
  <dc:description/>
  <cp:lastModifiedBy>Rooij-4, L.A. de (Laura)</cp:lastModifiedBy>
  <cp:revision>132</cp:revision>
  <dcterms:created xsi:type="dcterms:W3CDTF">2025-05-06T09:36:00Z</dcterms:created>
  <dcterms:modified xsi:type="dcterms:W3CDTF">2026-04-09T12:56:00Z</dcterms:modified>
</cp:coreProperties>
</file>