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2CD0A" w14:textId="77777777" w:rsidR="006243EB" w:rsidRPr="007D0E61" w:rsidRDefault="006243EB" w:rsidP="006243EB">
      <w:pPr>
        <w:spacing w:line="276" w:lineRule="auto"/>
        <w:rPr>
          <w:rFonts w:ascii="Times New Roman" w:hAnsi="Times New Roman" w:cs="Times New Roman"/>
          <w:color w:val="000000"/>
          <w:sz w:val="18"/>
          <w:szCs w:val="18"/>
          <w:lang w:val="en-GB"/>
        </w:rPr>
      </w:pPr>
      <w:r w:rsidRPr="007D0E61">
        <w:rPr>
          <w:rFonts w:ascii="Times New Roman" w:hAnsi="Times New Roman" w:cs="Times New Roman"/>
          <w:b/>
          <w:bCs/>
          <w:sz w:val="18"/>
          <w:szCs w:val="18"/>
          <w:lang w:val="en-GB"/>
        </w:rPr>
        <w:t xml:space="preserve">Table 3 </w:t>
      </w:r>
      <w:r w:rsidRPr="007D0E61">
        <w:rPr>
          <w:rFonts w:ascii="Times New Roman" w:hAnsi="Times New Roman" w:cs="Times New Roman"/>
          <w:color w:val="000000"/>
          <w:sz w:val="18"/>
          <w:szCs w:val="18"/>
          <w:lang w:val="en-GB"/>
        </w:rPr>
        <w:t>Examples of coding of text and emergence of subcategories and categories</w:t>
      </w:r>
      <w:r w:rsidRPr="007D0E61">
        <w:rPr>
          <w:rFonts w:ascii="Times New Roman" w:hAnsi="Times New Roman" w:cs="Times New Roman"/>
          <w:b/>
          <w:bCs/>
          <w:sz w:val="18"/>
          <w:szCs w:val="18"/>
          <w:lang w:val="en-GB"/>
        </w:rPr>
        <w:t xml:space="preserve">                                                                                                                                                            </w:t>
      </w:r>
    </w:p>
    <w:tbl>
      <w:tblPr>
        <w:tblStyle w:val="Tabellrutnt"/>
        <w:tblW w:w="0" w:type="auto"/>
        <w:tblLook w:val="04A0" w:firstRow="1" w:lastRow="0" w:firstColumn="1" w:lastColumn="0" w:noHBand="0" w:noVBand="1"/>
      </w:tblPr>
      <w:tblGrid>
        <w:gridCol w:w="1634"/>
        <w:gridCol w:w="1118"/>
        <w:gridCol w:w="1025"/>
        <w:gridCol w:w="1428"/>
        <w:gridCol w:w="3811"/>
      </w:tblGrid>
      <w:tr w:rsidR="006243EB" w:rsidRPr="007D0E61" w14:paraId="14C1C871" w14:textId="77777777" w:rsidTr="001050D9">
        <w:trPr>
          <w:trHeight w:val="339"/>
        </w:trPr>
        <w:tc>
          <w:tcPr>
            <w:tcW w:w="2091" w:type="dxa"/>
          </w:tcPr>
          <w:p w14:paraId="09D0C956" w14:textId="77777777" w:rsidR="006243EB" w:rsidRPr="007D0E61" w:rsidRDefault="006243EB" w:rsidP="001050D9">
            <w:pPr>
              <w:rPr>
                <w:rFonts w:ascii="Times New Roman" w:hAnsi="Times New Roman" w:cs="Times New Roman"/>
                <w:b/>
                <w:bCs/>
                <w:sz w:val="16"/>
                <w:szCs w:val="16"/>
                <w:lang w:val="en-GB"/>
              </w:rPr>
            </w:pPr>
            <w:r w:rsidRPr="007D0E61">
              <w:rPr>
                <w:rFonts w:ascii="Times New Roman" w:hAnsi="Times New Roman" w:cs="Times New Roman"/>
                <w:b/>
                <w:bCs/>
                <w:sz w:val="16"/>
                <w:szCs w:val="16"/>
                <w:lang w:val="en-GB"/>
              </w:rPr>
              <w:t>Meaning Unit</w:t>
            </w:r>
          </w:p>
        </w:tc>
        <w:tc>
          <w:tcPr>
            <w:tcW w:w="239" w:type="dxa"/>
          </w:tcPr>
          <w:p w14:paraId="29C88D69" w14:textId="77777777" w:rsidR="006243EB" w:rsidRPr="007D0E61" w:rsidRDefault="006243EB" w:rsidP="001050D9">
            <w:pPr>
              <w:rPr>
                <w:rFonts w:ascii="Times New Roman" w:hAnsi="Times New Roman" w:cs="Times New Roman"/>
                <w:b/>
                <w:bCs/>
                <w:sz w:val="16"/>
                <w:szCs w:val="16"/>
                <w:lang w:val="en-GB"/>
              </w:rPr>
            </w:pPr>
            <w:r w:rsidRPr="007D0E61">
              <w:rPr>
                <w:rFonts w:ascii="Times New Roman" w:hAnsi="Times New Roman" w:cs="Times New Roman"/>
                <w:b/>
                <w:bCs/>
                <w:sz w:val="16"/>
                <w:szCs w:val="16"/>
                <w:lang w:val="en-GB"/>
              </w:rPr>
              <w:t>Condensed Meaning Unit</w:t>
            </w:r>
          </w:p>
        </w:tc>
        <w:tc>
          <w:tcPr>
            <w:tcW w:w="1025" w:type="dxa"/>
          </w:tcPr>
          <w:p w14:paraId="0DE5AC38" w14:textId="77777777" w:rsidR="006243EB" w:rsidRPr="007D0E61" w:rsidRDefault="006243EB" w:rsidP="001050D9">
            <w:pPr>
              <w:rPr>
                <w:rFonts w:ascii="Times New Roman" w:hAnsi="Times New Roman" w:cs="Times New Roman"/>
                <w:b/>
                <w:bCs/>
                <w:sz w:val="16"/>
                <w:szCs w:val="16"/>
                <w:lang w:val="en-GB"/>
              </w:rPr>
            </w:pPr>
            <w:r w:rsidRPr="007D0E61">
              <w:rPr>
                <w:rFonts w:ascii="Times New Roman" w:hAnsi="Times New Roman" w:cs="Times New Roman"/>
                <w:b/>
                <w:bCs/>
                <w:sz w:val="16"/>
                <w:szCs w:val="16"/>
                <w:lang w:val="en-GB"/>
              </w:rPr>
              <w:t>Code</w:t>
            </w:r>
          </w:p>
        </w:tc>
        <w:tc>
          <w:tcPr>
            <w:tcW w:w="1816" w:type="dxa"/>
          </w:tcPr>
          <w:p w14:paraId="3F0CA73A" w14:textId="77777777" w:rsidR="006243EB" w:rsidRPr="007D0E61" w:rsidRDefault="006243EB" w:rsidP="001050D9">
            <w:pPr>
              <w:rPr>
                <w:rFonts w:ascii="Times New Roman" w:hAnsi="Times New Roman" w:cs="Times New Roman"/>
                <w:b/>
                <w:bCs/>
                <w:sz w:val="16"/>
                <w:szCs w:val="16"/>
                <w:lang w:val="en-GB"/>
              </w:rPr>
            </w:pPr>
            <w:r w:rsidRPr="007D0E61">
              <w:rPr>
                <w:rFonts w:ascii="Times New Roman" w:hAnsi="Times New Roman" w:cs="Times New Roman"/>
                <w:b/>
                <w:bCs/>
                <w:sz w:val="16"/>
                <w:szCs w:val="16"/>
                <w:lang w:val="en-GB"/>
              </w:rPr>
              <w:t>Subcategory</w:t>
            </w:r>
          </w:p>
        </w:tc>
        <w:tc>
          <w:tcPr>
            <w:tcW w:w="3811" w:type="dxa"/>
          </w:tcPr>
          <w:p w14:paraId="63782F77" w14:textId="77777777" w:rsidR="006243EB" w:rsidRPr="007D0E61" w:rsidRDefault="006243EB" w:rsidP="001050D9">
            <w:pPr>
              <w:rPr>
                <w:rFonts w:ascii="Times New Roman" w:hAnsi="Times New Roman" w:cs="Times New Roman"/>
                <w:b/>
                <w:bCs/>
                <w:sz w:val="16"/>
                <w:szCs w:val="16"/>
                <w:lang w:val="en-GB"/>
              </w:rPr>
            </w:pPr>
            <w:r w:rsidRPr="007D0E61">
              <w:rPr>
                <w:rFonts w:ascii="Times New Roman" w:hAnsi="Times New Roman" w:cs="Times New Roman"/>
                <w:b/>
                <w:bCs/>
                <w:sz w:val="16"/>
                <w:szCs w:val="16"/>
                <w:lang w:val="en-GB"/>
              </w:rPr>
              <w:t>Category</w:t>
            </w:r>
          </w:p>
        </w:tc>
      </w:tr>
      <w:tr w:rsidR="006243EB" w:rsidRPr="007D0E61" w14:paraId="67201D07" w14:textId="77777777" w:rsidTr="001050D9">
        <w:trPr>
          <w:trHeight w:val="3137"/>
        </w:trPr>
        <w:tc>
          <w:tcPr>
            <w:tcW w:w="2091" w:type="dxa"/>
          </w:tcPr>
          <w:p w14:paraId="69335337"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Patients that you can reach verbally with communication and information by telling them what is going to happen and staying one step ahead. </w:t>
            </w:r>
            <w:r>
              <w:rPr>
                <w:rFonts w:ascii="Times New Roman" w:hAnsi="Times New Roman" w:cs="Times New Roman"/>
                <w:sz w:val="16"/>
                <w:szCs w:val="16"/>
                <w:lang w:val="en-GB"/>
              </w:rPr>
              <w:t>For p</w:t>
            </w:r>
            <w:r w:rsidRPr="007D0E61">
              <w:rPr>
                <w:rFonts w:ascii="Times New Roman" w:hAnsi="Times New Roman" w:cs="Times New Roman"/>
                <w:sz w:val="16"/>
                <w:szCs w:val="16"/>
                <w:lang w:val="en-GB"/>
              </w:rPr>
              <w:t xml:space="preserve">atients who have never been in this environment and </w:t>
            </w:r>
            <w:r>
              <w:rPr>
                <w:rFonts w:ascii="Times New Roman" w:hAnsi="Times New Roman" w:cs="Times New Roman"/>
                <w:sz w:val="16"/>
                <w:szCs w:val="16"/>
                <w:lang w:val="en-GB"/>
              </w:rPr>
              <w:t>may find certain</w:t>
            </w:r>
            <w:r w:rsidRPr="007D0E61">
              <w:rPr>
                <w:rFonts w:ascii="Times New Roman" w:hAnsi="Times New Roman" w:cs="Times New Roman"/>
                <w:sz w:val="16"/>
                <w:szCs w:val="16"/>
                <w:lang w:val="en-GB"/>
              </w:rPr>
              <w:t xml:space="preserve"> </w:t>
            </w:r>
            <w:r>
              <w:rPr>
                <w:rFonts w:ascii="Times New Roman" w:hAnsi="Times New Roman" w:cs="Times New Roman"/>
                <w:sz w:val="16"/>
                <w:szCs w:val="16"/>
                <w:lang w:val="en-GB"/>
              </w:rPr>
              <w:t>objects</w:t>
            </w:r>
            <w:r w:rsidRPr="007D0E61">
              <w:rPr>
                <w:rFonts w:ascii="Times New Roman" w:hAnsi="Times New Roman" w:cs="Times New Roman"/>
                <w:sz w:val="16"/>
                <w:szCs w:val="16"/>
                <w:lang w:val="en-GB"/>
              </w:rPr>
              <w:t xml:space="preserve"> frightening </w:t>
            </w:r>
            <w:r>
              <w:rPr>
                <w:rFonts w:ascii="Times New Roman" w:hAnsi="Times New Roman" w:cs="Times New Roman"/>
                <w:sz w:val="16"/>
                <w:szCs w:val="16"/>
                <w:lang w:val="en-GB"/>
              </w:rPr>
              <w:t>makes me</w:t>
            </w:r>
            <w:r w:rsidRPr="007D0E61">
              <w:rPr>
                <w:rFonts w:ascii="Times New Roman" w:hAnsi="Times New Roman" w:cs="Times New Roman"/>
                <w:sz w:val="16"/>
                <w:szCs w:val="16"/>
                <w:lang w:val="en-GB"/>
              </w:rPr>
              <w:t xml:space="preserve"> always</w:t>
            </w:r>
            <w:r>
              <w:rPr>
                <w:rFonts w:ascii="Times New Roman" w:hAnsi="Times New Roman" w:cs="Times New Roman"/>
                <w:sz w:val="16"/>
                <w:szCs w:val="16"/>
                <w:lang w:val="en-GB"/>
              </w:rPr>
              <w:t xml:space="preserve"> ensure to</w:t>
            </w:r>
            <w:r w:rsidRPr="007D0E61">
              <w:rPr>
                <w:rFonts w:ascii="Times New Roman" w:hAnsi="Times New Roman" w:cs="Times New Roman"/>
                <w:sz w:val="16"/>
                <w:szCs w:val="16"/>
                <w:lang w:val="en-GB"/>
              </w:rPr>
              <w:t xml:space="preserve"> put away </w:t>
            </w:r>
            <w:r>
              <w:rPr>
                <w:rFonts w:ascii="Times New Roman" w:hAnsi="Times New Roman" w:cs="Times New Roman"/>
                <w:sz w:val="16"/>
                <w:szCs w:val="16"/>
                <w:lang w:val="en-GB"/>
              </w:rPr>
              <w:t>items</w:t>
            </w:r>
            <w:r w:rsidRPr="007D0E61">
              <w:rPr>
                <w:rFonts w:ascii="Times New Roman" w:hAnsi="Times New Roman" w:cs="Times New Roman"/>
                <w:sz w:val="16"/>
                <w:szCs w:val="16"/>
                <w:lang w:val="en-GB"/>
              </w:rPr>
              <w:t xml:space="preserve"> that we are putting in their throat.</w:t>
            </w:r>
          </w:p>
        </w:tc>
        <w:tc>
          <w:tcPr>
            <w:tcW w:w="239" w:type="dxa"/>
          </w:tcPr>
          <w:p w14:paraId="710C5FB6"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With patients who can communicate, give information about what is happening. Patients have never been in this environment, which can be frightening. Do not display articles we place in their throats.</w:t>
            </w:r>
          </w:p>
        </w:tc>
        <w:tc>
          <w:tcPr>
            <w:tcW w:w="1025" w:type="dxa"/>
          </w:tcPr>
          <w:p w14:paraId="02C0B731"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The NAs’ ability to face the patient's fears</w:t>
            </w:r>
          </w:p>
        </w:tc>
        <w:tc>
          <w:tcPr>
            <w:tcW w:w="1816" w:type="dxa"/>
          </w:tcPr>
          <w:p w14:paraId="36407FD5"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Striving to build relationships with the patient</w:t>
            </w:r>
          </w:p>
        </w:tc>
        <w:tc>
          <w:tcPr>
            <w:tcW w:w="3811" w:type="dxa"/>
          </w:tcPr>
          <w:p w14:paraId="6374EE96"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Enabling patient </w:t>
            </w:r>
          </w:p>
          <w:p w14:paraId="17F1EA07"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participation through</w:t>
            </w:r>
          </w:p>
          <w:p w14:paraId="36ABD9D9"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relational and communicative</w:t>
            </w:r>
          </w:p>
          <w:p w14:paraId="79D1225C"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actions</w:t>
            </w:r>
          </w:p>
        </w:tc>
      </w:tr>
      <w:tr w:rsidR="006243EB" w:rsidRPr="007D0E61" w14:paraId="42A555C3" w14:textId="77777777" w:rsidTr="001050D9">
        <w:trPr>
          <w:trHeight w:val="2118"/>
        </w:trPr>
        <w:tc>
          <w:tcPr>
            <w:tcW w:w="2091" w:type="dxa"/>
          </w:tcPr>
          <w:p w14:paraId="56068E40"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There may be several reasons why the patient does not want to have information, e.g., having a worse prognosis. I interpret that as death anxiety. I try to meet the patient with calmness and give them the protection I can.</w:t>
            </w:r>
          </w:p>
        </w:tc>
        <w:tc>
          <w:tcPr>
            <w:tcW w:w="239" w:type="dxa"/>
          </w:tcPr>
          <w:p w14:paraId="548C1EFD"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The patient does not want to know; the worst prognosis can be related to death. Meet the patient calmly.</w:t>
            </w:r>
          </w:p>
        </w:tc>
        <w:tc>
          <w:tcPr>
            <w:tcW w:w="1025" w:type="dxa"/>
          </w:tcPr>
          <w:p w14:paraId="1E8DC5C6"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To show humanity and respect for the patient's wishes</w:t>
            </w:r>
          </w:p>
        </w:tc>
        <w:tc>
          <w:tcPr>
            <w:tcW w:w="1816" w:type="dxa"/>
          </w:tcPr>
          <w:p w14:paraId="3FE90C0E"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Creating a dialogue with the patient </w:t>
            </w:r>
          </w:p>
        </w:tc>
        <w:tc>
          <w:tcPr>
            <w:tcW w:w="3811" w:type="dxa"/>
          </w:tcPr>
          <w:p w14:paraId="6A8047BB"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Enabling patient </w:t>
            </w:r>
          </w:p>
          <w:p w14:paraId="564CB82F"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participation through</w:t>
            </w:r>
          </w:p>
          <w:p w14:paraId="5842C873" w14:textId="77777777" w:rsidR="006243EB" w:rsidRPr="007D0E61" w:rsidRDefault="006243EB" w:rsidP="001050D9">
            <w:pPr>
              <w:ind w:left="2608" w:hanging="2608"/>
              <w:rPr>
                <w:rFonts w:ascii="Times New Roman" w:hAnsi="Times New Roman" w:cs="Times New Roman"/>
                <w:sz w:val="16"/>
                <w:szCs w:val="16"/>
                <w:lang w:val="en-GB"/>
              </w:rPr>
            </w:pPr>
            <w:r w:rsidRPr="007D0E61">
              <w:rPr>
                <w:rFonts w:ascii="Times New Roman" w:hAnsi="Times New Roman" w:cs="Times New Roman"/>
                <w:sz w:val="16"/>
                <w:szCs w:val="16"/>
                <w:lang w:val="en-GB"/>
              </w:rPr>
              <w:t>relational and communicative</w:t>
            </w:r>
          </w:p>
          <w:p w14:paraId="1510DAC4"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actions</w:t>
            </w:r>
          </w:p>
        </w:tc>
      </w:tr>
      <w:tr w:rsidR="006243EB" w:rsidRPr="006243EB" w14:paraId="7274BFF5" w14:textId="77777777" w:rsidTr="001050D9">
        <w:trPr>
          <w:trHeight w:val="1411"/>
        </w:trPr>
        <w:tc>
          <w:tcPr>
            <w:tcW w:w="2091" w:type="dxa"/>
          </w:tcPr>
          <w:p w14:paraId="5BD7FB65"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The biggest challenges with this job are that you get only a few minutes to intercept signals and get the patient to feel confident in you.</w:t>
            </w:r>
          </w:p>
        </w:tc>
        <w:tc>
          <w:tcPr>
            <w:tcW w:w="239" w:type="dxa"/>
          </w:tcPr>
          <w:p w14:paraId="07D43E91"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Challenges due to a short time to pick up signals and build trust.</w:t>
            </w:r>
          </w:p>
        </w:tc>
        <w:tc>
          <w:tcPr>
            <w:tcW w:w="1025" w:type="dxa"/>
          </w:tcPr>
          <w:p w14:paraId="7470F13A"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High work pace and stressful environment</w:t>
            </w:r>
          </w:p>
        </w:tc>
        <w:tc>
          <w:tcPr>
            <w:tcW w:w="1816" w:type="dxa"/>
          </w:tcPr>
          <w:p w14:paraId="2BE332E3"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Struggling with time constraints</w:t>
            </w:r>
          </w:p>
        </w:tc>
        <w:tc>
          <w:tcPr>
            <w:tcW w:w="3811" w:type="dxa"/>
          </w:tcPr>
          <w:p w14:paraId="4623E8D5"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Balancing organisational </w:t>
            </w:r>
          </w:p>
          <w:p w14:paraId="6AA82053"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demands and patient</w:t>
            </w:r>
          </w:p>
          <w:p w14:paraId="4EECEE09"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participation</w:t>
            </w:r>
          </w:p>
        </w:tc>
      </w:tr>
      <w:tr w:rsidR="006243EB" w:rsidRPr="006243EB" w14:paraId="15D8F644" w14:textId="77777777" w:rsidTr="001050D9">
        <w:trPr>
          <w:trHeight w:val="3460"/>
        </w:trPr>
        <w:tc>
          <w:tcPr>
            <w:tcW w:w="2091" w:type="dxa"/>
          </w:tcPr>
          <w:p w14:paraId="03F52167"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I believe that if you </w:t>
            </w:r>
            <w:proofErr w:type="gramStart"/>
            <w:r w:rsidRPr="007D0E61">
              <w:rPr>
                <w:rFonts w:ascii="Times New Roman" w:hAnsi="Times New Roman" w:cs="Times New Roman"/>
                <w:sz w:val="16"/>
                <w:szCs w:val="16"/>
                <w:lang w:val="en-GB"/>
              </w:rPr>
              <w:t>have the opportunity to</w:t>
            </w:r>
            <w:proofErr w:type="gramEnd"/>
            <w:r w:rsidRPr="007D0E61">
              <w:rPr>
                <w:rFonts w:ascii="Times New Roman" w:hAnsi="Times New Roman" w:cs="Times New Roman"/>
                <w:sz w:val="16"/>
                <w:szCs w:val="16"/>
                <w:lang w:val="en-GB"/>
              </w:rPr>
              <w:t xml:space="preserve"> work on the perioperative dialogue, it can be a completely different meeting. You can talk about things in advance to prepare the patient, and the patient can formulate additional questions for the next meeting.</w:t>
            </w:r>
          </w:p>
        </w:tc>
        <w:tc>
          <w:tcPr>
            <w:tcW w:w="239" w:type="dxa"/>
          </w:tcPr>
          <w:p w14:paraId="6E0F2895"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Opportunity to work on the perioperative dialogue leads to different meetings. Preparing patients for the next meeting</w:t>
            </w:r>
          </w:p>
        </w:tc>
        <w:tc>
          <w:tcPr>
            <w:tcW w:w="1025" w:type="dxa"/>
          </w:tcPr>
          <w:p w14:paraId="5694D6DC" w14:textId="77777777" w:rsidR="006243EB" w:rsidRPr="007D0E61" w:rsidRDefault="006243EB" w:rsidP="001050D9">
            <w:pPr>
              <w:rPr>
                <w:rFonts w:ascii="Times New Roman" w:hAnsi="Times New Roman" w:cs="Times New Roman"/>
                <w:sz w:val="16"/>
                <w:szCs w:val="16"/>
                <w:lang w:val="en-GB"/>
              </w:rPr>
            </w:pPr>
            <w:r>
              <w:rPr>
                <w:rFonts w:ascii="Times New Roman" w:hAnsi="Times New Roman" w:cs="Times New Roman"/>
                <w:sz w:val="16"/>
                <w:szCs w:val="16"/>
                <w:lang w:val="en-GB"/>
              </w:rPr>
              <w:t>Follow up</w:t>
            </w:r>
            <w:r w:rsidRPr="007D0E61">
              <w:rPr>
                <w:rFonts w:ascii="Times New Roman" w:hAnsi="Times New Roman" w:cs="Times New Roman"/>
                <w:sz w:val="16"/>
                <w:szCs w:val="16"/>
                <w:lang w:val="en-GB"/>
              </w:rPr>
              <w:t xml:space="preserve"> on the patient in the care process</w:t>
            </w:r>
          </w:p>
        </w:tc>
        <w:tc>
          <w:tcPr>
            <w:tcW w:w="1816" w:type="dxa"/>
          </w:tcPr>
          <w:p w14:paraId="2703A425"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Seeking continuity in the caring process</w:t>
            </w:r>
          </w:p>
        </w:tc>
        <w:tc>
          <w:tcPr>
            <w:tcW w:w="3811" w:type="dxa"/>
          </w:tcPr>
          <w:p w14:paraId="51BCDA56"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 xml:space="preserve">Balancing organisational </w:t>
            </w:r>
          </w:p>
          <w:p w14:paraId="5510E63D"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demands and patient</w:t>
            </w:r>
          </w:p>
          <w:p w14:paraId="045D9991" w14:textId="77777777" w:rsidR="006243EB" w:rsidRPr="007D0E61" w:rsidRDefault="006243EB" w:rsidP="001050D9">
            <w:pPr>
              <w:rPr>
                <w:rFonts w:ascii="Times New Roman" w:hAnsi="Times New Roman" w:cs="Times New Roman"/>
                <w:sz w:val="16"/>
                <w:szCs w:val="16"/>
                <w:lang w:val="en-GB"/>
              </w:rPr>
            </w:pPr>
            <w:r w:rsidRPr="007D0E61">
              <w:rPr>
                <w:rFonts w:ascii="Times New Roman" w:hAnsi="Times New Roman" w:cs="Times New Roman"/>
                <w:sz w:val="16"/>
                <w:szCs w:val="16"/>
                <w:lang w:val="en-GB"/>
              </w:rPr>
              <w:t>participation</w:t>
            </w:r>
          </w:p>
        </w:tc>
      </w:tr>
    </w:tbl>
    <w:p w14:paraId="3F6C5716" w14:textId="77777777" w:rsidR="006243EB" w:rsidRPr="007D0E61" w:rsidRDefault="006243EB" w:rsidP="006243EB">
      <w:pPr>
        <w:spacing w:line="276" w:lineRule="auto"/>
        <w:rPr>
          <w:sz w:val="16"/>
          <w:szCs w:val="16"/>
          <w:lang w:val="en-GB"/>
        </w:rPr>
      </w:pPr>
      <w:r w:rsidRPr="007D0E61">
        <w:rPr>
          <w:sz w:val="16"/>
          <w:szCs w:val="16"/>
          <w:lang w:val="en-GB"/>
        </w:rPr>
        <w:tab/>
      </w:r>
      <w:r w:rsidRPr="007D0E61">
        <w:rPr>
          <w:sz w:val="16"/>
          <w:szCs w:val="16"/>
          <w:lang w:val="en-GB"/>
        </w:rPr>
        <w:tab/>
      </w:r>
      <w:r w:rsidRPr="007D0E61">
        <w:rPr>
          <w:sz w:val="16"/>
          <w:szCs w:val="16"/>
          <w:lang w:val="en-GB"/>
        </w:rPr>
        <w:tab/>
      </w:r>
      <w:r w:rsidRPr="007D0E61">
        <w:rPr>
          <w:sz w:val="16"/>
          <w:szCs w:val="16"/>
          <w:lang w:val="en-GB"/>
        </w:rPr>
        <w:tab/>
      </w:r>
      <w:r w:rsidRPr="007D0E61">
        <w:rPr>
          <w:sz w:val="16"/>
          <w:szCs w:val="16"/>
          <w:lang w:val="en-GB"/>
        </w:rPr>
        <w:tab/>
        <w:t xml:space="preserve">     </w:t>
      </w:r>
      <w:r w:rsidRPr="007D0E61">
        <w:rPr>
          <w:sz w:val="16"/>
          <w:szCs w:val="16"/>
          <w:lang w:val="en-GB"/>
        </w:rPr>
        <w:tab/>
        <w:t xml:space="preserve"> </w:t>
      </w:r>
    </w:p>
    <w:p w14:paraId="7E5F1E03" w14:textId="77777777" w:rsidR="001B4C9C" w:rsidRPr="006243EB" w:rsidRDefault="001B4C9C" w:rsidP="006243EB">
      <w:pPr>
        <w:rPr>
          <w:lang w:val="en-GB"/>
        </w:rPr>
      </w:pPr>
    </w:p>
    <w:sectPr w:rsidR="001B4C9C" w:rsidRPr="00624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A9B"/>
    <w:rsid w:val="001B4C9C"/>
    <w:rsid w:val="006243EB"/>
    <w:rsid w:val="00921A9B"/>
    <w:rsid w:val="00B6588B"/>
    <w:rsid w:val="00FB3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5366"/>
  <w15:chartTrackingRefBased/>
  <w15:docId w15:val="{2CE35774-8E30-4582-8A0B-FC973519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EB"/>
  </w:style>
  <w:style w:type="paragraph" w:styleId="Rubrik1">
    <w:name w:val="heading 1"/>
    <w:basedOn w:val="Normal"/>
    <w:next w:val="Normal"/>
    <w:link w:val="Rubrik1Char"/>
    <w:uiPriority w:val="9"/>
    <w:qFormat/>
    <w:rsid w:val="00921A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21A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21A9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21A9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21A9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21A9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21A9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21A9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21A9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1A9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21A9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21A9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21A9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21A9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21A9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21A9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21A9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21A9B"/>
    <w:rPr>
      <w:rFonts w:eastAsiaTheme="majorEastAsia" w:cstheme="majorBidi"/>
      <w:color w:val="272727" w:themeColor="text1" w:themeTint="D8"/>
    </w:rPr>
  </w:style>
  <w:style w:type="paragraph" w:styleId="Rubrik">
    <w:name w:val="Title"/>
    <w:basedOn w:val="Normal"/>
    <w:next w:val="Normal"/>
    <w:link w:val="RubrikChar"/>
    <w:uiPriority w:val="10"/>
    <w:qFormat/>
    <w:rsid w:val="00921A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21A9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21A9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21A9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21A9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21A9B"/>
    <w:rPr>
      <w:i/>
      <w:iCs/>
      <w:color w:val="404040" w:themeColor="text1" w:themeTint="BF"/>
    </w:rPr>
  </w:style>
  <w:style w:type="paragraph" w:styleId="Liststycke">
    <w:name w:val="List Paragraph"/>
    <w:basedOn w:val="Normal"/>
    <w:uiPriority w:val="34"/>
    <w:qFormat/>
    <w:rsid w:val="00921A9B"/>
    <w:pPr>
      <w:ind w:left="720"/>
      <w:contextualSpacing/>
    </w:pPr>
  </w:style>
  <w:style w:type="character" w:styleId="Starkbetoning">
    <w:name w:val="Intense Emphasis"/>
    <w:basedOn w:val="Standardstycketeckensnitt"/>
    <w:uiPriority w:val="21"/>
    <w:qFormat/>
    <w:rsid w:val="00921A9B"/>
    <w:rPr>
      <w:i/>
      <w:iCs/>
      <w:color w:val="0F4761" w:themeColor="accent1" w:themeShade="BF"/>
    </w:rPr>
  </w:style>
  <w:style w:type="paragraph" w:styleId="Starktcitat">
    <w:name w:val="Intense Quote"/>
    <w:basedOn w:val="Normal"/>
    <w:next w:val="Normal"/>
    <w:link w:val="StarktcitatChar"/>
    <w:uiPriority w:val="30"/>
    <w:qFormat/>
    <w:rsid w:val="00921A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21A9B"/>
    <w:rPr>
      <w:i/>
      <w:iCs/>
      <w:color w:val="0F4761" w:themeColor="accent1" w:themeShade="BF"/>
    </w:rPr>
  </w:style>
  <w:style w:type="character" w:styleId="Starkreferens">
    <w:name w:val="Intense Reference"/>
    <w:basedOn w:val="Standardstycketeckensnitt"/>
    <w:uiPriority w:val="32"/>
    <w:qFormat/>
    <w:rsid w:val="00921A9B"/>
    <w:rPr>
      <w:b/>
      <w:bCs/>
      <w:smallCaps/>
      <w:color w:val="0F4761" w:themeColor="accent1" w:themeShade="BF"/>
      <w:spacing w:val="5"/>
    </w:rPr>
  </w:style>
  <w:style w:type="table" w:styleId="Tabellrutnt">
    <w:name w:val="Table Grid"/>
    <w:basedOn w:val="Normaltabell"/>
    <w:uiPriority w:val="59"/>
    <w:rsid w:val="0092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374</Words>
  <Characters>1988</Characters>
  <Application>Microsoft Office Word</Application>
  <DocSecurity>0</DocSecurity>
  <Lines>16</Lines>
  <Paragraphs>4</Paragraphs>
  <ScaleCrop>false</ScaleCrop>
  <Company>MDU</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May-Lena Färnert</dc:creator>
  <cp:keywords/>
  <dc:description/>
  <cp:lastModifiedBy>May-Lena Färnert</cp:lastModifiedBy>
  <cp:revision>2</cp:revision>
  <dcterms:created xsi:type="dcterms:W3CDTF">2026-01-08T12:48:00Z</dcterms:created>
  <dcterms:modified xsi:type="dcterms:W3CDTF">2026-01-08T12:48:00Z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2a63ef3b-a209-4ac7-a42f-8850913bf5cc</vt:lpwstr>
  </property>
</Properties>
</file>