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53477" w14:textId="7CAC78B9" w:rsidR="007B2C08" w:rsidRPr="007B2C08" w:rsidRDefault="007B2C08" w:rsidP="00ED6A98">
      <w:pPr>
        <w:jc w:val="center"/>
        <w:rPr>
          <w:rFonts w:ascii="Times New Roman" w:eastAsia="Times New Roman" w:hAnsi="Times New Roman" w:cs="Times New Roman"/>
          <w:sz w:val="20"/>
          <w:szCs w:val="20"/>
          <w:lang w:val="en-CA"/>
        </w:rPr>
      </w:pPr>
      <w:r w:rsidRPr="007B2C0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CA"/>
        </w:rPr>
        <w:t>Accuracy of AI-Generated Procedural Descriptions in Peripheral Nerve Surgery: Implications for Surgical Trainin</w:t>
      </w:r>
      <w:r w:rsidRPr="007B2C0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CA"/>
        </w:rPr>
        <w:t>g</w:t>
      </w:r>
    </w:p>
    <w:p w14:paraId="276EE919" w14:textId="515E5520" w:rsidR="007B2C08" w:rsidRPr="007B2C08" w:rsidRDefault="007B2C08" w:rsidP="00ED6A98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CA"/>
        </w:rPr>
      </w:pPr>
      <w:r w:rsidRPr="007B2C0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CA"/>
        </w:rPr>
        <w:t>Global Surgical Education</w:t>
      </w:r>
    </w:p>
    <w:p w14:paraId="00000002" w14:textId="3457D84F" w:rsidR="003B54EA" w:rsidRDefault="007B2C08" w:rsidP="008B7D92">
      <w:pPr>
        <w:spacing w:before="280" w:after="28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b/>
          <w:bCs/>
          <w:sz w:val="20"/>
          <w:szCs w:val="20"/>
        </w:rPr>
        <w:t>Online Resource 1</w:t>
      </w:r>
      <w:r w:rsidR="008B7D9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 w:rsidR="00000000" w:rsidRPr="007B2C08">
        <w:rPr>
          <w:rFonts w:ascii="Times New Roman" w:eastAsia="Times New Roman" w:hAnsi="Times New Roman" w:cs="Times New Roman"/>
          <w:b/>
          <w:bCs/>
          <w:sz w:val="20"/>
          <w:szCs w:val="20"/>
        </w:rPr>
        <w:t>List of peripheral nerve procedures</w:t>
      </w:r>
    </w:p>
    <w:p w14:paraId="7DBA1102" w14:textId="5FD61266" w:rsidR="00DF0B27" w:rsidRPr="00DF0B27" w:rsidRDefault="00DF0B27" w:rsidP="00DF0B27">
      <w:pPr>
        <w:spacing w:after="280"/>
        <w:rPr>
          <w:rFonts w:ascii="Times New Roman" w:eastAsia="Times New Roman" w:hAnsi="Times New Roman" w:cs="Times New Roman"/>
          <w:sz w:val="20"/>
          <w:szCs w:val="20"/>
        </w:rPr>
      </w:pPr>
      <w:r w:rsidRPr="00DF0B27">
        <w:rPr>
          <w:rFonts w:ascii="Times New Roman" w:eastAsia="Times New Roman" w:hAnsi="Times New Roman" w:cs="Times New Roman"/>
          <w:i/>
          <w:iCs/>
          <w:sz w:val="20"/>
          <w:szCs w:val="20"/>
        </w:rPr>
        <w:t>This file lists the 15 peripheral nerve procedures selected from the Washington University in St. Louis Surgical Education Website and evaluated in this study.</w:t>
      </w:r>
    </w:p>
    <w:p w14:paraId="00000003" w14:textId="77777777" w:rsidR="003B54EA" w:rsidRPr="007B2C08" w:rsidRDefault="00000000" w:rsidP="00167F20">
      <w:pPr>
        <w:numPr>
          <w:ilvl w:val="0"/>
          <w:numId w:val="1"/>
        </w:numPr>
        <w:spacing w:before="280"/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Medial Triceps to Axillary Nerve Transfer</w:t>
      </w:r>
    </w:p>
    <w:p w14:paraId="00000004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Brachialis to Anterior Interosseous Nerve Transfer with Extended Forearm Incision</w:t>
      </w:r>
    </w:p>
    <w:p w14:paraId="00000005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Posterior Approach - Spinal Accessory to Suprascapular Nerve Transfer</w:t>
      </w:r>
    </w:p>
    <w:p w14:paraId="00000006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Radial Nerve Release at the Spiral Groove</w:t>
      </w:r>
    </w:p>
    <w:p w14:paraId="00000007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Posterior Interosseous Nerve Release</w:t>
      </w:r>
    </w:p>
    <w:p w14:paraId="00000008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Median Nerve Release in the Forearm</w:t>
      </w:r>
    </w:p>
    <w:p w14:paraId="00000009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Carpal Tunnel Release</w:t>
      </w:r>
    </w:p>
    <w:p w14:paraId="0000000A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Median (FCR/FDS) to Radial (PIN/ECRB) Nerve Transfers with PT to ECRB Tendon Transfer</w:t>
      </w:r>
    </w:p>
    <w:p w14:paraId="0000000B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Anterior Interosseus to Ulnar Motor Supercharge Nerve Transfer</w:t>
      </w:r>
    </w:p>
    <w:p w14:paraId="0000000C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Thoracic Outlet Decompression (Supraclavicular Approach)</w:t>
      </w:r>
    </w:p>
    <w:p w14:paraId="0000000D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Medial Antebrachial Cutaneous Nerve Graft Harvest</w:t>
      </w:r>
    </w:p>
    <w:p w14:paraId="0000000E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Thoracodorsal to Long Thoracic Nerve Transfer</w:t>
      </w:r>
    </w:p>
    <w:p w14:paraId="0000000F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sz w:val="20"/>
          <w:szCs w:val="20"/>
        </w:rPr>
        <w:t>Submuscular Ulnar Nerve Transposition</w:t>
      </w:r>
    </w:p>
    <w:p w14:paraId="00000010" w14:textId="77777777" w:rsidR="003B54EA" w:rsidRPr="007B2C08" w:rsidRDefault="00000000" w:rsidP="00167F2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hyperlink r:id="rId5">
        <w:r w:rsidRPr="007B2C08">
          <w:rPr>
            <w:rFonts w:ascii="Times New Roman" w:eastAsia="Times New Roman" w:hAnsi="Times New Roman" w:cs="Times New Roman"/>
            <w:sz w:val="20"/>
            <w:szCs w:val="20"/>
          </w:rPr>
          <w:t>Double Fascicular Transfer: Median Fascicle to Biceps Branch and Ulnar Fascicle to Brachialis Branch Nerve Transfers</w:t>
        </w:r>
      </w:hyperlink>
    </w:p>
    <w:p w14:paraId="2AF85BE8" w14:textId="77777777" w:rsidR="00DF0B27" w:rsidRDefault="00000000" w:rsidP="00DF0B27">
      <w:pPr>
        <w:numPr>
          <w:ilvl w:val="0"/>
          <w:numId w:val="1"/>
        </w:numPr>
        <w:spacing w:after="280"/>
        <w:rPr>
          <w:rFonts w:ascii="Times New Roman" w:eastAsia="Times New Roman" w:hAnsi="Times New Roman" w:cs="Times New Roman"/>
          <w:sz w:val="20"/>
          <w:szCs w:val="20"/>
        </w:rPr>
      </w:pPr>
      <w:hyperlink r:id="rId6">
        <w:r w:rsidRPr="007B2C08">
          <w:rPr>
            <w:rFonts w:ascii="Times New Roman" w:eastAsia="Times New Roman" w:hAnsi="Times New Roman" w:cs="Times New Roman"/>
            <w:sz w:val="20"/>
            <w:szCs w:val="20"/>
          </w:rPr>
          <w:t>Guyon’s Canal Release and Carpal Tunnel Release</w:t>
        </w:r>
      </w:hyperlink>
    </w:p>
    <w:p w14:paraId="01533656" w14:textId="77777777" w:rsidR="00DF0B27" w:rsidRPr="007B2C08" w:rsidRDefault="00DF0B27" w:rsidP="00DF0B27">
      <w:pPr>
        <w:spacing w:after="280"/>
        <w:rPr>
          <w:rFonts w:ascii="Times New Roman" w:eastAsia="Times New Roman" w:hAnsi="Times New Roman" w:cs="Times New Roman"/>
          <w:sz w:val="20"/>
          <w:szCs w:val="20"/>
        </w:rPr>
      </w:pPr>
    </w:p>
    <w:sectPr w:rsidR="00DF0B27" w:rsidRPr="007B2C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07C2474-B15E-F34B-8FB5-BD7300EFB1C1}"/>
    <w:embedBold r:id="rId2" w:fontKey="{4C2AB7A1-1F5B-074F-82E4-142A1A7E34BF}"/>
    <w:embedItalic r:id="rId3" w:fontKey="{880B1255-80B0-504A-AD65-A390605073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80A40734-AD3D-0A44-9F8E-0B874F1CBE0C}"/>
    <w:embedItalic r:id="rId5" w:fontKey="{03F00005-0A9A-064D-B967-C80B668954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304C0C3-EE0F-4641-84D8-1005300BC6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906A7A2-FABC-924E-AE38-1AAF41AD71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A2073"/>
    <w:multiLevelType w:val="multilevel"/>
    <w:tmpl w:val="0436D0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035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4EA"/>
    <w:rsid w:val="00167F20"/>
    <w:rsid w:val="003B54EA"/>
    <w:rsid w:val="007B2C08"/>
    <w:rsid w:val="008B7D92"/>
    <w:rsid w:val="00CF6065"/>
    <w:rsid w:val="00DF0B27"/>
    <w:rsid w:val="00ED6A98"/>
    <w:rsid w:val="00F30157"/>
    <w:rsid w:val="00F9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7ADBCC"/>
  <w15:docId w15:val="{21F0F863-2FD8-DD4E-AF5E-AAA3D967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7B2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DF0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rgicaleducation.wustl.edu/guyons-canal-release-carpal-tunnel-release/" TargetMode="External"/><Relationship Id="rId5" Type="http://schemas.openxmlformats.org/officeDocument/2006/relationships/hyperlink" Target="https://surgicaleducation.wustl.edu/double-fascicular-transfer-median-fascicle-biceps-branch-ulnar-fascicle-brachialis-branch-nerve-transfers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myim@student.ubc.ca</cp:lastModifiedBy>
  <cp:revision>7</cp:revision>
  <dcterms:created xsi:type="dcterms:W3CDTF">2026-06-26T08:29:00Z</dcterms:created>
  <dcterms:modified xsi:type="dcterms:W3CDTF">2026-06-27T19:05:00Z</dcterms:modified>
</cp:coreProperties>
</file>