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E523" w14:textId="77777777" w:rsidR="00827A03" w:rsidRPr="007B2C08" w:rsidRDefault="00827A03" w:rsidP="00827A03">
      <w:pPr>
        <w:jc w:val="center"/>
        <w:rPr>
          <w:rFonts w:ascii="Times New Roman" w:eastAsia="Times New Roman" w:hAnsi="Times New Roman" w:cs="Times New Roman"/>
          <w:sz w:val="20"/>
          <w:szCs w:val="20"/>
          <w:lang w:val="en-CA"/>
        </w:rPr>
      </w:pPr>
      <w:bookmarkStart w:id="0" w:name="_93m4kytchzxu" w:colFirst="0" w:colLast="0"/>
      <w:bookmarkEnd w:id="0"/>
      <w:r w:rsidRPr="007B2C08">
        <w:rPr>
          <w:rFonts w:ascii="Times New Roman" w:eastAsia="Times New Roman" w:hAnsi="Times New Roman" w:cs="Times New Roman"/>
          <w:b/>
          <w:bCs/>
          <w:color w:val="000000"/>
          <w:sz w:val="20"/>
          <w:szCs w:val="20"/>
          <w:lang w:val="en-CA"/>
        </w:rPr>
        <w:t>Accuracy of AI-Generated Procedural Descriptions in Peripheral Nerve Surgery: Implications for Surgical Trainin</w:t>
      </w:r>
      <w:r w:rsidRPr="00827A03">
        <w:rPr>
          <w:rFonts w:ascii="Times New Roman" w:eastAsia="Times New Roman" w:hAnsi="Times New Roman" w:cs="Times New Roman"/>
          <w:b/>
          <w:bCs/>
          <w:color w:val="000000"/>
          <w:sz w:val="20"/>
          <w:szCs w:val="20"/>
          <w:lang w:val="en-CA"/>
        </w:rPr>
        <w:t>g</w:t>
      </w:r>
    </w:p>
    <w:p w14:paraId="65F6EC70" w14:textId="7F100B00" w:rsidR="00827A03" w:rsidRPr="00827A03" w:rsidRDefault="00827A03" w:rsidP="00827A03">
      <w:pPr>
        <w:jc w:val="center"/>
        <w:rPr>
          <w:rFonts w:ascii="Times New Roman" w:eastAsia="Times New Roman" w:hAnsi="Times New Roman" w:cs="Times New Roman"/>
          <w:i/>
          <w:iCs/>
          <w:color w:val="000000"/>
          <w:sz w:val="20"/>
          <w:szCs w:val="20"/>
          <w:lang w:val="en-CA"/>
        </w:rPr>
      </w:pPr>
      <w:r w:rsidRPr="00827A03">
        <w:rPr>
          <w:rFonts w:ascii="Times New Roman" w:eastAsia="Times New Roman" w:hAnsi="Times New Roman" w:cs="Times New Roman"/>
          <w:i/>
          <w:iCs/>
          <w:color w:val="000000"/>
          <w:sz w:val="20"/>
          <w:szCs w:val="20"/>
          <w:lang w:val="en-CA"/>
        </w:rPr>
        <w:t>Global Surgical Education</w:t>
      </w:r>
    </w:p>
    <w:p w14:paraId="308DC408" w14:textId="60D8B3CB" w:rsidR="00F96049" w:rsidRDefault="00827A03" w:rsidP="00F96049">
      <w:pPr>
        <w:pStyle w:val="Heading3"/>
        <w:keepNext w:val="0"/>
        <w:keepLines w:val="0"/>
        <w:spacing w:before="280"/>
        <w:jc w:val="center"/>
        <w:rPr>
          <w:rFonts w:ascii="Times New Roman" w:eastAsia="Times New Roman" w:hAnsi="Times New Roman" w:cs="Times New Roman"/>
          <w:b/>
          <w:bCs/>
          <w:color w:val="000000"/>
          <w:sz w:val="20"/>
          <w:szCs w:val="20"/>
        </w:rPr>
      </w:pPr>
      <w:r w:rsidRPr="00827A03">
        <w:rPr>
          <w:rFonts w:ascii="Times New Roman" w:eastAsia="Times New Roman" w:hAnsi="Times New Roman" w:cs="Times New Roman"/>
          <w:b/>
          <w:bCs/>
          <w:color w:val="000000"/>
          <w:sz w:val="20"/>
          <w:szCs w:val="20"/>
        </w:rPr>
        <w:t>Online Resource</w:t>
      </w:r>
      <w:r w:rsidR="00000000" w:rsidRPr="00827A03">
        <w:rPr>
          <w:rFonts w:ascii="Times New Roman" w:eastAsia="Times New Roman" w:hAnsi="Times New Roman" w:cs="Times New Roman"/>
          <w:b/>
          <w:bCs/>
          <w:color w:val="000000"/>
          <w:sz w:val="20"/>
          <w:szCs w:val="20"/>
        </w:rPr>
        <w:t xml:space="preserve"> 4: Peripheral Nerve Procedure Complexity scoring</w:t>
      </w:r>
    </w:p>
    <w:p w14:paraId="79BB2448" w14:textId="77B3D74B" w:rsidR="00F96049" w:rsidRPr="00F96049" w:rsidRDefault="00F96049" w:rsidP="00F96049">
      <w:pPr>
        <w:rPr>
          <w:rFonts w:ascii="Times New Roman" w:hAnsi="Times New Roman" w:cs="Times New Roman"/>
          <w:i/>
          <w:iCs/>
          <w:sz w:val="20"/>
          <w:szCs w:val="20"/>
        </w:rPr>
      </w:pPr>
      <w:r w:rsidRPr="00F96049">
        <w:rPr>
          <w:rFonts w:ascii="Times New Roman" w:hAnsi="Times New Roman" w:cs="Times New Roman"/>
          <w:i/>
          <w:iCs/>
          <w:sz w:val="20"/>
          <w:szCs w:val="20"/>
        </w:rPr>
        <w:t>This file contains the six-domain scoring rubric (1 = least complex, 5 = most complex) used to calculate the procedure complexity scores reported in this study.</w:t>
      </w:r>
    </w:p>
    <w:p w14:paraId="5B95A431" w14:textId="49574B09" w:rsidR="00CC60C0" w:rsidRPr="00827A03" w:rsidRDefault="00000000" w:rsidP="00827A03">
      <w:pPr>
        <w:spacing w:before="28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Peripheral Nerve Procedure Complexity Scoring Rubric (1–5 per domain, Total /30)</w:t>
      </w:r>
    </w:p>
    <w:p w14:paraId="16C8CEEF" w14:textId="77777777" w:rsidR="00CC60C0" w:rsidRPr="00827A03" w:rsidRDefault="00000000" w:rsidP="00827A03">
      <w:pPr>
        <w:spacing w:before="240" w:after="24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Each domain was scored using the definitions below. Scores were assigned based on structured literature review and expert-guided clinical judgment.</w:t>
      </w:r>
    </w:p>
    <w:p w14:paraId="30B76637" w14:textId="77777777" w:rsidR="00CC60C0" w:rsidRPr="00827A03" w:rsidRDefault="00000000" w:rsidP="00827A03">
      <w:pPr>
        <w:spacing w:before="240" w:after="24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Domain 1: Risk of Morbidity:</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1E2AF759" w14:textId="77777777">
        <w:tc>
          <w:tcPr>
            <w:tcW w:w="1215" w:type="dxa"/>
            <w:tcMar>
              <w:top w:w="100" w:type="dxa"/>
              <w:left w:w="100" w:type="dxa"/>
              <w:bottom w:w="100" w:type="dxa"/>
              <w:right w:w="100" w:type="dxa"/>
            </w:tcMar>
          </w:tcPr>
          <w:p w14:paraId="06D91916"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51A410F2"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1EFDC267" w14:textId="77777777">
        <w:tc>
          <w:tcPr>
            <w:tcW w:w="1215" w:type="dxa"/>
            <w:tcMar>
              <w:top w:w="100" w:type="dxa"/>
              <w:left w:w="100" w:type="dxa"/>
              <w:bottom w:w="100" w:type="dxa"/>
              <w:right w:w="100" w:type="dxa"/>
            </w:tcMar>
          </w:tcPr>
          <w:p w14:paraId="715FC63B"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0244A86B"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 xml:space="preserve">Minimal morbidity risk: </w:t>
            </w:r>
            <w:r w:rsidRPr="00827A03">
              <w:rPr>
                <w:rFonts w:ascii="Times New Roman" w:eastAsia="Times New Roman" w:hAnsi="Times New Roman" w:cs="Times New Roman"/>
                <w:sz w:val="20"/>
                <w:szCs w:val="20"/>
              </w:rPr>
              <w:t>Procedure is extra-neural or superficial; adverse events are rare, nonfunctional, and self-limited (e.g., scar sensitivity, mild neuropraxia). Very minimal risk of permanent motor or disabling sensory loss</w:t>
            </w:r>
          </w:p>
        </w:tc>
      </w:tr>
      <w:tr w:rsidR="00CC60C0" w:rsidRPr="00827A03" w14:paraId="6194EC5D" w14:textId="77777777">
        <w:tc>
          <w:tcPr>
            <w:tcW w:w="1215" w:type="dxa"/>
            <w:tcMar>
              <w:top w:w="100" w:type="dxa"/>
              <w:left w:w="100" w:type="dxa"/>
              <w:bottom w:w="100" w:type="dxa"/>
              <w:right w:w="100" w:type="dxa"/>
            </w:tcMar>
          </w:tcPr>
          <w:p w14:paraId="08179F5F"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w:t>
            </w:r>
          </w:p>
        </w:tc>
        <w:tc>
          <w:tcPr>
            <w:tcW w:w="8145" w:type="dxa"/>
            <w:tcMar>
              <w:top w:w="100" w:type="dxa"/>
              <w:left w:w="100" w:type="dxa"/>
              <w:bottom w:w="100" w:type="dxa"/>
              <w:right w:w="100" w:type="dxa"/>
            </w:tcMar>
          </w:tcPr>
          <w:p w14:paraId="0D49C19A"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 xml:space="preserve">Low functional risk, </w:t>
            </w:r>
            <w:r w:rsidRPr="00827A03">
              <w:rPr>
                <w:rFonts w:ascii="Times New Roman" w:eastAsia="Times New Roman" w:hAnsi="Times New Roman" w:cs="Times New Roman"/>
                <w:sz w:val="20"/>
                <w:szCs w:val="20"/>
              </w:rPr>
              <w:t>limited to minor sensory deficits or temporary irritation</w:t>
            </w:r>
          </w:p>
        </w:tc>
      </w:tr>
      <w:tr w:rsidR="00CC60C0" w:rsidRPr="00827A03" w14:paraId="43274734" w14:textId="77777777">
        <w:tc>
          <w:tcPr>
            <w:tcW w:w="1215" w:type="dxa"/>
            <w:tcMar>
              <w:top w:w="100" w:type="dxa"/>
              <w:left w:w="100" w:type="dxa"/>
              <w:bottom w:w="100" w:type="dxa"/>
              <w:right w:w="100" w:type="dxa"/>
            </w:tcMar>
          </w:tcPr>
          <w:p w14:paraId="293C8733"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121B7A16"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Moderate risk</w:t>
            </w:r>
            <w:r w:rsidRPr="00827A03">
              <w:rPr>
                <w:rFonts w:ascii="Times New Roman" w:eastAsia="Times New Roman" w:hAnsi="Times New Roman" w:cs="Times New Roman"/>
                <w:sz w:val="20"/>
                <w:szCs w:val="20"/>
              </w:rPr>
              <w:t xml:space="preserve"> to motor or sensory outcomes with potential reversible deficit</w:t>
            </w:r>
          </w:p>
        </w:tc>
      </w:tr>
      <w:tr w:rsidR="00CC60C0" w:rsidRPr="00827A03" w14:paraId="5FA8A72A" w14:textId="77777777">
        <w:tc>
          <w:tcPr>
            <w:tcW w:w="1215" w:type="dxa"/>
            <w:tcMar>
              <w:top w:w="100" w:type="dxa"/>
              <w:left w:w="100" w:type="dxa"/>
              <w:bottom w:w="100" w:type="dxa"/>
              <w:right w:w="100" w:type="dxa"/>
            </w:tcMar>
          </w:tcPr>
          <w:p w14:paraId="54E36BFB"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4</w:t>
            </w:r>
          </w:p>
        </w:tc>
        <w:tc>
          <w:tcPr>
            <w:tcW w:w="8145" w:type="dxa"/>
            <w:tcMar>
              <w:top w:w="100" w:type="dxa"/>
              <w:left w:w="100" w:type="dxa"/>
              <w:bottom w:w="100" w:type="dxa"/>
              <w:right w:w="100" w:type="dxa"/>
            </w:tcMar>
          </w:tcPr>
          <w:p w14:paraId="33B27113"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High risk o</w:t>
            </w:r>
            <w:r w:rsidRPr="00827A03">
              <w:rPr>
                <w:rFonts w:ascii="Times New Roman" w:eastAsia="Times New Roman" w:hAnsi="Times New Roman" w:cs="Times New Roman"/>
                <w:sz w:val="20"/>
                <w:szCs w:val="20"/>
              </w:rPr>
              <w:t>f permanent motor loss or neuropathic pain if procedure fails or is technically imperfect</w:t>
            </w:r>
          </w:p>
        </w:tc>
      </w:tr>
      <w:tr w:rsidR="00CC60C0" w:rsidRPr="00827A03" w14:paraId="4218A7CE" w14:textId="77777777">
        <w:tc>
          <w:tcPr>
            <w:tcW w:w="1215" w:type="dxa"/>
            <w:tcMar>
              <w:top w:w="100" w:type="dxa"/>
              <w:left w:w="100" w:type="dxa"/>
              <w:bottom w:w="100" w:type="dxa"/>
              <w:right w:w="100" w:type="dxa"/>
            </w:tcMar>
          </w:tcPr>
          <w:p w14:paraId="6421D81D" w14:textId="77777777" w:rsidR="00CC60C0" w:rsidRPr="00827A03" w:rsidRDefault="00000000" w:rsidP="00827A03">
            <w:pPr>
              <w:widowControl w:val="0"/>
              <w:pBdr>
                <w:top w:val="nil"/>
                <w:left w:val="nil"/>
                <w:bottom w:val="nil"/>
                <w:right w:val="nil"/>
                <w:between w:val="nil"/>
              </w:pBd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016CB2EC"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 xml:space="preserve">Failure results in </w:t>
            </w:r>
            <w:r w:rsidRPr="00827A03">
              <w:rPr>
                <w:rFonts w:ascii="Times New Roman" w:eastAsia="Times New Roman" w:hAnsi="Times New Roman" w:cs="Times New Roman"/>
                <w:b/>
                <w:bCs/>
                <w:sz w:val="20"/>
                <w:szCs w:val="20"/>
              </w:rPr>
              <w:t>significant permanent disability</w:t>
            </w:r>
            <w:r w:rsidRPr="00827A03">
              <w:rPr>
                <w:rFonts w:ascii="Times New Roman" w:eastAsia="Times New Roman" w:hAnsi="Times New Roman" w:cs="Times New Roman"/>
                <w:sz w:val="20"/>
                <w:szCs w:val="20"/>
              </w:rPr>
              <w:t xml:space="preserve"> (e.g., proximal nerve transfer with no alternative innervation)</w:t>
            </w:r>
          </w:p>
        </w:tc>
      </w:tr>
    </w:tbl>
    <w:p w14:paraId="46EA59C9" w14:textId="77777777" w:rsidR="00CC60C0" w:rsidRPr="00827A03" w:rsidRDefault="00000000" w:rsidP="00827A03">
      <w:pPr>
        <w:spacing w:before="240" w:after="24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Domain 2: Technical Difficulty</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4EF3447C" w14:textId="77777777">
        <w:tc>
          <w:tcPr>
            <w:tcW w:w="1215" w:type="dxa"/>
            <w:tcMar>
              <w:top w:w="100" w:type="dxa"/>
              <w:left w:w="100" w:type="dxa"/>
              <w:bottom w:w="100" w:type="dxa"/>
              <w:right w:w="100" w:type="dxa"/>
            </w:tcMar>
          </w:tcPr>
          <w:p w14:paraId="2783520E"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73EFBB59"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6B45A653" w14:textId="77777777">
        <w:tc>
          <w:tcPr>
            <w:tcW w:w="1215" w:type="dxa"/>
            <w:tcMar>
              <w:top w:w="100" w:type="dxa"/>
              <w:left w:w="100" w:type="dxa"/>
              <w:bottom w:w="100" w:type="dxa"/>
              <w:right w:w="100" w:type="dxa"/>
            </w:tcMar>
          </w:tcPr>
          <w:p w14:paraId="65972C53"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738C5FD7"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Basic exposure and soft tissue handling</w:t>
            </w:r>
            <w:r w:rsidRPr="00827A03">
              <w:rPr>
                <w:rFonts w:ascii="Times New Roman" w:eastAsia="Times New Roman" w:hAnsi="Times New Roman" w:cs="Times New Roman"/>
                <w:sz w:val="20"/>
                <w:szCs w:val="20"/>
              </w:rPr>
              <w:t xml:space="preserve"> in a single plane. Low-risk anatomy. Procedure relies on anatomical release or skin/subcutaneous dissection with clear landmarks (e.g., carpal tunnel release, simple nerve decompression). Minimal hemostasis or retraction required.</w:t>
            </w:r>
          </w:p>
        </w:tc>
      </w:tr>
      <w:tr w:rsidR="00CC60C0" w:rsidRPr="00827A03" w14:paraId="51CE2D21" w14:textId="77777777">
        <w:tc>
          <w:tcPr>
            <w:tcW w:w="1215" w:type="dxa"/>
            <w:tcMar>
              <w:top w:w="100" w:type="dxa"/>
              <w:left w:w="100" w:type="dxa"/>
              <w:bottom w:w="100" w:type="dxa"/>
              <w:right w:w="100" w:type="dxa"/>
            </w:tcMar>
          </w:tcPr>
          <w:p w14:paraId="6A0ABBA8"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w:t>
            </w:r>
          </w:p>
        </w:tc>
        <w:tc>
          <w:tcPr>
            <w:tcW w:w="8145" w:type="dxa"/>
            <w:tcMar>
              <w:top w:w="100" w:type="dxa"/>
              <w:left w:w="100" w:type="dxa"/>
              <w:bottom w:w="100" w:type="dxa"/>
              <w:right w:w="100" w:type="dxa"/>
            </w:tcMar>
          </w:tcPr>
          <w:p w14:paraId="38CDFF76"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Moderate dissection complexity</w:t>
            </w:r>
            <w:r w:rsidRPr="00827A03">
              <w:rPr>
                <w:rFonts w:ascii="Times New Roman" w:eastAsia="Times New Roman" w:hAnsi="Times New Roman" w:cs="Times New Roman"/>
                <w:sz w:val="20"/>
                <w:szCs w:val="20"/>
              </w:rPr>
              <w:t xml:space="preserve"> involving nerve, fascia, or muscle mobilization in an open field. Requires identification and preservation of one key structure (nerve or vessel) but does not involve deep or layered dissection. May require gentle mobilization or minor nerve transposition (e.g., subcutaneous ulnar transposition).</w:t>
            </w:r>
          </w:p>
        </w:tc>
      </w:tr>
      <w:tr w:rsidR="00CC60C0" w:rsidRPr="00827A03" w14:paraId="423271FD" w14:textId="77777777">
        <w:tc>
          <w:tcPr>
            <w:tcW w:w="1215" w:type="dxa"/>
            <w:tcMar>
              <w:top w:w="100" w:type="dxa"/>
              <w:left w:w="100" w:type="dxa"/>
              <w:bottom w:w="100" w:type="dxa"/>
              <w:right w:w="100" w:type="dxa"/>
            </w:tcMar>
          </w:tcPr>
          <w:p w14:paraId="6DA62DF7"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1B3E5AEA"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Multilayer dissection or confined operative corridor</w:t>
            </w:r>
            <w:r w:rsidRPr="00827A03">
              <w:rPr>
                <w:rFonts w:ascii="Times New Roman" w:eastAsia="Times New Roman" w:hAnsi="Times New Roman" w:cs="Times New Roman"/>
                <w:sz w:val="20"/>
                <w:szCs w:val="20"/>
              </w:rPr>
              <w:t>. Adjacent to critical structures (e.g., nerves, arteries), requiring retraction, bimanual technique, or microsurgical field control. Dissection is technically delicate but not spatially deep (e.g., submuscular transposition, nerve transfer in proximal forearm).</w:t>
            </w:r>
          </w:p>
        </w:tc>
      </w:tr>
      <w:tr w:rsidR="00CC60C0" w:rsidRPr="00827A03" w14:paraId="400B9FDB" w14:textId="77777777">
        <w:tc>
          <w:tcPr>
            <w:tcW w:w="1215" w:type="dxa"/>
            <w:tcMar>
              <w:top w:w="100" w:type="dxa"/>
              <w:left w:w="100" w:type="dxa"/>
              <w:bottom w:w="100" w:type="dxa"/>
              <w:right w:w="100" w:type="dxa"/>
            </w:tcMar>
          </w:tcPr>
          <w:p w14:paraId="244BCC7B"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lastRenderedPageBreak/>
              <w:t>4</w:t>
            </w:r>
          </w:p>
        </w:tc>
        <w:tc>
          <w:tcPr>
            <w:tcW w:w="8145" w:type="dxa"/>
            <w:tcMar>
              <w:top w:w="100" w:type="dxa"/>
              <w:left w:w="100" w:type="dxa"/>
              <w:bottom w:w="100" w:type="dxa"/>
              <w:right w:w="100" w:type="dxa"/>
            </w:tcMar>
          </w:tcPr>
          <w:p w14:paraId="0AF04ECC"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Anatomical density or fibrotic</w:t>
            </w:r>
            <w:r w:rsidRPr="00827A03">
              <w:rPr>
                <w:rFonts w:ascii="Times New Roman" w:eastAsia="Times New Roman" w:hAnsi="Times New Roman" w:cs="Times New Roman"/>
                <w:sz w:val="20"/>
                <w:szCs w:val="20"/>
              </w:rPr>
              <w:t>. Requires precise microsurgical dissection, sharp dissection of nerve branches or vascular skeletonization, or working near named vessels/nerves under loupe or microscope. May involve scarred beds or altered anatomy.</w:t>
            </w:r>
          </w:p>
        </w:tc>
      </w:tr>
      <w:tr w:rsidR="00CC60C0" w:rsidRPr="00827A03" w14:paraId="28945117" w14:textId="77777777">
        <w:tc>
          <w:tcPr>
            <w:tcW w:w="1215" w:type="dxa"/>
            <w:tcMar>
              <w:top w:w="100" w:type="dxa"/>
              <w:left w:w="100" w:type="dxa"/>
              <w:bottom w:w="100" w:type="dxa"/>
              <w:right w:w="100" w:type="dxa"/>
            </w:tcMar>
          </w:tcPr>
          <w:p w14:paraId="190073CC"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4167076A"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High-complexity exposure</w:t>
            </w:r>
            <w:r w:rsidRPr="00827A03">
              <w:rPr>
                <w:rFonts w:ascii="Times New Roman" w:eastAsia="Times New Roman" w:hAnsi="Times New Roman" w:cs="Times New Roman"/>
                <w:sz w:val="20"/>
                <w:szCs w:val="20"/>
              </w:rPr>
              <w:t xml:space="preserve"> in deep, restricted, or high-risk anatomical zones (e.g., thoracic outlet, </w:t>
            </w:r>
            <w:proofErr w:type="spellStart"/>
            <w:r w:rsidRPr="00827A03">
              <w:rPr>
                <w:rFonts w:ascii="Times New Roman" w:eastAsia="Times New Roman" w:hAnsi="Times New Roman" w:cs="Times New Roman"/>
                <w:sz w:val="20"/>
                <w:szCs w:val="20"/>
              </w:rPr>
              <w:t>intraplexal</w:t>
            </w:r>
            <w:proofErr w:type="spellEnd"/>
            <w:r w:rsidRPr="00827A03">
              <w:rPr>
                <w:rFonts w:ascii="Times New Roman" w:eastAsia="Times New Roman" w:hAnsi="Times New Roman" w:cs="Times New Roman"/>
                <w:sz w:val="20"/>
                <w:szCs w:val="20"/>
              </w:rPr>
              <w:t xml:space="preserve">, </w:t>
            </w:r>
            <w:proofErr w:type="spellStart"/>
            <w:r w:rsidRPr="00827A03">
              <w:rPr>
                <w:rFonts w:ascii="Times New Roman" w:eastAsia="Times New Roman" w:hAnsi="Times New Roman" w:cs="Times New Roman"/>
                <w:sz w:val="20"/>
                <w:szCs w:val="20"/>
              </w:rPr>
              <w:t>retroclavicular</w:t>
            </w:r>
            <w:proofErr w:type="spellEnd"/>
            <w:r w:rsidRPr="00827A03">
              <w:rPr>
                <w:rFonts w:ascii="Times New Roman" w:eastAsia="Times New Roman" w:hAnsi="Times New Roman" w:cs="Times New Roman"/>
                <w:sz w:val="20"/>
                <w:szCs w:val="20"/>
              </w:rPr>
              <w:t xml:space="preserve">, pelvic). Requires meticulous positional planning, advanced visualization (e.g., microscope or endoscope), and full command of 3D spatial anatomy. Small field with critical neurovascular structures in </w:t>
            </w:r>
            <w:proofErr w:type="gramStart"/>
            <w:r w:rsidRPr="00827A03">
              <w:rPr>
                <w:rFonts w:ascii="Times New Roman" w:eastAsia="Times New Roman" w:hAnsi="Times New Roman" w:cs="Times New Roman"/>
                <w:sz w:val="20"/>
                <w:szCs w:val="20"/>
              </w:rPr>
              <w:t>close proximity</w:t>
            </w:r>
            <w:proofErr w:type="gramEnd"/>
            <w:r w:rsidRPr="00827A03">
              <w:rPr>
                <w:rFonts w:ascii="Times New Roman" w:eastAsia="Times New Roman" w:hAnsi="Times New Roman" w:cs="Times New Roman"/>
                <w:sz w:val="20"/>
                <w:szCs w:val="20"/>
              </w:rPr>
              <w:t>.</w:t>
            </w:r>
          </w:p>
        </w:tc>
      </w:tr>
    </w:tbl>
    <w:p w14:paraId="5CF7A231" w14:textId="77777777" w:rsidR="00CC60C0" w:rsidRPr="00827A03" w:rsidRDefault="00000000" w:rsidP="00827A03">
      <w:pPr>
        <w:spacing w:before="240" w:after="24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Domain 3: Operative Time</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3764BB54" w14:textId="77777777">
        <w:tc>
          <w:tcPr>
            <w:tcW w:w="1215" w:type="dxa"/>
            <w:tcMar>
              <w:top w:w="100" w:type="dxa"/>
              <w:left w:w="100" w:type="dxa"/>
              <w:bottom w:w="100" w:type="dxa"/>
              <w:right w:w="100" w:type="dxa"/>
            </w:tcMar>
          </w:tcPr>
          <w:p w14:paraId="23160C8B"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1FEBE2B3"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7B944EB5" w14:textId="77777777">
        <w:tc>
          <w:tcPr>
            <w:tcW w:w="1215" w:type="dxa"/>
            <w:tcMar>
              <w:top w:w="100" w:type="dxa"/>
              <w:left w:w="100" w:type="dxa"/>
              <w:bottom w:w="100" w:type="dxa"/>
              <w:right w:w="100" w:type="dxa"/>
            </w:tcMar>
          </w:tcPr>
          <w:p w14:paraId="2E73583D"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1A0CE405"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&lt; 1 hour</w:t>
            </w:r>
          </w:p>
        </w:tc>
      </w:tr>
      <w:tr w:rsidR="00CC60C0" w:rsidRPr="00827A03" w14:paraId="251C1C03" w14:textId="77777777">
        <w:tc>
          <w:tcPr>
            <w:tcW w:w="1215" w:type="dxa"/>
            <w:tcMar>
              <w:top w:w="100" w:type="dxa"/>
              <w:left w:w="100" w:type="dxa"/>
              <w:bottom w:w="100" w:type="dxa"/>
              <w:right w:w="100" w:type="dxa"/>
            </w:tcMar>
          </w:tcPr>
          <w:p w14:paraId="039C6D1E"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w:t>
            </w:r>
          </w:p>
        </w:tc>
        <w:tc>
          <w:tcPr>
            <w:tcW w:w="8145" w:type="dxa"/>
            <w:tcMar>
              <w:top w:w="100" w:type="dxa"/>
              <w:left w:w="100" w:type="dxa"/>
              <w:bottom w:w="100" w:type="dxa"/>
              <w:right w:w="100" w:type="dxa"/>
            </w:tcMar>
          </w:tcPr>
          <w:p w14:paraId="2312D903"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1–2 hours</w:t>
            </w:r>
          </w:p>
        </w:tc>
      </w:tr>
      <w:tr w:rsidR="00CC60C0" w:rsidRPr="00827A03" w14:paraId="24D9153B" w14:textId="77777777">
        <w:tc>
          <w:tcPr>
            <w:tcW w:w="1215" w:type="dxa"/>
            <w:tcMar>
              <w:top w:w="100" w:type="dxa"/>
              <w:left w:w="100" w:type="dxa"/>
              <w:bottom w:w="100" w:type="dxa"/>
              <w:right w:w="100" w:type="dxa"/>
            </w:tcMar>
          </w:tcPr>
          <w:p w14:paraId="426B635A"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2CCF3961"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2–3.5 hours</w:t>
            </w:r>
          </w:p>
        </w:tc>
      </w:tr>
      <w:tr w:rsidR="00CC60C0" w:rsidRPr="00827A03" w14:paraId="74626C48" w14:textId="77777777">
        <w:tc>
          <w:tcPr>
            <w:tcW w:w="1215" w:type="dxa"/>
            <w:tcMar>
              <w:top w:w="100" w:type="dxa"/>
              <w:left w:w="100" w:type="dxa"/>
              <w:bottom w:w="100" w:type="dxa"/>
              <w:right w:w="100" w:type="dxa"/>
            </w:tcMar>
          </w:tcPr>
          <w:p w14:paraId="37104DDA"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4</w:t>
            </w:r>
          </w:p>
        </w:tc>
        <w:tc>
          <w:tcPr>
            <w:tcW w:w="8145" w:type="dxa"/>
            <w:tcMar>
              <w:top w:w="100" w:type="dxa"/>
              <w:left w:w="100" w:type="dxa"/>
              <w:bottom w:w="100" w:type="dxa"/>
              <w:right w:w="100" w:type="dxa"/>
            </w:tcMar>
          </w:tcPr>
          <w:p w14:paraId="078780BC"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3.5–5 hours</w:t>
            </w:r>
          </w:p>
        </w:tc>
      </w:tr>
      <w:tr w:rsidR="00CC60C0" w:rsidRPr="00827A03" w14:paraId="55E8FC46" w14:textId="77777777">
        <w:tc>
          <w:tcPr>
            <w:tcW w:w="1215" w:type="dxa"/>
            <w:tcMar>
              <w:top w:w="100" w:type="dxa"/>
              <w:left w:w="100" w:type="dxa"/>
              <w:bottom w:w="100" w:type="dxa"/>
              <w:right w:w="100" w:type="dxa"/>
            </w:tcMar>
          </w:tcPr>
          <w:p w14:paraId="7EE10B00"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1A700127"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&gt; 5 hours or multi-staged procedure</w:t>
            </w:r>
          </w:p>
        </w:tc>
      </w:tr>
    </w:tbl>
    <w:p w14:paraId="6622F1BA" w14:textId="77777777" w:rsidR="00CC60C0" w:rsidRPr="00827A03" w:rsidRDefault="00000000" w:rsidP="00827A03">
      <w:pPr>
        <w:spacing w:before="240" w:after="24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Domain 4: Nerve Reconstruction Complexity (1-5)</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20D10B15" w14:textId="77777777">
        <w:tc>
          <w:tcPr>
            <w:tcW w:w="1215" w:type="dxa"/>
            <w:tcMar>
              <w:top w:w="100" w:type="dxa"/>
              <w:left w:w="100" w:type="dxa"/>
              <w:bottom w:w="100" w:type="dxa"/>
              <w:right w:w="100" w:type="dxa"/>
            </w:tcMar>
          </w:tcPr>
          <w:p w14:paraId="65A066C7"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5593C3F2"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576127CB" w14:textId="77777777">
        <w:tc>
          <w:tcPr>
            <w:tcW w:w="1215" w:type="dxa"/>
            <w:tcMar>
              <w:top w:w="100" w:type="dxa"/>
              <w:left w:w="100" w:type="dxa"/>
              <w:bottom w:w="100" w:type="dxa"/>
              <w:right w:w="100" w:type="dxa"/>
            </w:tcMar>
          </w:tcPr>
          <w:p w14:paraId="0EA2FB40"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1D8D78D4"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No coaptation or alteration of nerve continuity</w:t>
            </w:r>
            <w:r w:rsidRPr="00827A03">
              <w:rPr>
                <w:rFonts w:ascii="Times New Roman" w:eastAsia="Times New Roman" w:hAnsi="Times New Roman" w:cs="Times New Roman"/>
                <w:sz w:val="20"/>
                <w:szCs w:val="20"/>
              </w:rPr>
              <w:t xml:space="preserve"> (e.g., decompression or transposition only)</w:t>
            </w:r>
          </w:p>
        </w:tc>
      </w:tr>
      <w:tr w:rsidR="00CC60C0" w:rsidRPr="00827A03" w14:paraId="61846D1F" w14:textId="77777777">
        <w:tc>
          <w:tcPr>
            <w:tcW w:w="1215" w:type="dxa"/>
            <w:tcMar>
              <w:top w:w="100" w:type="dxa"/>
              <w:left w:w="100" w:type="dxa"/>
              <w:bottom w:w="100" w:type="dxa"/>
              <w:right w:w="100" w:type="dxa"/>
            </w:tcMar>
          </w:tcPr>
          <w:p w14:paraId="45407B3A"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w:t>
            </w:r>
          </w:p>
        </w:tc>
        <w:tc>
          <w:tcPr>
            <w:tcW w:w="8145" w:type="dxa"/>
            <w:tcMar>
              <w:top w:w="100" w:type="dxa"/>
              <w:left w:w="100" w:type="dxa"/>
              <w:bottom w:w="100" w:type="dxa"/>
              <w:right w:w="100" w:type="dxa"/>
            </w:tcMar>
          </w:tcPr>
          <w:p w14:paraId="55C429CC"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One end-to-end or end to side nerve repair</w:t>
            </w:r>
            <w:r w:rsidRPr="00827A03">
              <w:rPr>
                <w:rFonts w:ascii="Times New Roman" w:eastAsia="Times New Roman" w:hAnsi="Times New Roman" w:cs="Times New Roman"/>
                <w:sz w:val="20"/>
                <w:szCs w:val="20"/>
              </w:rPr>
              <w:t>, without grafting. No branching or target specificity.</w:t>
            </w:r>
          </w:p>
        </w:tc>
      </w:tr>
      <w:tr w:rsidR="00CC60C0" w:rsidRPr="00827A03" w14:paraId="115F7497" w14:textId="77777777">
        <w:tc>
          <w:tcPr>
            <w:tcW w:w="1215" w:type="dxa"/>
            <w:tcMar>
              <w:top w:w="100" w:type="dxa"/>
              <w:left w:w="100" w:type="dxa"/>
              <w:bottom w:w="100" w:type="dxa"/>
              <w:right w:w="100" w:type="dxa"/>
            </w:tcMar>
          </w:tcPr>
          <w:p w14:paraId="305B1B53"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3234098F"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Single grafted or end to side transfer with length consideration</w:t>
            </w:r>
            <w:r w:rsidRPr="00827A03">
              <w:rPr>
                <w:rFonts w:ascii="Times New Roman" w:eastAsia="Times New Roman" w:hAnsi="Times New Roman" w:cs="Times New Roman"/>
                <w:sz w:val="20"/>
                <w:szCs w:val="20"/>
              </w:rPr>
              <w:t>, or targeted motor or sensory reinnervation (e.g., AIN to ulnar motor).</w:t>
            </w:r>
          </w:p>
        </w:tc>
      </w:tr>
      <w:tr w:rsidR="00CC60C0" w:rsidRPr="00827A03" w14:paraId="2C3D9A0E" w14:textId="77777777">
        <w:tc>
          <w:tcPr>
            <w:tcW w:w="1215" w:type="dxa"/>
            <w:tcMar>
              <w:top w:w="100" w:type="dxa"/>
              <w:left w:w="100" w:type="dxa"/>
              <w:bottom w:w="100" w:type="dxa"/>
              <w:right w:w="100" w:type="dxa"/>
            </w:tcMar>
          </w:tcPr>
          <w:p w14:paraId="16087CD4"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4</w:t>
            </w:r>
          </w:p>
        </w:tc>
        <w:tc>
          <w:tcPr>
            <w:tcW w:w="8145" w:type="dxa"/>
            <w:tcMar>
              <w:top w:w="100" w:type="dxa"/>
              <w:left w:w="100" w:type="dxa"/>
              <w:bottom w:w="100" w:type="dxa"/>
              <w:right w:w="100" w:type="dxa"/>
            </w:tcMar>
          </w:tcPr>
          <w:p w14:paraId="5EA99ECA"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Multiple coaptations or mixed techniques</w:t>
            </w:r>
            <w:r w:rsidRPr="00827A03">
              <w:rPr>
                <w:rFonts w:ascii="Times New Roman" w:eastAsia="Times New Roman" w:hAnsi="Times New Roman" w:cs="Times New Roman"/>
                <w:sz w:val="20"/>
                <w:szCs w:val="20"/>
              </w:rPr>
              <w:t xml:space="preserve"> (e.g., ETS + graft, one sensory + one motor branch). May involve redundancy or branching</w:t>
            </w:r>
          </w:p>
        </w:tc>
      </w:tr>
      <w:tr w:rsidR="00CC60C0" w:rsidRPr="00827A03" w14:paraId="524F7615" w14:textId="77777777">
        <w:tc>
          <w:tcPr>
            <w:tcW w:w="1215" w:type="dxa"/>
            <w:tcMar>
              <w:top w:w="100" w:type="dxa"/>
              <w:left w:w="100" w:type="dxa"/>
              <w:bottom w:w="100" w:type="dxa"/>
              <w:right w:w="100" w:type="dxa"/>
            </w:tcMar>
          </w:tcPr>
          <w:p w14:paraId="524BC96D"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407B393B"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Complex, staged, or combined reconstructions</w:t>
            </w:r>
            <w:r w:rsidRPr="00827A03">
              <w:rPr>
                <w:rFonts w:ascii="Times New Roman" w:eastAsia="Times New Roman" w:hAnsi="Times New Roman" w:cs="Times New Roman"/>
                <w:sz w:val="20"/>
                <w:szCs w:val="20"/>
              </w:rPr>
              <w:t xml:space="preserve">: multiple grafts, hybrid ETS/end-to-end, or procedures involving plexus elements, </w:t>
            </w:r>
            <w:proofErr w:type="spellStart"/>
            <w:r w:rsidRPr="00827A03">
              <w:rPr>
                <w:rFonts w:ascii="Times New Roman" w:eastAsia="Times New Roman" w:hAnsi="Times New Roman" w:cs="Times New Roman"/>
                <w:sz w:val="20"/>
                <w:szCs w:val="20"/>
              </w:rPr>
              <w:t>interpositional</w:t>
            </w:r>
            <w:proofErr w:type="spellEnd"/>
            <w:r w:rsidRPr="00827A03">
              <w:rPr>
                <w:rFonts w:ascii="Times New Roman" w:eastAsia="Times New Roman" w:hAnsi="Times New Roman" w:cs="Times New Roman"/>
                <w:sz w:val="20"/>
                <w:szCs w:val="20"/>
              </w:rPr>
              <w:t xml:space="preserve"> conduits, or &gt;2 recipient sites (e.g., triple nerve transfer + grafting).</w:t>
            </w:r>
          </w:p>
        </w:tc>
      </w:tr>
    </w:tbl>
    <w:p w14:paraId="24F0CEC4" w14:textId="582A9BAE" w:rsidR="00CC60C0" w:rsidRPr="00827A03" w:rsidRDefault="00000000" w:rsidP="00827A03">
      <w:pPr>
        <w:spacing w:before="240" w:after="24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 xml:space="preserve">Domain 5: Nerve </w:t>
      </w:r>
      <w:proofErr w:type="spellStart"/>
      <w:r w:rsidRPr="00827A03">
        <w:rPr>
          <w:rFonts w:ascii="Times New Roman" w:eastAsia="Times New Roman" w:hAnsi="Times New Roman" w:cs="Times New Roman"/>
          <w:i/>
          <w:iCs/>
          <w:sz w:val="20"/>
          <w:szCs w:val="20"/>
        </w:rPr>
        <w:t>Multitissue</w:t>
      </w:r>
      <w:proofErr w:type="spellEnd"/>
      <w:r w:rsidRPr="00827A03">
        <w:rPr>
          <w:rFonts w:ascii="Times New Roman" w:eastAsia="Times New Roman" w:hAnsi="Times New Roman" w:cs="Times New Roman"/>
          <w:i/>
          <w:iCs/>
          <w:sz w:val="20"/>
          <w:szCs w:val="20"/>
        </w:rPr>
        <w:t>/Reconstructive Complexity (1-5)</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55D63111" w14:textId="77777777">
        <w:tc>
          <w:tcPr>
            <w:tcW w:w="1215" w:type="dxa"/>
            <w:tcMar>
              <w:top w:w="100" w:type="dxa"/>
              <w:left w:w="100" w:type="dxa"/>
              <w:bottom w:w="100" w:type="dxa"/>
              <w:right w:w="100" w:type="dxa"/>
            </w:tcMar>
          </w:tcPr>
          <w:p w14:paraId="453905C0"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379E7AB5"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4D2C8DCA" w14:textId="77777777">
        <w:tc>
          <w:tcPr>
            <w:tcW w:w="1215" w:type="dxa"/>
            <w:tcMar>
              <w:top w:w="100" w:type="dxa"/>
              <w:left w:w="100" w:type="dxa"/>
              <w:bottom w:w="100" w:type="dxa"/>
              <w:right w:w="100" w:type="dxa"/>
            </w:tcMar>
          </w:tcPr>
          <w:p w14:paraId="152545AD"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51EEB1EC"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Nerve-only procedure</w:t>
            </w:r>
            <w:r w:rsidRPr="00827A03">
              <w:rPr>
                <w:rFonts w:ascii="Times New Roman" w:eastAsia="Times New Roman" w:hAnsi="Times New Roman" w:cs="Times New Roman"/>
                <w:sz w:val="20"/>
                <w:szCs w:val="20"/>
              </w:rPr>
              <w:t>. No work on tendons, bones, or muscle (e.g., decompression, isolated nerve transfer).</w:t>
            </w:r>
          </w:p>
        </w:tc>
      </w:tr>
      <w:tr w:rsidR="00CC60C0" w:rsidRPr="00827A03" w14:paraId="5E723369" w14:textId="77777777">
        <w:tc>
          <w:tcPr>
            <w:tcW w:w="1215" w:type="dxa"/>
            <w:tcMar>
              <w:top w:w="100" w:type="dxa"/>
              <w:left w:w="100" w:type="dxa"/>
              <w:bottom w:w="100" w:type="dxa"/>
              <w:right w:w="100" w:type="dxa"/>
            </w:tcMar>
          </w:tcPr>
          <w:p w14:paraId="41485D2B"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lastRenderedPageBreak/>
              <w:t>2</w:t>
            </w:r>
          </w:p>
        </w:tc>
        <w:tc>
          <w:tcPr>
            <w:tcW w:w="8145" w:type="dxa"/>
            <w:tcMar>
              <w:top w:w="100" w:type="dxa"/>
              <w:left w:w="100" w:type="dxa"/>
              <w:bottom w:w="100" w:type="dxa"/>
              <w:right w:w="100" w:type="dxa"/>
            </w:tcMar>
          </w:tcPr>
          <w:p w14:paraId="102B0BD9"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 xml:space="preserve">Single adjunct tissue: </w:t>
            </w:r>
            <w:r w:rsidRPr="00827A03">
              <w:rPr>
                <w:rFonts w:ascii="Times New Roman" w:eastAsia="Times New Roman" w:hAnsi="Times New Roman" w:cs="Times New Roman"/>
                <w:sz w:val="20"/>
                <w:szCs w:val="20"/>
              </w:rPr>
              <w:t>Involves one additional tissue beyond nerve (e.g., simple tendon tenodesis, skin flap for closure, or bone anchor for nerve fixation), with minimal interdependence. Limited tendon transfer or tenodesis not requiring rerouting or tensioning (e.g., PT to ECRB only).</w:t>
            </w:r>
          </w:p>
        </w:tc>
      </w:tr>
      <w:tr w:rsidR="00CC60C0" w:rsidRPr="00827A03" w14:paraId="083ABD9A" w14:textId="77777777">
        <w:tc>
          <w:tcPr>
            <w:tcW w:w="1215" w:type="dxa"/>
            <w:tcMar>
              <w:top w:w="100" w:type="dxa"/>
              <w:left w:w="100" w:type="dxa"/>
              <w:bottom w:w="100" w:type="dxa"/>
              <w:right w:w="100" w:type="dxa"/>
            </w:tcMar>
          </w:tcPr>
          <w:p w14:paraId="5E2B2A18"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38FACA96"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 xml:space="preserve">Multiple tissue types involved, </w:t>
            </w:r>
            <w:r w:rsidRPr="00827A03">
              <w:rPr>
                <w:rFonts w:ascii="Times New Roman" w:eastAsia="Times New Roman" w:hAnsi="Times New Roman" w:cs="Times New Roman"/>
                <w:sz w:val="20"/>
                <w:szCs w:val="20"/>
              </w:rPr>
              <w:t xml:space="preserve">but with limited interdependence (e.g., tendon transfer </w:t>
            </w:r>
            <w:r w:rsidRPr="00827A03">
              <w:rPr>
                <w:rFonts w:ascii="Times New Roman" w:eastAsia="Times New Roman" w:hAnsi="Times New Roman" w:cs="Times New Roman"/>
                <w:i/>
                <w:iCs/>
                <w:sz w:val="20"/>
                <w:szCs w:val="20"/>
              </w:rPr>
              <w:t>and</w:t>
            </w:r>
            <w:r w:rsidRPr="00827A03">
              <w:rPr>
                <w:rFonts w:ascii="Times New Roman" w:eastAsia="Times New Roman" w:hAnsi="Times New Roman" w:cs="Times New Roman"/>
                <w:sz w:val="20"/>
                <w:szCs w:val="20"/>
              </w:rPr>
              <w:t xml:space="preserve"> nerve transfer in same region, or soft tissue rearrangement plus nerve coaptation). No staged reconstruction or deep structural work. Significant tendon lengthening, tension balancing, or pulley creation.</w:t>
            </w:r>
          </w:p>
        </w:tc>
      </w:tr>
      <w:tr w:rsidR="00CC60C0" w:rsidRPr="00827A03" w14:paraId="61BE96ED" w14:textId="77777777">
        <w:tc>
          <w:tcPr>
            <w:tcW w:w="1215" w:type="dxa"/>
            <w:tcMar>
              <w:top w:w="100" w:type="dxa"/>
              <w:left w:w="100" w:type="dxa"/>
              <w:bottom w:w="100" w:type="dxa"/>
              <w:right w:w="100" w:type="dxa"/>
            </w:tcMar>
          </w:tcPr>
          <w:p w14:paraId="50888001"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4</w:t>
            </w:r>
          </w:p>
        </w:tc>
        <w:tc>
          <w:tcPr>
            <w:tcW w:w="8145" w:type="dxa"/>
            <w:tcMar>
              <w:top w:w="100" w:type="dxa"/>
              <w:left w:w="100" w:type="dxa"/>
              <w:bottom w:w="100" w:type="dxa"/>
              <w:right w:w="100" w:type="dxa"/>
            </w:tcMar>
          </w:tcPr>
          <w:p w14:paraId="1FA39602"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 xml:space="preserve">Integrated </w:t>
            </w:r>
            <w:proofErr w:type="spellStart"/>
            <w:r w:rsidRPr="00827A03">
              <w:rPr>
                <w:rFonts w:ascii="Times New Roman" w:eastAsia="Times New Roman" w:hAnsi="Times New Roman" w:cs="Times New Roman"/>
                <w:b/>
                <w:bCs/>
                <w:sz w:val="20"/>
                <w:szCs w:val="20"/>
              </w:rPr>
              <w:t>multitissue</w:t>
            </w:r>
            <w:proofErr w:type="spellEnd"/>
            <w:r w:rsidRPr="00827A03">
              <w:rPr>
                <w:rFonts w:ascii="Times New Roman" w:eastAsia="Times New Roman" w:hAnsi="Times New Roman" w:cs="Times New Roman"/>
                <w:b/>
                <w:bCs/>
                <w:sz w:val="20"/>
                <w:szCs w:val="20"/>
              </w:rPr>
              <w:t xml:space="preserve"> reconstruction</w:t>
            </w:r>
            <w:r w:rsidRPr="00827A03">
              <w:rPr>
                <w:rFonts w:ascii="Times New Roman" w:eastAsia="Gungsuh" w:hAnsi="Times New Roman" w:cs="Times New Roman"/>
                <w:sz w:val="20"/>
                <w:szCs w:val="20"/>
              </w:rPr>
              <w:t xml:space="preserve">, with coordinated involvement of ≥2 additional tissue types that must function in synchrony (e.g., FFMT requiring revascularization </w:t>
            </w:r>
            <w:r w:rsidRPr="00827A03">
              <w:rPr>
                <w:rFonts w:ascii="Times New Roman" w:eastAsia="Times New Roman" w:hAnsi="Times New Roman" w:cs="Times New Roman"/>
                <w:i/>
                <w:iCs/>
                <w:sz w:val="20"/>
                <w:szCs w:val="20"/>
              </w:rPr>
              <w:t>and</w:t>
            </w:r>
            <w:r w:rsidRPr="00827A03">
              <w:rPr>
                <w:rFonts w:ascii="Times New Roman" w:eastAsia="Times New Roman" w:hAnsi="Times New Roman" w:cs="Times New Roman"/>
                <w:sz w:val="20"/>
                <w:szCs w:val="20"/>
              </w:rPr>
              <w:t xml:space="preserve"> reinnervation, staged nerve-tendon reconstruction, muscle balancing with tendon rerouting).</w:t>
            </w:r>
          </w:p>
        </w:tc>
      </w:tr>
      <w:tr w:rsidR="00CC60C0" w:rsidRPr="00827A03" w14:paraId="46B9B587" w14:textId="77777777">
        <w:tc>
          <w:tcPr>
            <w:tcW w:w="1215" w:type="dxa"/>
            <w:tcMar>
              <w:top w:w="100" w:type="dxa"/>
              <w:left w:w="100" w:type="dxa"/>
              <w:bottom w:w="100" w:type="dxa"/>
              <w:right w:w="100" w:type="dxa"/>
            </w:tcMar>
          </w:tcPr>
          <w:p w14:paraId="67B0F7E2"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0B2287A0"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Composite reconstruction or reanimation</w:t>
            </w:r>
            <w:r w:rsidRPr="00827A03">
              <w:rPr>
                <w:rFonts w:ascii="Times New Roman" w:eastAsia="Times New Roman" w:hAnsi="Times New Roman" w:cs="Times New Roman"/>
                <w:sz w:val="20"/>
                <w:szCs w:val="20"/>
              </w:rPr>
              <w:t xml:space="preserve"> involving free flaps, bony work, dynamic tendon tensioning, joint capsuloligamentous release, or reinnervation of transferred tissue (e.g., FFMT for facial reanimation with intercostal transfer).</w:t>
            </w:r>
          </w:p>
        </w:tc>
      </w:tr>
    </w:tbl>
    <w:p w14:paraId="5D75E2EB" w14:textId="77777777" w:rsidR="00CC60C0" w:rsidRPr="00827A03" w:rsidRDefault="00CC60C0" w:rsidP="00827A03">
      <w:pPr>
        <w:spacing w:after="80"/>
        <w:rPr>
          <w:rFonts w:ascii="Times New Roman" w:eastAsia="Times New Roman" w:hAnsi="Times New Roman" w:cs="Times New Roman"/>
          <w:sz w:val="20"/>
          <w:szCs w:val="20"/>
          <w:u w:val="single"/>
        </w:rPr>
      </w:pPr>
    </w:p>
    <w:p w14:paraId="0E8F3A46" w14:textId="77777777" w:rsidR="00CC60C0" w:rsidRPr="00827A03" w:rsidRDefault="00000000" w:rsidP="00827A03">
      <w:pPr>
        <w:spacing w:after="80"/>
        <w:rPr>
          <w:rFonts w:ascii="Times New Roman" w:eastAsia="Times New Roman" w:hAnsi="Times New Roman" w:cs="Times New Roman"/>
          <w:i/>
          <w:iCs/>
          <w:sz w:val="20"/>
          <w:szCs w:val="20"/>
        </w:rPr>
      </w:pPr>
      <w:r w:rsidRPr="00827A03">
        <w:rPr>
          <w:rFonts w:ascii="Times New Roman" w:eastAsia="Times New Roman" w:hAnsi="Times New Roman" w:cs="Times New Roman"/>
          <w:i/>
          <w:iCs/>
          <w:sz w:val="20"/>
          <w:szCs w:val="20"/>
        </w:rPr>
        <w:t>Domain 6: Surgeon Expertise Required (1-5)</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5"/>
        <w:gridCol w:w="8145"/>
      </w:tblGrid>
      <w:tr w:rsidR="00CC60C0" w:rsidRPr="00827A03" w14:paraId="35283C69" w14:textId="77777777">
        <w:trPr>
          <w:trHeight w:val="500"/>
        </w:trPr>
        <w:tc>
          <w:tcPr>
            <w:tcW w:w="1215" w:type="dxa"/>
            <w:tcMar>
              <w:top w:w="100" w:type="dxa"/>
              <w:left w:w="100" w:type="dxa"/>
              <w:bottom w:w="100" w:type="dxa"/>
              <w:right w:w="100" w:type="dxa"/>
            </w:tcMar>
          </w:tcPr>
          <w:p w14:paraId="27BB4E4C"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Score</w:t>
            </w:r>
          </w:p>
        </w:tc>
        <w:tc>
          <w:tcPr>
            <w:tcW w:w="8145" w:type="dxa"/>
            <w:tcMar>
              <w:top w:w="100" w:type="dxa"/>
              <w:left w:w="100" w:type="dxa"/>
              <w:bottom w:w="100" w:type="dxa"/>
              <w:right w:w="100" w:type="dxa"/>
            </w:tcMar>
          </w:tcPr>
          <w:p w14:paraId="57B77C4B" w14:textId="77777777" w:rsidR="00CC60C0" w:rsidRPr="00827A03" w:rsidRDefault="00000000" w:rsidP="00827A03">
            <w:pPr>
              <w:widowControl w:val="0"/>
              <w:rPr>
                <w:rFonts w:ascii="Times New Roman" w:eastAsia="Times New Roman" w:hAnsi="Times New Roman" w:cs="Times New Roman"/>
                <w:b/>
                <w:bCs/>
                <w:sz w:val="20"/>
                <w:szCs w:val="20"/>
              </w:rPr>
            </w:pPr>
            <w:r w:rsidRPr="00827A03">
              <w:rPr>
                <w:rFonts w:ascii="Times New Roman" w:eastAsia="Times New Roman" w:hAnsi="Times New Roman" w:cs="Times New Roman"/>
                <w:b/>
                <w:bCs/>
                <w:sz w:val="20"/>
                <w:szCs w:val="20"/>
              </w:rPr>
              <w:t>Definition</w:t>
            </w:r>
          </w:p>
        </w:tc>
      </w:tr>
      <w:tr w:rsidR="00CC60C0" w:rsidRPr="00827A03" w14:paraId="0942FF92" w14:textId="77777777">
        <w:tc>
          <w:tcPr>
            <w:tcW w:w="1215" w:type="dxa"/>
            <w:tcMar>
              <w:top w:w="100" w:type="dxa"/>
              <w:left w:w="100" w:type="dxa"/>
              <w:bottom w:w="100" w:type="dxa"/>
              <w:right w:w="100" w:type="dxa"/>
            </w:tcMar>
          </w:tcPr>
          <w:p w14:paraId="63A268F3"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1</w:t>
            </w:r>
          </w:p>
        </w:tc>
        <w:tc>
          <w:tcPr>
            <w:tcW w:w="8145" w:type="dxa"/>
            <w:tcMar>
              <w:top w:w="100" w:type="dxa"/>
              <w:left w:w="100" w:type="dxa"/>
              <w:bottom w:w="100" w:type="dxa"/>
              <w:right w:w="100" w:type="dxa"/>
            </w:tcMar>
          </w:tcPr>
          <w:p w14:paraId="68A12630"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Junior Resident (PGY1–2):</w:t>
            </w:r>
            <w:r w:rsidRPr="00827A03">
              <w:rPr>
                <w:rFonts w:ascii="Times New Roman" w:eastAsia="Times New Roman" w:hAnsi="Times New Roman" w:cs="Times New Roman"/>
                <w:sz w:val="20"/>
                <w:szCs w:val="20"/>
              </w:rPr>
              <w:t xml:space="preserve"> Straightforward procedures with minimal complexity, taught early in training </w:t>
            </w:r>
          </w:p>
        </w:tc>
      </w:tr>
      <w:tr w:rsidR="00CC60C0" w:rsidRPr="00827A03" w14:paraId="3D14099A" w14:textId="77777777">
        <w:tc>
          <w:tcPr>
            <w:tcW w:w="1215" w:type="dxa"/>
            <w:tcMar>
              <w:top w:w="100" w:type="dxa"/>
              <w:left w:w="100" w:type="dxa"/>
              <w:bottom w:w="100" w:type="dxa"/>
              <w:right w:w="100" w:type="dxa"/>
            </w:tcMar>
          </w:tcPr>
          <w:p w14:paraId="6A532861"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2</w:t>
            </w:r>
          </w:p>
        </w:tc>
        <w:tc>
          <w:tcPr>
            <w:tcW w:w="8145" w:type="dxa"/>
            <w:tcMar>
              <w:top w:w="100" w:type="dxa"/>
              <w:left w:w="100" w:type="dxa"/>
              <w:bottom w:w="100" w:type="dxa"/>
              <w:right w:w="100" w:type="dxa"/>
            </w:tcMar>
          </w:tcPr>
          <w:p w14:paraId="1340EEC0"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Senior Resident (PGY3–5):</w:t>
            </w:r>
            <w:r w:rsidRPr="00827A03">
              <w:rPr>
                <w:rFonts w:ascii="Times New Roman" w:eastAsia="Times New Roman" w:hAnsi="Times New Roman" w:cs="Times New Roman"/>
                <w:sz w:val="20"/>
                <w:szCs w:val="20"/>
              </w:rPr>
              <w:t xml:space="preserve"> Moderately complex procedures performed under supervision, may involve isolated coaptation or decompression</w:t>
            </w:r>
          </w:p>
        </w:tc>
      </w:tr>
      <w:tr w:rsidR="00CC60C0" w:rsidRPr="00827A03" w14:paraId="08327F1C" w14:textId="77777777">
        <w:tc>
          <w:tcPr>
            <w:tcW w:w="1215" w:type="dxa"/>
            <w:tcMar>
              <w:top w:w="100" w:type="dxa"/>
              <w:left w:w="100" w:type="dxa"/>
              <w:bottom w:w="100" w:type="dxa"/>
              <w:right w:w="100" w:type="dxa"/>
            </w:tcMar>
          </w:tcPr>
          <w:p w14:paraId="44C12838"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3</w:t>
            </w:r>
          </w:p>
        </w:tc>
        <w:tc>
          <w:tcPr>
            <w:tcW w:w="8145" w:type="dxa"/>
            <w:tcMar>
              <w:top w:w="100" w:type="dxa"/>
              <w:left w:w="100" w:type="dxa"/>
              <w:bottom w:w="100" w:type="dxa"/>
              <w:right w:w="100" w:type="dxa"/>
            </w:tcMar>
          </w:tcPr>
          <w:p w14:paraId="4130CCED"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General Plastic Surgeon (non-fellowship-trained):</w:t>
            </w:r>
            <w:r w:rsidRPr="00827A03">
              <w:rPr>
                <w:rFonts w:ascii="Times New Roman" w:eastAsia="Times New Roman" w:hAnsi="Times New Roman" w:cs="Times New Roman"/>
                <w:sz w:val="20"/>
                <w:szCs w:val="20"/>
              </w:rPr>
              <w:t xml:space="preserve"> Procedures performed independently by community surgeons with experience but no subspecialty training</w:t>
            </w:r>
          </w:p>
        </w:tc>
      </w:tr>
      <w:tr w:rsidR="00CC60C0" w:rsidRPr="00827A03" w14:paraId="12CEBB48" w14:textId="77777777">
        <w:tc>
          <w:tcPr>
            <w:tcW w:w="1215" w:type="dxa"/>
            <w:tcMar>
              <w:top w:w="100" w:type="dxa"/>
              <w:left w:w="100" w:type="dxa"/>
              <w:bottom w:w="100" w:type="dxa"/>
              <w:right w:w="100" w:type="dxa"/>
            </w:tcMar>
          </w:tcPr>
          <w:p w14:paraId="144314F0"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4</w:t>
            </w:r>
          </w:p>
        </w:tc>
        <w:tc>
          <w:tcPr>
            <w:tcW w:w="8145" w:type="dxa"/>
            <w:tcMar>
              <w:top w:w="100" w:type="dxa"/>
              <w:left w:w="100" w:type="dxa"/>
              <w:bottom w:w="100" w:type="dxa"/>
              <w:right w:w="100" w:type="dxa"/>
            </w:tcMar>
          </w:tcPr>
          <w:p w14:paraId="6C8704C4"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Fellowship-Trained:</w:t>
            </w:r>
            <w:r w:rsidRPr="00827A03">
              <w:rPr>
                <w:rFonts w:ascii="Times New Roman" w:eastAsia="Times New Roman" w:hAnsi="Times New Roman" w:cs="Times New Roman"/>
                <w:sz w:val="20"/>
                <w:szCs w:val="20"/>
              </w:rPr>
              <w:t xml:space="preserve"> Complex procedures involving grafts, tendon/nerve combinations, and precise dissection </w:t>
            </w:r>
          </w:p>
        </w:tc>
      </w:tr>
      <w:tr w:rsidR="00CC60C0" w:rsidRPr="00827A03" w14:paraId="3062253C" w14:textId="77777777">
        <w:tc>
          <w:tcPr>
            <w:tcW w:w="1215" w:type="dxa"/>
            <w:tcMar>
              <w:top w:w="100" w:type="dxa"/>
              <w:left w:w="100" w:type="dxa"/>
              <w:bottom w:w="100" w:type="dxa"/>
              <w:right w:w="100" w:type="dxa"/>
            </w:tcMar>
          </w:tcPr>
          <w:p w14:paraId="1FF3782C" w14:textId="77777777" w:rsidR="00CC60C0" w:rsidRPr="00827A03" w:rsidRDefault="00000000" w:rsidP="00827A03">
            <w:pPr>
              <w:widowControl w:val="0"/>
              <w:rPr>
                <w:rFonts w:ascii="Times New Roman" w:eastAsia="Times New Roman" w:hAnsi="Times New Roman" w:cs="Times New Roman"/>
                <w:sz w:val="20"/>
                <w:szCs w:val="20"/>
              </w:rPr>
            </w:pPr>
            <w:r w:rsidRPr="00827A03">
              <w:rPr>
                <w:rFonts w:ascii="Times New Roman" w:eastAsia="Times New Roman" w:hAnsi="Times New Roman" w:cs="Times New Roman"/>
                <w:sz w:val="20"/>
                <w:szCs w:val="20"/>
              </w:rPr>
              <w:t>5</w:t>
            </w:r>
          </w:p>
        </w:tc>
        <w:tc>
          <w:tcPr>
            <w:tcW w:w="8145" w:type="dxa"/>
            <w:tcMar>
              <w:top w:w="100" w:type="dxa"/>
              <w:left w:w="100" w:type="dxa"/>
              <w:bottom w:w="100" w:type="dxa"/>
              <w:right w:w="100" w:type="dxa"/>
            </w:tcMar>
          </w:tcPr>
          <w:p w14:paraId="5A56009B" w14:textId="77777777" w:rsidR="00CC60C0" w:rsidRPr="00827A03" w:rsidRDefault="00000000" w:rsidP="00827A03">
            <w:pPr>
              <w:rPr>
                <w:rFonts w:ascii="Times New Roman" w:eastAsia="Times New Roman" w:hAnsi="Times New Roman" w:cs="Times New Roman"/>
                <w:sz w:val="20"/>
                <w:szCs w:val="20"/>
              </w:rPr>
            </w:pPr>
            <w:r w:rsidRPr="00827A03">
              <w:rPr>
                <w:rFonts w:ascii="Times New Roman" w:eastAsia="Times New Roman" w:hAnsi="Times New Roman" w:cs="Times New Roman"/>
                <w:b/>
                <w:bCs/>
                <w:sz w:val="20"/>
                <w:szCs w:val="20"/>
              </w:rPr>
              <w:t>Subspecialty Peripheral Nerve Expert at High-Volume Center:</w:t>
            </w:r>
            <w:r w:rsidRPr="00827A03">
              <w:rPr>
                <w:rFonts w:ascii="Times New Roman" w:eastAsia="Times New Roman" w:hAnsi="Times New Roman" w:cs="Times New Roman"/>
                <w:sz w:val="20"/>
                <w:szCs w:val="20"/>
              </w:rPr>
              <w:t xml:space="preserve"> Rare, niche procedures requiring advanced techniques and referral center infrastructure. </w:t>
            </w:r>
          </w:p>
        </w:tc>
      </w:tr>
    </w:tbl>
    <w:p w14:paraId="403B29FE" w14:textId="77777777" w:rsidR="00CC60C0" w:rsidRPr="00827A03" w:rsidRDefault="00CC60C0" w:rsidP="00827A03">
      <w:pPr>
        <w:rPr>
          <w:rFonts w:ascii="Times New Roman" w:eastAsia="Times New Roman" w:hAnsi="Times New Roman" w:cs="Times New Roman"/>
          <w:sz w:val="20"/>
          <w:szCs w:val="20"/>
        </w:rPr>
      </w:pPr>
    </w:p>
    <w:sectPr w:rsidR="00CC60C0" w:rsidRPr="00827A0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FF860A19-8432-ED48-9D75-2C42CEE5424E}"/>
    <w:embedItalic r:id="rId2" w:fontKey="{F2901066-8148-F942-ACCC-40F64A3FB33C}"/>
  </w:font>
  <w:font w:name="Times New Roman">
    <w:panose1 w:val="02020603050405020304"/>
    <w:charset w:val="00"/>
    <w:family w:val="roman"/>
    <w:pitch w:val="variable"/>
    <w:sig w:usb0="E0002EFF" w:usb1="C000785B" w:usb2="00000009" w:usb3="00000000" w:csb0="000001FF" w:csb1="00000000"/>
    <w:embedRegular r:id="rId3" w:fontKey="{EE454347-8BD4-0249-9922-92ACBEFF02A7}"/>
    <w:embedBold r:id="rId4" w:fontKey="{33CACECF-D364-B64B-B0DE-583C22CC93AE}"/>
    <w:embedItalic r:id="rId5" w:fontKey="{69A310EE-2CF2-8B44-9151-9DC7A3C4495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6" w:fontKey="{A775DD76-4AFE-0048-9812-CF87FAA721B9}"/>
  </w:font>
  <w:font w:name="Cambria">
    <w:panose1 w:val="02040503050406030204"/>
    <w:charset w:val="00"/>
    <w:family w:val="roman"/>
    <w:pitch w:val="variable"/>
    <w:sig w:usb0="E00006FF" w:usb1="420024FF" w:usb2="02000000" w:usb3="00000000" w:csb0="0000019F" w:csb1="00000000"/>
    <w:embedRegular r:id="rId7" w:fontKey="{78A21767-6618-634B-8DB6-258D47797A5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0C0"/>
    <w:rsid w:val="0013237B"/>
    <w:rsid w:val="00827A03"/>
    <w:rsid w:val="00CC60C0"/>
    <w:rsid w:val="00F30157"/>
    <w:rsid w:val="00F960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1DC1ADB"/>
  <w15:docId w15:val="{21F0F863-2FD8-DD4E-AF5E-AAA3D967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856</Words>
  <Characters>4882</Characters>
  <Application>Microsoft Office Word</Application>
  <DocSecurity>0</DocSecurity>
  <Lines>40</Lines>
  <Paragraphs>11</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myim@student.ubc.ca</cp:lastModifiedBy>
  <cp:revision>4</cp:revision>
  <dcterms:created xsi:type="dcterms:W3CDTF">2026-06-26T08:39:00Z</dcterms:created>
  <dcterms:modified xsi:type="dcterms:W3CDTF">2026-06-27T19:15:00Z</dcterms:modified>
</cp:coreProperties>
</file>