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FB3E8" w14:textId="77777777" w:rsidR="00E9182E" w:rsidRPr="007B2C08" w:rsidRDefault="00E9182E" w:rsidP="00E9182E">
      <w:pPr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B2C0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Accuracy of AI-Generated Procedural Descriptions in Peripheral Nerve Surgery: Implications for Surgical Trainin</w:t>
      </w:r>
      <w:r w:rsidRPr="00E9182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g</w:t>
      </w:r>
    </w:p>
    <w:p w14:paraId="5395A4E5" w14:textId="77777777" w:rsidR="00E9182E" w:rsidRPr="00E9182E" w:rsidRDefault="00E9182E" w:rsidP="00E9182E">
      <w:pPr>
        <w:spacing w:line="276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E9182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Global Surgical Education</w:t>
      </w:r>
    </w:p>
    <w:p w14:paraId="51C7094C" w14:textId="77777777" w:rsidR="00E9182E" w:rsidRPr="00E9182E" w:rsidRDefault="00E9182E">
      <w:pPr>
        <w:shd w:val="clear" w:color="auto" w:fill="FFFFFF"/>
        <w:spacing w:after="100" w:line="288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E4435A3" w14:textId="3539EB7D" w:rsidR="007405AF" w:rsidRDefault="00E9182E">
      <w:pPr>
        <w:shd w:val="clear" w:color="auto" w:fill="FFFFFF"/>
        <w:spacing w:after="100" w:line="288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9182E">
        <w:rPr>
          <w:rFonts w:ascii="Times New Roman" w:eastAsia="Times New Roman" w:hAnsi="Times New Roman" w:cs="Times New Roman"/>
          <w:b/>
          <w:bCs/>
          <w:sz w:val="20"/>
          <w:szCs w:val="20"/>
        </w:rPr>
        <w:t>Online Resource</w:t>
      </w:r>
      <w:r w:rsidR="00000000" w:rsidRPr="00E9182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5</w:t>
      </w:r>
      <w:r w:rsidRPr="00E9182E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="00000000" w:rsidRPr="00E9182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Procedure Complexity Scores</w:t>
      </w:r>
    </w:p>
    <w:p w14:paraId="05C9D3BC" w14:textId="58029795" w:rsidR="00250A21" w:rsidRPr="00250A21" w:rsidRDefault="00250A21" w:rsidP="00250A21">
      <w:pPr>
        <w:shd w:val="clear" w:color="auto" w:fill="FFFFFF"/>
        <w:spacing w:after="100" w:line="288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This file reports the complexity scores assigned to each of the 15 procedures using the rubric in Online Resource 4, scored by a board-certified plastic surgeon. </w:t>
      </w:r>
    </w:p>
    <w:tbl>
      <w:tblPr>
        <w:tblStyle w:val="a"/>
        <w:tblW w:w="14784" w:type="dxa"/>
        <w:tblInd w:w="-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25"/>
        <w:gridCol w:w="1369"/>
        <w:gridCol w:w="1151"/>
        <w:gridCol w:w="1170"/>
        <w:gridCol w:w="2010"/>
        <w:gridCol w:w="1920"/>
        <w:gridCol w:w="2396"/>
        <w:gridCol w:w="1843"/>
      </w:tblGrid>
      <w:tr w:rsidR="007405AF" w:rsidRPr="00E9182E" w14:paraId="1AC4B1D9" w14:textId="77777777" w:rsidTr="00E9182E">
        <w:tc>
          <w:tcPr>
            <w:tcW w:w="2925" w:type="dxa"/>
          </w:tcPr>
          <w:p w14:paraId="59CA79BE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Procedure</w:t>
            </w:r>
          </w:p>
        </w:tc>
        <w:tc>
          <w:tcPr>
            <w:tcW w:w="1369" w:type="dxa"/>
          </w:tcPr>
          <w:p w14:paraId="47AD4B75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Risk of Morbidity (1-5)</w:t>
            </w:r>
          </w:p>
        </w:tc>
        <w:tc>
          <w:tcPr>
            <w:tcW w:w="1151" w:type="dxa"/>
          </w:tcPr>
          <w:p w14:paraId="5E34B4BF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Technical Difficulty (1-5)</w:t>
            </w:r>
          </w:p>
        </w:tc>
        <w:tc>
          <w:tcPr>
            <w:tcW w:w="1170" w:type="dxa"/>
          </w:tcPr>
          <w:p w14:paraId="2706FD26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Operative Time (1-5)</w:t>
            </w:r>
          </w:p>
        </w:tc>
        <w:tc>
          <w:tcPr>
            <w:tcW w:w="2010" w:type="dxa"/>
          </w:tcPr>
          <w:p w14:paraId="522A54A6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Nerve Reconstructive Component (1-5)</w:t>
            </w:r>
          </w:p>
        </w:tc>
        <w:tc>
          <w:tcPr>
            <w:tcW w:w="1920" w:type="dxa"/>
          </w:tcPr>
          <w:p w14:paraId="3CFE46D6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918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Multitissue</w:t>
            </w:r>
            <w:proofErr w:type="spellEnd"/>
            <w:r w:rsidRPr="00E918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Reconstructive Component (1-5)</w:t>
            </w:r>
          </w:p>
        </w:tc>
        <w:tc>
          <w:tcPr>
            <w:tcW w:w="2396" w:type="dxa"/>
          </w:tcPr>
          <w:p w14:paraId="01F0541E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Training Level Required (1-5)</w:t>
            </w:r>
          </w:p>
        </w:tc>
        <w:tc>
          <w:tcPr>
            <w:tcW w:w="1843" w:type="dxa"/>
          </w:tcPr>
          <w:p w14:paraId="7BD7A43D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 Complexity Score (6-30)</w:t>
            </w:r>
          </w:p>
        </w:tc>
      </w:tr>
      <w:tr w:rsidR="007405AF" w:rsidRPr="00E9182E" w14:paraId="2C2105D8" w14:textId="77777777" w:rsidTr="00E9182E">
        <w:trPr>
          <w:trHeight w:val="325"/>
        </w:trPr>
        <w:tc>
          <w:tcPr>
            <w:tcW w:w="2925" w:type="dxa"/>
          </w:tcPr>
          <w:p w14:paraId="06E79BA4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hyperlink r:id="rId7">
              <w:r w:rsidRPr="00E9182E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Carpal Tunnel Release</w:t>
              </w:r>
            </w:hyperlink>
          </w:p>
        </w:tc>
        <w:tc>
          <w:tcPr>
            <w:tcW w:w="1369" w:type="dxa"/>
            <w:vAlign w:val="center"/>
          </w:tcPr>
          <w:p w14:paraId="7E4A92D4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1" w:type="dxa"/>
            <w:vAlign w:val="center"/>
          </w:tcPr>
          <w:p w14:paraId="0DEFCE52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70" w:type="dxa"/>
            <w:vAlign w:val="center"/>
          </w:tcPr>
          <w:p w14:paraId="43CAEAA4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0" w:type="dxa"/>
            <w:vAlign w:val="center"/>
          </w:tcPr>
          <w:p w14:paraId="5A988106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0" w:type="dxa"/>
            <w:vAlign w:val="center"/>
          </w:tcPr>
          <w:p w14:paraId="279AAF27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6" w:type="dxa"/>
            <w:vAlign w:val="center"/>
          </w:tcPr>
          <w:p w14:paraId="743E3B30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1271A058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405AF" w:rsidRPr="00E9182E" w14:paraId="6D28428D" w14:textId="77777777" w:rsidTr="00E9182E">
        <w:trPr>
          <w:trHeight w:val="530"/>
        </w:trPr>
        <w:tc>
          <w:tcPr>
            <w:tcW w:w="2925" w:type="dxa"/>
          </w:tcPr>
          <w:p w14:paraId="09E9F9F3" w14:textId="77777777" w:rsidR="007405AF" w:rsidRPr="00E9182E" w:rsidRDefault="00000000">
            <w:pPr>
              <w:shd w:val="clear" w:color="auto" w:fill="FFFFFF"/>
              <w:spacing w:after="100" w:line="28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">
              <w:r w:rsidRPr="00E9182E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Guyon’s Canal Release and Carpal Tunnel Release</w:t>
              </w:r>
            </w:hyperlink>
          </w:p>
        </w:tc>
        <w:tc>
          <w:tcPr>
            <w:tcW w:w="1369" w:type="dxa"/>
            <w:vAlign w:val="center"/>
          </w:tcPr>
          <w:p w14:paraId="7026A7E1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1" w:type="dxa"/>
            <w:vAlign w:val="center"/>
          </w:tcPr>
          <w:p w14:paraId="16036351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70" w:type="dxa"/>
            <w:vAlign w:val="center"/>
          </w:tcPr>
          <w:p w14:paraId="1B05E894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0" w:type="dxa"/>
            <w:vAlign w:val="center"/>
          </w:tcPr>
          <w:p w14:paraId="4CB83A8D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0" w:type="dxa"/>
            <w:vAlign w:val="center"/>
          </w:tcPr>
          <w:p w14:paraId="52AB0352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6" w:type="dxa"/>
            <w:vAlign w:val="center"/>
          </w:tcPr>
          <w:p w14:paraId="05AB414D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15F4D8A7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405AF" w:rsidRPr="00E9182E" w14:paraId="50F361C8" w14:textId="77777777" w:rsidTr="00E9182E">
        <w:tc>
          <w:tcPr>
            <w:tcW w:w="2925" w:type="dxa"/>
          </w:tcPr>
          <w:p w14:paraId="3C8E0ACB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">
              <w:r w:rsidRPr="00E9182E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 xml:space="preserve">Radial Nerve Release at the Spiral </w:t>
              </w:r>
              <w:r w:rsidRPr="00E9182E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G</w:t>
              </w:r>
              <w:r w:rsidRPr="00E9182E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roove</w:t>
              </w:r>
            </w:hyperlink>
          </w:p>
        </w:tc>
        <w:tc>
          <w:tcPr>
            <w:tcW w:w="1369" w:type="dxa"/>
            <w:vAlign w:val="center"/>
          </w:tcPr>
          <w:p w14:paraId="3040D30E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1" w:type="dxa"/>
            <w:vAlign w:val="center"/>
          </w:tcPr>
          <w:p w14:paraId="41ED9A99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  <w:vAlign w:val="center"/>
          </w:tcPr>
          <w:p w14:paraId="5350C99B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0" w:type="dxa"/>
            <w:vAlign w:val="center"/>
          </w:tcPr>
          <w:p w14:paraId="5D5319F8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0" w:type="dxa"/>
            <w:vAlign w:val="center"/>
          </w:tcPr>
          <w:p w14:paraId="5818370E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6" w:type="dxa"/>
            <w:vAlign w:val="center"/>
          </w:tcPr>
          <w:p w14:paraId="3404E682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3B0BDB93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405AF" w:rsidRPr="00E9182E" w14:paraId="4E7C0E1A" w14:textId="77777777" w:rsidTr="00E9182E">
        <w:tc>
          <w:tcPr>
            <w:tcW w:w="2925" w:type="dxa"/>
          </w:tcPr>
          <w:p w14:paraId="23FB0528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">
              <w:r w:rsidRPr="00E9182E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Posterior Interosseous Nerve Release</w:t>
              </w:r>
            </w:hyperlink>
          </w:p>
        </w:tc>
        <w:tc>
          <w:tcPr>
            <w:tcW w:w="1369" w:type="dxa"/>
            <w:vAlign w:val="center"/>
          </w:tcPr>
          <w:p w14:paraId="70019EA7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1" w:type="dxa"/>
            <w:vAlign w:val="center"/>
          </w:tcPr>
          <w:p w14:paraId="093065AE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  <w:vAlign w:val="center"/>
          </w:tcPr>
          <w:p w14:paraId="20B9852D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0" w:type="dxa"/>
            <w:vAlign w:val="center"/>
          </w:tcPr>
          <w:p w14:paraId="0836D556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0" w:type="dxa"/>
            <w:vAlign w:val="center"/>
          </w:tcPr>
          <w:p w14:paraId="3AA2EA62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6" w:type="dxa"/>
            <w:vAlign w:val="center"/>
          </w:tcPr>
          <w:p w14:paraId="1706768A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6DFE43CD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405AF" w:rsidRPr="00E9182E" w14:paraId="2C27EE2B" w14:textId="77777777" w:rsidTr="00E9182E">
        <w:tc>
          <w:tcPr>
            <w:tcW w:w="2925" w:type="dxa"/>
          </w:tcPr>
          <w:p w14:paraId="0835D43D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">
              <w:r w:rsidRPr="00E9182E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Median Nerve Release in the Forearm</w:t>
              </w:r>
            </w:hyperlink>
            <w:r w:rsidRPr="00E918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(+ carpal tunnel release)</w:t>
            </w:r>
          </w:p>
        </w:tc>
        <w:tc>
          <w:tcPr>
            <w:tcW w:w="1369" w:type="dxa"/>
            <w:vAlign w:val="center"/>
          </w:tcPr>
          <w:p w14:paraId="141BE501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51" w:type="dxa"/>
            <w:vAlign w:val="center"/>
          </w:tcPr>
          <w:p w14:paraId="0D2D1DB9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  <w:vAlign w:val="center"/>
          </w:tcPr>
          <w:p w14:paraId="16DA0B31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0" w:type="dxa"/>
            <w:vAlign w:val="center"/>
          </w:tcPr>
          <w:p w14:paraId="45EC0721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0" w:type="dxa"/>
            <w:vAlign w:val="center"/>
          </w:tcPr>
          <w:p w14:paraId="0ADA5CE6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6" w:type="dxa"/>
            <w:vAlign w:val="center"/>
          </w:tcPr>
          <w:p w14:paraId="762AAA36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5DD0BE78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7405AF" w:rsidRPr="00E9182E" w14:paraId="176B5703" w14:textId="77777777" w:rsidTr="00E9182E">
        <w:tc>
          <w:tcPr>
            <w:tcW w:w="2925" w:type="dxa"/>
          </w:tcPr>
          <w:p w14:paraId="12E8A2AB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">
              <w:r w:rsidRPr="00E9182E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Medial Antebrachial Cutaneous Nerve Graft Harvest</w:t>
              </w:r>
            </w:hyperlink>
          </w:p>
        </w:tc>
        <w:tc>
          <w:tcPr>
            <w:tcW w:w="1369" w:type="dxa"/>
            <w:vAlign w:val="center"/>
          </w:tcPr>
          <w:p w14:paraId="01B532B2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51" w:type="dxa"/>
            <w:vAlign w:val="center"/>
          </w:tcPr>
          <w:p w14:paraId="1F668F76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  <w:vAlign w:val="center"/>
          </w:tcPr>
          <w:p w14:paraId="3C9A6F92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0" w:type="dxa"/>
            <w:vAlign w:val="center"/>
          </w:tcPr>
          <w:p w14:paraId="0BB70C62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0" w:type="dxa"/>
            <w:vAlign w:val="center"/>
          </w:tcPr>
          <w:p w14:paraId="0862C500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6" w:type="dxa"/>
            <w:vAlign w:val="center"/>
          </w:tcPr>
          <w:p w14:paraId="502C49B8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4E1504F0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7405AF" w:rsidRPr="00E9182E" w14:paraId="3817E331" w14:textId="77777777" w:rsidTr="00E9182E">
        <w:tc>
          <w:tcPr>
            <w:tcW w:w="2925" w:type="dxa"/>
          </w:tcPr>
          <w:p w14:paraId="0BF5D02E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3">
              <w:r w:rsidRPr="00E9182E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Submuscular Ulnar Nerve Transposition</w:t>
              </w:r>
            </w:hyperlink>
          </w:p>
        </w:tc>
        <w:tc>
          <w:tcPr>
            <w:tcW w:w="1369" w:type="dxa"/>
            <w:vAlign w:val="center"/>
          </w:tcPr>
          <w:p w14:paraId="70403020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1" w:type="dxa"/>
            <w:vAlign w:val="center"/>
          </w:tcPr>
          <w:p w14:paraId="69833D66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0" w:type="dxa"/>
            <w:vAlign w:val="center"/>
          </w:tcPr>
          <w:p w14:paraId="6AD762F8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0" w:type="dxa"/>
            <w:vAlign w:val="center"/>
          </w:tcPr>
          <w:p w14:paraId="63FCBA07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0" w:type="dxa"/>
            <w:vAlign w:val="center"/>
          </w:tcPr>
          <w:p w14:paraId="71799AFF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6" w:type="dxa"/>
            <w:vAlign w:val="center"/>
          </w:tcPr>
          <w:p w14:paraId="613C1D86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5A45854E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7405AF" w:rsidRPr="00E9182E" w14:paraId="41213551" w14:textId="77777777" w:rsidTr="00E9182E">
        <w:tc>
          <w:tcPr>
            <w:tcW w:w="2925" w:type="dxa"/>
          </w:tcPr>
          <w:p w14:paraId="0773B12F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4">
              <w:r w:rsidRPr="00E9182E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Thoracodorsal to Long Thoracic Nerve Transfer</w:t>
              </w:r>
            </w:hyperlink>
          </w:p>
        </w:tc>
        <w:tc>
          <w:tcPr>
            <w:tcW w:w="1369" w:type="dxa"/>
            <w:vAlign w:val="center"/>
          </w:tcPr>
          <w:p w14:paraId="7C611E81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1" w:type="dxa"/>
            <w:vAlign w:val="center"/>
          </w:tcPr>
          <w:p w14:paraId="34DC312D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  <w:vAlign w:val="center"/>
          </w:tcPr>
          <w:p w14:paraId="7E575DFD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0" w:type="dxa"/>
            <w:vAlign w:val="center"/>
          </w:tcPr>
          <w:p w14:paraId="78BDC086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20" w:type="dxa"/>
            <w:vAlign w:val="center"/>
          </w:tcPr>
          <w:p w14:paraId="228FBA0F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6" w:type="dxa"/>
            <w:vAlign w:val="center"/>
          </w:tcPr>
          <w:p w14:paraId="7EE1A225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31165755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7405AF" w:rsidRPr="00E9182E" w14:paraId="4EF73257" w14:textId="77777777" w:rsidTr="00E9182E">
        <w:tc>
          <w:tcPr>
            <w:tcW w:w="2925" w:type="dxa"/>
          </w:tcPr>
          <w:p w14:paraId="32072B4F" w14:textId="77777777" w:rsidR="007405AF" w:rsidRPr="00E9182E" w:rsidRDefault="00000000">
            <w:pPr>
              <w:shd w:val="clear" w:color="auto" w:fill="FFFFFF"/>
              <w:spacing w:after="10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hyperlink r:id="rId15">
              <w:r w:rsidRPr="00E9182E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Double Fascicular Transfer: Median Fascicle to Biceps Branch and Ulnar Fascicle to Brachialis Branch Nerve Transfers</w:t>
              </w:r>
            </w:hyperlink>
          </w:p>
        </w:tc>
        <w:tc>
          <w:tcPr>
            <w:tcW w:w="1369" w:type="dxa"/>
            <w:vAlign w:val="center"/>
          </w:tcPr>
          <w:p w14:paraId="58154918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51" w:type="dxa"/>
            <w:vAlign w:val="center"/>
          </w:tcPr>
          <w:p w14:paraId="43A1FDED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70" w:type="dxa"/>
            <w:vAlign w:val="center"/>
          </w:tcPr>
          <w:p w14:paraId="38974FA1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0" w:type="dxa"/>
            <w:vAlign w:val="center"/>
          </w:tcPr>
          <w:p w14:paraId="1FD6A7DC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0" w:type="dxa"/>
            <w:vAlign w:val="center"/>
          </w:tcPr>
          <w:p w14:paraId="08F26AA2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6" w:type="dxa"/>
            <w:vAlign w:val="center"/>
          </w:tcPr>
          <w:p w14:paraId="56F175CF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08415F71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7405AF" w:rsidRPr="00E9182E" w14:paraId="3FF544C3" w14:textId="77777777" w:rsidTr="00E9182E">
        <w:tc>
          <w:tcPr>
            <w:tcW w:w="2925" w:type="dxa"/>
          </w:tcPr>
          <w:p w14:paraId="7C530799" w14:textId="77777777" w:rsidR="007405AF" w:rsidRPr="00E9182E" w:rsidRDefault="00000000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6">
              <w:r w:rsidRPr="00E9182E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Medial Triceps to Axillary Nerve Transfer</w:t>
              </w:r>
            </w:hyperlink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(also included superior lateral cutaneous end-to-side to radial sensory nerve transfer)</w:t>
            </w:r>
          </w:p>
        </w:tc>
        <w:tc>
          <w:tcPr>
            <w:tcW w:w="1369" w:type="dxa"/>
            <w:vAlign w:val="center"/>
          </w:tcPr>
          <w:p w14:paraId="18576A2D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51" w:type="dxa"/>
            <w:vAlign w:val="center"/>
          </w:tcPr>
          <w:p w14:paraId="6C9101E8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70" w:type="dxa"/>
            <w:vAlign w:val="center"/>
          </w:tcPr>
          <w:p w14:paraId="12031F04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0" w:type="dxa"/>
            <w:vAlign w:val="center"/>
          </w:tcPr>
          <w:p w14:paraId="1CC987FD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0" w:type="dxa"/>
            <w:vAlign w:val="center"/>
          </w:tcPr>
          <w:p w14:paraId="7A72BCD7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6" w:type="dxa"/>
            <w:vAlign w:val="center"/>
          </w:tcPr>
          <w:p w14:paraId="1EC36C55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4A1FC5D4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7405AF" w:rsidRPr="00E9182E" w14:paraId="47759340" w14:textId="77777777" w:rsidTr="00E9182E">
        <w:tc>
          <w:tcPr>
            <w:tcW w:w="2925" w:type="dxa"/>
          </w:tcPr>
          <w:p w14:paraId="3F5BB226" w14:textId="77777777" w:rsidR="007405AF" w:rsidRPr="00E9182E" w:rsidRDefault="00000000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7">
              <w:r w:rsidRPr="00E9182E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Thoracic Outlet Decompression</w:t>
              </w:r>
            </w:hyperlink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E9182E">
              <w:rPr>
                <w:rFonts w:ascii="Times New Roman" w:eastAsia="Times New Roman" w:hAnsi="Times New Roman" w:cs="Times New Roman"/>
                <w:color w:val="555555"/>
                <w:sz w:val="20"/>
                <w:szCs w:val="20"/>
              </w:rPr>
              <w:t>supraclavicular approach)</w:t>
            </w:r>
          </w:p>
        </w:tc>
        <w:tc>
          <w:tcPr>
            <w:tcW w:w="1369" w:type="dxa"/>
            <w:vAlign w:val="center"/>
          </w:tcPr>
          <w:p w14:paraId="3BCE3652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51" w:type="dxa"/>
            <w:vAlign w:val="center"/>
          </w:tcPr>
          <w:p w14:paraId="7106AB72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70" w:type="dxa"/>
            <w:vAlign w:val="center"/>
          </w:tcPr>
          <w:p w14:paraId="27EC3571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0" w:type="dxa"/>
            <w:vAlign w:val="center"/>
          </w:tcPr>
          <w:p w14:paraId="2BCB01A6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20" w:type="dxa"/>
            <w:vAlign w:val="center"/>
          </w:tcPr>
          <w:p w14:paraId="260B0FBA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6" w:type="dxa"/>
            <w:vAlign w:val="center"/>
          </w:tcPr>
          <w:p w14:paraId="116724EB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3D0016C0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7405AF" w:rsidRPr="00E9182E" w14:paraId="295EB5CD" w14:textId="77777777" w:rsidTr="00E9182E">
        <w:tc>
          <w:tcPr>
            <w:tcW w:w="2925" w:type="dxa"/>
          </w:tcPr>
          <w:p w14:paraId="049ECD61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8">
              <w:r w:rsidRPr="00E9182E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Anterior Interosseous to Ulnar Motor Supercharge Nerve Transfer</w:t>
              </w:r>
            </w:hyperlink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182E">
              <w:rPr>
                <w:rFonts w:ascii="Times New Roman" w:eastAsia="Times New Roman" w:hAnsi="Times New Roman" w:cs="Times New Roman"/>
                <w:color w:val="555555"/>
                <w:sz w:val="20"/>
                <w:szCs w:val="20"/>
              </w:rPr>
              <w:t>transmuscular</w:t>
            </w:r>
            <w:proofErr w:type="spellEnd"/>
            <w:r w:rsidRPr="00E9182E">
              <w:rPr>
                <w:rFonts w:ascii="Times New Roman" w:eastAsia="Times New Roman" w:hAnsi="Times New Roman" w:cs="Times New Roman"/>
                <w:color w:val="555555"/>
                <w:sz w:val="20"/>
                <w:szCs w:val="20"/>
              </w:rPr>
              <w:t xml:space="preserve"> ulnar nerve transposition, Guyon’s canal release, and FDP tenodesis)</w:t>
            </w:r>
          </w:p>
        </w:tc>
        <w:tc>
          <w:tcPr>
            <w:tcW w:w="1369" w:type="dxa"/>
            <w:vAlign w:val="center"/>
          </w:tcPr>
          <w:p w14:paraId="5B39AE85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1" w:type="dxa"/>
            <w:vAlign w:val="center"/>
          </w:tcPr>
          <w:p w14:paraId="4EE90B91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70" w:type="dxa"/>
            <w:vAlign w:val="center"/>
          </w:tcPr>
          <w:p w14:paraId="5D6D9F0D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0" w:type="dxa"/>
            <w:vAlign w:val="center"/>
          </w:tcPr>
          <w:p w14:paraId="517BACB5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20" w:type="dxa"/>
            <w:vAlign w:val="center"/>
          </w:tcPr>
          <w:p w14:paraId="109D86AE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6" w:type="dxa"/>
            <w:vAlign w:val="center"/>
          </w:tcPr>
          <w:p w14:paraId="06447C68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0C65684B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7405AF" w:rsidRPr="00E9182E" w14:paraId="54433877" w14:textId="77777777" w:rsidTr="00E9182E">
        <w:tc>
          <w:tcPr>
            <w:tcW w:w="2925" w:type="dxa"/>
          </w:tcPr>
          <w:p w14:paraId="317147EC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9">
              <w:r w:rsidRPr="00E9182E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Posterior Approach - Spinal Accessory to Suprascapular Nerve Transfer</w:t>
              </w:r>
            </w:hyperlink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E9182E">
              <w:rPr>
                <w:rFonts w:ascii="Times New Roman" w:eastAsia="Times New Roman" w:hAnsi="Times New Roman" w:cs="Times New Roman"/>
                <w:color w:val="555555"/>
                <w:sz w:val="20"/>
                <w:szCs w:val="20"/>
              </w:rPr>
              <w:t>with a medial triceps to axillary nerve transfer.)</w:t>
            </w:r>
          </w:p>
        </w:tc>
        <w:tc>
          <w:tcPr>
            <w:tcW w:w="1369" w:type="dxa"/>
            <w:vAlign w:val="center"/>
          </w:tcPr>
          <w:p w14:paraId="61E10964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51" w:type="dxa"/>
            <w:vAlign w:val="center"/>
          </w:tcPr>
          <w:p w14:paraId="1132274F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70" w:type="dxa"/>
            <w:vAlign w:val="center"/>
          </w:tcPr>
          <w:p w14:paraId="4C1ABD57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0" w:type="dxa"/>
            <w:vAlign w:val="center"/>
          </w:tcPr>
          <w:p w14:paraId="38DEA2EC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0" w:type="dxa"/>
            <w:vAlign w:val="center"/>
          </w:tcPr>
          <w:p w14:paraId="501D1C4A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6" w:type="dxa"/>
            <w:vAlign w:val="center"/>
          </w:tcPr>
          <w:p w14:paraId="07D31396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47A306A8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7405AF" w:rsidRPr="00E9182E" w14:paraId="075EE463" w14:textId="77777777" w:rsidTr="00E9182E">
        <w:tc>
          <w:tcPr>
            <w:tcW w:w="2925" w:type="dxa"/>
          </w:tcPr>
          <w:p w14:paraId="31DA1A7A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0">
              <w:r w:rsidRPr="00E9182E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Brachialis to Anterior Interosseous Nerve Transfer with Extended Forearm Incision</w:t>
              </w:r>
            </w:hyperlink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E9182E">
              <w:rPr>
                <w:rFonts w:ascii="Times New Roman" w:eastAsia="Times New Roman" w:hAnsi="Times New Roman" w:cs="Times New Roman"/>
                <w:color w:val="555555"/>
                <w:sz w:val="20"/>
                <w:szCs w:val="20"/>
              </w:rPr>
              <w:t>with the supinator to flexor digitorum superficialis nerve transfer and lateral antebrachial cutaneous to ulnar sensory nerve transfer. Additionally, this patient has an anomalous sensory nerve anastomosis from a brachialis nerve branch to the sensory component of the median nerve.)</w:t>
            </w:r>
          </w:p>
        </w:tc>
        <w:tc>
          <w:tcPr>
            <w:tcW w:w="1369" w:type="dxa"/>
            <w:vAlign w:val="center"/>
          </w:tcPr>
          <w:p w14:paraId="17368DB8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51" w:type="dxa"/>
            <w:vAlign w:val="center"/>
          </w:tcPr>
          <w:p w14:paraId="22E785B1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70" w:type="dxa"/>
            <w:vAlign w:val="center"/>
          </w:tcPr>
          <w:p w14:paraId="27009378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0" w:type="dxa"/>
            <w:vAlign w:val="center"/>
          </w:tcPr>
          <w:p w14:paraId="5C2636F6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0" w:type="dxa"/>
            <w:vAlign w:val="center"/>
          </w:tcPr>
          <w:p w14:paraId="41176970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6" w:type="dxa"/>
            <w:vAlign w:val="center"/>
          </w:tcPr>
          <w:p w14:paraId="3A34C102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4DD42F8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7405AF" w:rsidRPr="00E9182E" w14:paraId="466A1F2B" w14:textId="77777777" w:rsidTr="00E9182E">
        <w:tc>
          <w:tcPr>
            <w:tcW w:w="2925" w:type="dxa"/>
          </w:tcPr>
          <w:p w14:paraId="5E6C5798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1">
              <w:r w:rsidRPr="00E9182E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Median (FCR/FDS) to Radial (PIN/ECRB) Nerve Transfers with PT to ECRB Tendon Transfer</w:t>
              </w:r>
            </w:hyperlink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(plus </w:t>
            </w:r>
            <w:r w:rsidRPr="00E9182E">
              <w:rPr>
                <w:rFonts w:ascii="Times New Roman" w:eastAsia="Times New Roman" w:hAnsi="Times New Roman" w:cs="Times New Roman"/>
                <w:color w:val="555555"/>
                <w:sz w:val="20"/>
                <w:szCs w:val="20"/>
              </w:rPr>
              <w:t>radial sensory nerve end-to-side into the sensory component of the median nerve)</w:t>
            </w:r>
          </w:p>
        </w:tc>
        <w:tc>
          <w:tcPr>
            <w:tcW w:w="1369" w:type="dxa"/>
            <w:vAlign w:val="center"/>
          </w:tcPr>
          <w:p w14:paraId="7D6953CE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51" w:type="dxa"/>
            <w:vAlign w:val="center"/>
          </w:tcPr>
          <w:p w14:paraId="4CC11420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70" w:type="dxa"/>
            <w:vAlign w:val="center"/>
          </w:tcPr>
          <w:p w14:paraId="262DE711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0" w:type="dxa"/>
            <w:vAlign w:val="center"/>
          </w:tcPr>
          <w:p w14:paraId="4A06500A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0" w:type="dxa"/>
            <w:vAlign w:val="center"/>
          </w:tcPr>
          <w:p w14:paraId="6F3979CE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6" w:type="dxa"/>
            <w:vAlign w:val="center"/>
          </w:tcPr>
          <w:p w14:paraId="0B02BC70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0303DE0C" w14:textId="77777777" w:rsidR="007405AF" w:rsidRPr="00E9182E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182E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</w:tr>
    </w:tbl>
    <w:p w14:paraId="703A7FEC" w14:textId="77777777" w:rsidR="007405AF" w:rsidRPr="00E9182E" w:rsidRDefault="007405AF">
      <w:pPr>
        <w:shd w:val="clear" w:color="auto" w:fill="FFFFFF"/>
        <w:spacing w:after="100" w:line="288" w:lineRule="auto"/>
        <w:rPr>
          <w:rFonts w:ascii="Times New Roman" w:hAnsi="Times New Roman" w:cs="Times New Roman"/>
          <w:sz w:val="20"/>
          <w:szCs w:val="20"/>
        </w:rPr>
        <w:sectPr w:rsidR="007405AF" w:rsidRPr="00E9182E" w:rsidSect="00E9182E">
          <w:pgSz w:w="15840" w:h="12240" w:orient="landscape"/>
          <w:pgMar w:top="1440" w:right="720" w:bottom="1440" w:left="720" w:header="720" w:footer="720" w:gutter="0"/>
          <w:pgNumType w:start="1"/>
          <w:cols w:space="720"/>
          <w:docGrid w:linePitch="326"/>
        </w:sectPr>
      </w:pPr>
    </w:p>
    <w:p w14:paraId="6AF3C8E7" w14:textId="77777777" w:rsidR="007405AF" w:rsidRPr="00E9182E" w:rsidRDefault="007405A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9yuytqyil3x2" w:colFirst="0" w:colLast="0"/>
      <w:bookmarkStart w:id="1" w:name="_njx630px9ljc" w:colFirst="0" w:colLast="0"/>
      <w:bookmarkEnd w:id="0"/>
      <w:bookmarkEnd w:id="1"/>
    </w:p>
    <w:sectPr w:rsidR="007405AF" w:rsidRPr="00E9182E">
      <w:pgSz w:w="15840" w:h="12240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BF8FC" w14:textId="77777777" w:rsidR="003E5C9B" w:rsidRDefault="003E5C9B" w:rsidP="00E9182E">
      <w:r>
        <w:separator/>
      </w:r>
    </w:p>
  </w:endnote>
  <w:endnote w:type="continuationSeparator" w:id="0">
    <w:p w14:paraId="5AA0BFB6" w14:textId="77777777" w:rsidR="003E5C9B" w:rsidRDefault="003E5C9B" w:rsidP="00E91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A7E8FB3-5386-0544-A1F4-E344FE88FA4E}"/>
    <w:embedBold r:id="rId2" w:fontKey="{793C0E9D-9B8C-2F48-915B-E6FD546BC523}"/>
    <w:embedItalic r:id="rId3" w:fontKey="{8C84D22D-67C6-4940-B39B-09F92401381E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902EC551-B0D9-D74A-A73F-8045CFDCCB40}"/>
    <w:embedItalic r:id="rId5" w:fontKey="{55620911-47C3-EB47-927B-F04E3ECF2229}"/>
  </w:font>
  <w:font w:name="Play">
    <w:charset w:val="00"/>
    <w:family w:val="auto"/>
    <w:pitch w:val="default"/>
    <w:embedRegular r:id="rId6" w:fontKey="{55C0CCEB-6431-A545-ABF9-DAF879D03E3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5FFB11AA-6049-E147-A889-7E72C168833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BBE0F91-45B9-B84E-9153-72B27E562F3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4563F" w14:textId="77777777" w:rsidR="003E5C9B" w:rsidRDefault="003E5C9B" w:rsidP="00E9182E">
      <w:r>
        <w:separator/>
      </w:r>
    </w:p>
  </w:footnote>
  <w:footnote w:type="continuationSeparator" w:id="0">
    <w:p w14:paraId="1F5FB0B1" w14:textId="77777777" w:rsidR="003E5C9B" w:rsidRDefault="003E5C9B" w:rsidP="00E918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B1FE8"/>
    <w:multiLevelType w:val="multilevel"/>
    <w:tmpl w:val="A0846F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F2D1924"/>
    <w:multiLevelType w:val="multilevel"/>
    <w:tmpl w:val="399806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61333893">
    <w:abstractNumId w:val="1"/>
  </w:num>
  <w:num w:numId="2" w16cid:durableId="1056779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5AF"/>
    <w:rsid w:val="001A7DCA"/>
    <w:rsid w:val="00250A21"/>
    <w:rsid w:val="003E5C9B"/>
    <w:rsid w:val="007405AF"/>
    <w:rsid w:val="00E9182E"/>
    <w:rsid w:val="00F3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6C896"/>
  <w15:docId w15:val="{21F0F863-2FD8-DD4E-AF5E-AAA3D967C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918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82E"/>
  </w:style>
  <w:style w:type="paragraph" w:styleId="Footer">
    <w:name w:val="footer"/>
    <w:basedOn w:val="Normal"/>
    <w:link w:val="FooterChar"/>
    <w:uiPriority w:val="99"/>
    <w:unhideWhenUsed/>
    <w:rsid w:val="00E918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1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rgicaleducation.wustl.edu/guyons-canal-release-carpal-tunnel-release/" TargetMode="External"/><Relationship Id="rId13" Type="http://schemas.openxmlformats.org/officeDocument/2006/relationships/hyperlink" Target="https://surgicaleducation.wustl.edu/submuscular-ulnar-nerve-transposition/" TargetMode="External"/><Relationship Id="rId18" Type="http://schemas.openxmlformats.org/officeDocument/2006/relationships/hyperlink" Target="https://surgicaleducation.wustl.edu/anterior-interosseous-ulnar-motor-supercharge-nerve-transfer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urgicaleducation.wustl.edu/median-fcrfds-radial-pinecrb-nerve-transfers-with-pt-to-ecrb-tendon-transfer/" TargetMode="External"/><Relationship Id="rId7" Type="http://schemas.openxmlformats.org/officeDocument/2006/relationships/hyperlink" Target="https://surgicaleducation.wustl.edu/carpal-tunnel-release/" TargetMode="External"/><Relationship Id="rId12" Type="http://schemas.openxmlformats.org/officeDocument/2006/relationships/hyperlink" Target="https://surgicaleducation.wustl.edu/medial-antebrachial-cutaneous-nerve-graft-harvest/" TargetMode="External"/><Relationship Id="rId17" Type="http://schemas.openxmlformats.org/officeDocument/2006/relationships/hyperlink" Target="https://surgicaleducation.wustl.edu/thoracic-outlet-decompression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urgicaleducation.wustl.edu/medial-triceps-to-axillary-nerve-transfer/" TargetMode="External"/><Relationship Id="rId20" Type="http://schemas.openxmlformats.org/officeDocument/2006/relationships/hyperlink" Target="https://surgicaleducation.wustl.edu/brachialis-anterior-interosseous-nerve-transfer-extended-forearm-incision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urgicaleducation.wustl.edu/median-nerve-release-in-the-forear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urgicaleducation.wustl.edu/double-fascicular-transfer-median-fascicle-biceps-branch-ulnar-fascicle-brachialis-branch-nerve-transfers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surgicaleducation.wustl.edu/posterior-interosseous-nerve-release/" TargetMode="External"/><Relationship Id="rId19" Type="http://schemas.openxmlformats.org/officeDocument/2006/relationships/hyperlink" Target="https://surgicaleducation.wustl.edu/posterior-approach-spinal-accessory-suprascapular-nerve-transfe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rgicaleducation.wustl.edu/radial-nerve-release-at-the-spiral-groove/" TargetMode="External"/><Relationship Id="rId14" Type="http://schemas.openxmlformats.org/officeDocument/2006/relationships/hyperlink" Target="https://surgicaleducation.wustl.edu/thoracodorsal-long-thoracic-nerve-transfer/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575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myim@student.ubc.ca</cp:lastModifiedBy>
  <cp:revision>4</cp:revision>
  <dcterms:created xsi:type="dcterms:W3CDTF">2026-06-26T08:41:00Z</dcterms:created>
  <dcterms:modified xsi:type="dcterms:W3CDTF">2026-06-27T19:18:00Z</dcterms:modified>
</cp:coreProperties>
</file>