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093BAF">
      <w:pPr>
        <w:spacing w:after="156" w:afterLines="50"/>
        <w:jc w:val="both"/>
        <w:rPr>
          <w:b/>
          <w:szCs w:val="24"/>
          <w:lang w:val="en-GB"/>
        </w:rPr>
      </w:pPr>
      <w:bookmarkStart w:id="0" w:name="OLE_LINK2"/>
      <w:bookmarkStart w:id="1" w:name="_Hlk166348715"/>
      <w:bookmarkStart w:id="2" w:name="OLE_LINK1"/>
      <w:bookmarkStart w:id="3" w:name="OLE_LINK24"/>
      <w:bookmarkStart w:id="4" w:name="OLE_LINK11"/>
      <w:r>
        <w:rPr>
          <w:b/>
          <w:szCs w:val="24"/>
          <w:lang w:val="en-GB"/>
        </w:rPr>
        <w:t>Supplementary information</w:t>
      </w:r>
    </w:p>
    <w:bookmarkEnd w:id="0"/>
    <w:bookmarkEnd w:id="1"/>
    <w:bookmarkEnd w:id="2"/>
    <w:bookmarkEnd w:id="3"/>
    <w:bookmarkEnd w:id="4"/>
    <w:p w14:paraId="1238CF17">
      <w:pPr>
        <w:numPr>
          <w:ilvl w:val="0"/>
          <w:numId w:val="1"/>
        </w:numPr>
        <w:spacing w:before="0" w:beforeAutospacing="0" w:after="0" w:afterAutospacing="0"/>
        <w:rPr>
          <w:rFonts w:cs="Times New Roman"/>
          <w:b/>
          <w:szCs w:val="24"/>
          <w:lang w:val="en-GB"/>
        </w:rPr>
      </w:pPr>
      <w:r>
        <w:rPr>
          <w:b/>
          <w:szCs w:val="24"/>
          <w:lang w:val="en-GB"/>
        </w:rPr>
        <w:t>Supplementary</w:t>
      </w:r>
      <w:r>
        <w:rPr>
          <w:rFonts w:cs="Times New Roman"/>
          <w:b/>
          <w:szCs w:val="24"/>
          <w:lang w:val="en-GB"/>
        </w:rPr>
        <w:t xml:space="preserve"> Figure</w:t>
      </w:r>
      <w:r>
        <w:rPr>
          <w:rFonts w:hint="eastAsia" w:cs="Times New Roman"/>
          <w:b/>
          <w:szCs w:val="24"/>
          <w:lang w:val="en-GB"/>
        </w:rPr>
        <w:t>s</w:t>
      </w:r>
      <w:r>
        <w:rPr>
          <w:rFonts w:cs="Times New Roman"/>
          <w:b/>
          <w:szCs w:val="24"/>
          <w:lang w:val="en-GB"/>
        </w:rPr>
        <w:t xml:space="preserve"> </w:t>
      </w:r>
    </w:p>
    <w:p w14:paraId="5213B0AD">
      <w:pPr>
        <w:jc w:val="both"/>
        <w:rPr>
          <w:rFonts w:cs="Times New Roman"/>
          <w:b/>
          <w:bCs/>
          <w:szCs w:val="24"/>
          <w:lang w:val="en-GB"/>
        </w:rPr>
      </w:pPr>
      <w:r>
        <w:rPr>
          <w:rFonts w:cs="Times New Roman"/>
          <w:b/>
          <w:bCs/>
          <w:szCs w:val="24"/>
          <w:lang w:val="en-GB"/>
        </w:rPr>
        <w:drawing>
          <wp:inline distT="0" distB="0" distL="0" distR="0">
            <wp:extent cx="5274310" cy="30861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BACE">
      <w:pPr>
        <w:jc w:val="both"/>
        <w:rPr>
          <w:rFonts w:hint="eastAsia" w:cs="Times New Roman"/>
          <w:b/>
          <w:bCs/>
          <w:szCs w:val="24"/>
          <w:lang w:val="en-US" w:eastAsia="zh-CN"/>
        </w:rPr>
      </w:pPr>
      <w:r>
        <w:rPr>
          <w:rFonts w:cs="Times New Roman"/>
          <w:b/>
          <w:bCs/>
          <w:szCs w:val="24"/>
        </w:rPr>
        <w:t>Supplementary Fig. 1. Up-regulation of TMEM87A correlates with poor prognosis of PDAC</w:t>
      </w:r>
      <w:r>
        <w:rPr>
          <w:rFonts w:hint="eastAsia" w:cs="Times New Roman"/>
          <w:b/>
          <w:bCs/>
          <w:szCs w:val="24"/>
          <w:lang w:val="en-US" w:eastAsia="zh-CN"/>
        </w:rPr>
        <w:t xml:space="preserve">. </w:t>
      </w:r>
    </w:p>
    <w:p w14:paraId="5D7672E9">
      <w:pPr>
        <w:jc w:val="both"/>
        <w:rPr>
          <w:rFonts w:cs="Times New Roman"/>
          <w:b/>
          <w:bCs/>
          <w:szCs w:val="24"/>
        </w:rPr>
      </w:pPr>
      <w:r>
        <w:rPr>
          <w:rFonts w:hint="eastAsia" w:cs="Times New Roman"/>
          <w:b/>
          <w:bCs/>
          <w:szCs w:val="24"/>
          <w:lang w:val="en-US" w:eastAsia="zh-CN"/>
        </w:rPr>
        <w:t xml:space="preserve">(A) </w:t>
      </w:r>
      <w:r>
        <w:rPr>
          <w:rFonts w:cs="Times New Roman"/>
          <w:szCs w:val="24"/>
        </w:rPr>
        <w:t>GEPIA database analysis of relative mRNA expression of TMEM87A in pan-cancer.</w:t>
      </w:r>
      <w:r>
        <w:rPr>
          <w:rFonts w:hint="eastAsia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hint="eastAsia" w:cs="Times New Roman"/>
          <w:b/>
          <w:bCs/>
          <w:szCs w:val="24"/>
          <w:lang w:val="en-US" w:eastAsia="zh-CN"/>
        </w:rPr>
        <w:t>B)</w:t>
      </w:r>
      <w:r>
        <w:rPr>
          <w:rFonts w:hint="eastAsia" w:cs="Times New Roman"/>
          <w:szCs w:val="24"/>
          <w:lang w:val="en-US" w:eastAsia="zh-CN"/>
        </w:rPr>
        <w:t xml:space="preserve"> </w:t>
      </w:r>
      <w:r>
        <w:rPr>
          <w:rFonts w:cs="Times New Roman"/>
          <w:szCs w:val="24"/>
        </w:rPr>
        <w:t xml:space="preserve">GEO dataset (GSE16515, GSE28735, GSE62165, and GSE15471) analysis of TMEM87A mRNA expression in PDAC compared to normal tissues.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hint="eastAsia" w:cs="Times New Roman"/>
          <w:b/>
          <w:bCs/>
          <w:szCs w:val="24"/>
          <w:lang w:val="en-US" w:eastAsia="zh-CN"/>
        </w:rPr>
        <w:t>C)</w:t>
      </w:r>
      <w:r>
        <w:rPr>
          <w:rFonts w:hint="eastAsia" w:cs="Times New Roman"/>
          <w:szCs w:val="24"/>
          <w:lang w:val="en-US" w:eastAsia="zh-CN"/>
        </w:rPr>
        <w:t xml:space="preserve"> </w:t>
      </w:r>
      <w:r>
        <w:rPr>
          <w:rFonts w:cs="Times New Roman"/>
          <w:szCs w:val="24"/>
        </w:rPr>
        <w:t xml:space="preserve">Quantitative PCR analyses of </w:t>
      </w:r>
      <w:r>
        <w:rPr>
          <w:rFonts w:cs="Times New Roman"/>
          <w:i/>
          <w:iCs/>
          <w:szCs w:val="24"/>
        </w:rPr>
        <w:t>TMEM87A</w:t>
      </w:r>
      <w:r>
        <w:rPr>
          <w:rFonts w:cs="Times New Roman"/>
          <w:szCs w:val="24"/>
        </w:rPr>
        <w:t xml:space="preserve"> mRNA expression in 8 PDAC tissue samples and their paired adjacent normal pancreatic tissue samples.</w:t>
      </w:r>
      <w:r>
        <w:t xml:space="preserve"> </w:t>
      </w:r>
      <w:r>
        <w:rPr>
          <w:rFonts w:cs="Times New Roman"/>
          <w:i/>
          <w:iCs/>
          <w:szCs w:val="24"/>
        </w:rPr>
        <w:t>GAPDH</w:t>
      </w:r>
      <w:r>
        <w:rPr>
          <w:rFonts w:cs="Times New Roman"/>
          <w:szCs w:val="24"/>
        </w:rPr>
        <w:t xml:space="preserve"> was used as the loading control. Data are the mean ± SD (***p &lt; 0.001, ns, not significant.). Statistical analysis was performed using an unpaired two‐tailed Student's t‐test (</w:t>
      </w:r>
      <w:r>
        <w:rPr>
          <w:rFonts w:cs="Times New Roman"/>
          <w:b/>
          <w:bCs/>
          <w:szCs w:val="24"/>
        </w:rPr>
        <w:t>B</w:t>
      </w:r>
      <w:r>
        <w:rPr>
          <w:rFonts w:cs="Times New Roman"/>
          <w:szCs w:val="24"/>
        </w:rPr>
        <w:t>), or a two‐way ANOVA, followed by Tukey's test (</w:t>
      </w:r>
      <w:r>
        <w:rPr>
          <w:rFonts w:cs="Times New Roman"/>
          <w:b/>
          <w:bCs/>
          <w:szCs w:val="24"/>
        </w:rPr>
        <w:t>C</w:t>
      </w:r>
      <w:r>
        <w:rPr>
          <w:rFonts w:cs="Times New Roman"/>
          <w:szCs w:val="24"/>
        </w:rPr>
        <w:t>).</w:t>
      </w:r>
    </w:p>
    <w:p w14:paraId="22B15499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drawing>
          <wp:inline distT="0" distB="0" distL="0" distR="0">
            <wp:extent cx="5274310" cy="36042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5719">
      <w:pPr>
        <w:spacing w:after="0" w:afterAutospacing="0"/>
        <w:jc w:val="both"/>
        <w:rPr>
          <w:rFonts w:hint="eastAsia" w:cs="Times New Roman"/>
          <w:b/>
          <w:bCs/>
          <w:szCs w:val="24"/>
          <w:lang w:val="en-US" w:eastAsia="zh-CN"/>
        </w:rPr>
      </w:pPr>
      <w:r>
        <w:rPr>
          <w:rFonts w:cs="Times New Roman"/>
          <w:b/>
          <w:bCs/>
          <w:szCs w:val="24"/>
        </w:rPr>
        <w:t>Supplementary Fig. 2. KRAS mutations induce the accumulation of TMEM87A in pancreatic cancer via STAT3</w:t>
      </w:r>
      <w:r>
        <w:rPr>
          <w:rFonts w:hint="eastAsia" w:cs="Times New Roman"/>
          <w:b/>
          <w:bCs/>
          <w:szCs w:val="24"/>
          <w:lang w:val="en-US" w:eastAsia="zh-CN"/>
        </w:rPr>
        <w:t xml:space="preserve">. </w:t>
      </w:r>
    </w:p>
    <w:p w14:paraId="1EADFE99">
      <w:pPr>
        <w:spacing w:after="0" w:afterAutospacing="0"/>
        <w:jc w:val="both"/>
        <w:rPr>
          <w:rFonts w:cs="Times New Roman"/>
          <w:b/>
          <w:bCs/>
          <w:szCs w:val="24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A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 xml:space="preserve">Quantitative PCR analyses of </w:t>
      </w:r>
      <w:r>
        <w:rPr>
          <w:rFonts w:cs="Times New Roman"/>
          <w:i/>
          <w:iCs/>
          <w:szCs w:val="24"/>
        </w:rPr>
        <w:t>STAT3</w:t>
      </w:r>
      <w:r>
        <w:rPr>
          <w:rFonts w:cs="Times New Roman"/>
          <w:szCs w:val="24"/>
        </w:rPr>
        <w:t xml:space="preserve"> and </w:t>
      </w:r>
      <w:r>
        <w:rPr>
          <w:rFonts w:cs="Times New Roman"/>
          <w:i/>
          <w:iCs/>
          <w:szCs w:val="24"/>
        </w:rPr>
        <w:t>TMEM87A</w:t>
      </w:r>
      <w:r>
        <w:rPr>
          <w:rFonts w:cs="Times New Roman"/>
          <w:szCs w:val="24"/>
        </w:rPr>
        <w:t xml:space="preserve"> mRNA expression in PANC-1 and AsPC-1 cells transfected with STAT3 siRNA. </w:t>
      </w:r>
      <w:r>
        <w:rPr>
          <w:rFonts w:cs="Times New Roman"/>
          <w:i/>
          <w:iCs/>
          <w:szCs w:val="24"/>
        </w:rPr>
        <w:t>GAPDH</w:t>
      </w:r>
      <w:r>
        <w:rPr>
          <w:rFonts w:cs="Times New Roman"/>
          <w:szCs w:val="24"/>
        </w:rPr>
        <w:t xml:space="preserve"> was used as the loading control.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B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 xml:space="preserve">Quantitative PCR analyses of STAT3 and TMEM87A mRNA expression in HPNE and BxPC-3 cells transfected with STAT3. </w:t>
      </w:r>
      <w:r>
        <w:rPr>
          <w:rFonts w:cs="Times New Roman"/>
          <w:i/>
          <w:iCs/>
          <w:szCs w:val="24"/>
        </w:rPr>
        <w:t>GAPDH</w:t>
      </w:r>
      <w:r>
        <w:rPr>
          <w:rFonts w:cs="Times New Roman"/>
          <w:szCs w:val="24"/>
        </w:rPr>
        <w:t xml:space="preserve"> was used as the loading control.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C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)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cs="Times New Roman"/>
          <w:szCs w:val="24"/>
        </w:rPr>
        <w:t xml:space="preserve">IB (top) and quantitative PCR (bottom) analyses of TMEM87A expression in PANC-1 and AsPC-1 cells treated with different concentrations of STAT3 inhibitor (BP-1-102). GAPDH was used as the loading control.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D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)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cs="Times New Roman"/>
          <w:szCs w:val="24"/>
        </w:rPr>
        <w:t xml:space="preserve">The correlation of STAT3 and TMEM87A expression in in various cancer types from TIMER2.0 database.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E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)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cs="Times New Roman"/>
          <w:szCs w:val="24"/>
        </w:rPr>
        <w:t>ChIP-qPCR assay of TMEM87A by using the IgG or STAT3 antibodies in PANC-1 and AsPC-1 cells infected with Vector or KRAS</w:t>
      </w:r>
      <w:r>
        <w:rPr>
          <w:rFonts w:cs="Times New Roman"/>
          <w:szCs w:val="24"/>
          <w:vertAlign w:val="superscript"/>
        </w:rPr>
        <w:t>G12D</w:t>
      </w:r>
      <w:r>
        <w:rPr>
          <w:rFonts w:cs="Times New Roman"/>
          <w:szCs w:val="24"/>
        </w:rPr>
        <w:t xml:space="preserve"> or STAT3.</w:t>
      </w:r>
      <w:r>
        <w:rPr>
          <w:rFonts w:hint="eastAsia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F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)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cs="Times New Roman"/>
          <w:szCs w:val="24"/>
        </w:rPr>
        <w:t>Model depicting the mechanism that KRAS mutations induce TMEM87A upregulation through activation of STAT3.Data are the mean ± SD of n = 3 (</w:t>
      </w:r>
      <w:r>
        <w:rPr>
          <w:rFonts w:cs="Times New Roman"/>
          <w:b/>
          <w:bCs/>
          <w:szCs w:val="24"/>
        </w:rPr>
        <w:t>A-C, E</w:t>
      </w:r>
      <w:r>
        <w:rPr>
          <w:rFonts w:cs="Times New Roman"/>
          <w:szCs w:val="24"/>
        </w:rPr>
        <w:t>) biologically independent samples (***p &lt; 0.001, ns, not significant.). Statistical analysis was performed using a two‐way ANOVA, followed by Tukey's test (</w:t>
      </w:r>
      <w:r>
        <w:rPr>
          <w:rFonts w:cs="Times New Roman"/>
          <w:b/>
          <w:bCs/>
          <w:szCs w:val="24"/>
        </w:rPr>
        <w:t>A-C, E</w:t>
      </w:r>
      <w:r>
        <w:rPr>
          <w:rFonts w:cs="Times New Roman"/>
          <w:szCs w:val="24"/>
        </w:rPr>
        <w:t>).</w:t>
      </w:r>
    </w:p>
    <w:p w14:paraId="2CCC05BF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drawing>
          <wp:inline distT="0" distB="0" distL="0" distR="0">
            <wp:extent cx="5274310" cy="14732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616C">
      <w:pPr>
        <w:jc w:val="both"/>
        <w:rPr>
          <w:rFonts w:hint="eastAsia" w:cs="Times New Roman"/>
          <w:b/>
          <w:bCs/>
          <w:szCs w:val="24"/>
          <w:lang w:val="en-US" w:eastAsia="zh-CN"/>
        </w:rPr>
      </w:pPr>
      <w:r>
        <w:rPr>
          <w:rFonts w:cs="Times New Roman"/>
          <w:b/>
          <w:bCs/>
          <w:szCs w:val="24"/>
        </w:rPr>
        <w:t>Supplementary Fig. 3. TMEM87A promotes pancreatic cancer progression</w:t>
      </w:r>
      <w:r>
        <w:rPr>
          <w:rFonts w:hint="eastAsia" w:cs="Times New Roman"/>
          <w:b/>
          <w:bCs/>
          <w:szCs w:val="24"/>
          <w:lang w:val="en-US" w:eastAsia="zh-CN"/>
        </w:rPr>
        <w:t xml:space="preserve">. </w:t>
      </w:r>
    </w:p>
    <w:p w14:paraId="52874771">
      <w:pPr>
        <w:jc w:val="both"/>
        <w:rPr>
          <w:rFonts w:cs="Times New Roman"/>
          <w:b/>
          <w:bCs/>
          <w:szCs w:val="24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A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 xml:space="preserve">Relative changes in BLI signal intensities of pancreatic tumours formed by the indicated cells in NOG mice in response to DOX treatment.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B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)</w:t>
      </w:r>
      <w:r>
        <w:rPr>
          <w:rFonts w:cs="Times New Roman"/>
          <w:szCs w:val="24"/>
        </w:rPr>
        <w:t xml:space="preserve"> Kaplan–Meier survival curves of the indicated mice.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C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>Relative changes in BLI signal intensities of pancreatic tumours formed by the indicated cells in NOG mice in response to DOX treatment.</w:t>
      </w:r>
      <w:r>
        <w:rPr>
          <w:rFonts w:hint="eastAsia" w:cs="Times New Roman"/>
          <w:b/>
          <w:bCs/>
          <w:szCs w:val="24"/>
          <w:lang w:val="en-US" w:eastAsia="zh-CN"/>
        </w:rPr>
        <w:t xml:space="preserve"> 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D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)</w:t>
      </w:r>
      <w:r>
        <w:rPr>
          <w:rFonts w:cs="Times New Roman"/>
          <w:szCs w:val="24"/>
        </w:rPr>
        <w:t xml:space="preserve"> Kaplan–Meier survival curves of the indicated mice. Data are the mean ± SD of n = 6 (</w:t>
      </w:r>
      <w:r>
        <w:rPr>
          <w:rFonts w:cs="Times New Roman"/>
          <w:b/>
          <w:bCs/>
          <w:szCs w:val="24"/>
        </w:rPr>
        <w:t>A-D</w:t>
      </w:r>
      <w:r>
        <w:rPr>
          <w:rFonts w:cs="Times New Roman"/>
          <w:szCs w:val="24"/>
        </w:rPr>
        <w:t>) biologically independent samples (**p &lt; 0.01, ***p &lt; 0.001, ns, not significant.). Statistical analysis was performed using a one‐way (ANOVA), followed by Dunnett's test (</w:t>
      </w:r>
      <w:r>
        <w:rPr>
          <w:rFonts w:cs="Times New Roman"/>
          <w:b/>
          <w:bCs/>
          <w:szCs w:val="24"/>
        </w:rPr>
        <w:t>A-D</w:t>
      </w:r>
      <w:r>
        <w:rPr>
          <w:rFonts w:cs="Times New Roman"/>
          <w:szCs w:val="24"/>
        </w:rPr>
        <w:t xml:space="preserve">). </w:t>
      </w:r>
    </w:p>
    <w:p w14:paraId="3ED780C6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drawing>
          <wp:inline distT="0" distB="0" distL="0" distR="0">
            <wp:extent cx="5274310" cy="54267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FE76">
      <w:pPr>
        <w:jc w:val="both"/>
        <w:rPr>
          <w:rFonts w:hint="eastAsia" w:cs="Times New Roman"/>
          <w:b/>
          <w:bCs/>
          <w:szCs w:val="24"/>
          <w:lang w:val="en-US" w:eastAsia="zh-CN"/>
        </w:rPr>
      </w:pPr>
      <w:r>
        <w:rPr>
          <w:rFonts w:cs="Times New Roman"/>
          <w:b/>
          <w:bCs/>
          <w:szCs w:val="24"/>
        </w:rPr>
        <w:t>Supplementary Fig. 4. TMEM87A inhibits ferroptosis</w:t>
      </w:r>
      <w:r>
        <w:rPr>
          <w:rFonts w:hint="eastAsia" w:cs="Times New Roman"/>
          <w:b/>
          <w:bCs/>
          <w:szCs w:val="24"/>
          <w:lang w:val="en-US" w:eastAsia="zh-CN"/>
        </w:rPr>
        <w:t xml:space="preserve">. </w:t>
      </w:r>
    </w:p>
    <w:p w14:paraId="51E5BA90">
      <w:pPr>
        <w:jc w:val="both"/>
        <w:rPr>
          <w:rFonts w:cs="Times New Roman"/>
          <w:szCs w:val="24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A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>Cell viability analysis of indicated cells treated with RSL3 (1 µM) plus vehicle, Z</w:t>
      </w:r>
      <w:r>
        <w:rPr>
          <w:rFonts w:hint="eastAsia" w:cs="Times New Roman"/>
          <w:szCs w:val="24"/>
        </w:rPr>
        <w:t>‐</w:t>
      </w:r>
      <w:r>
        <w:rPr>
          <w:rFonts w:cs="Times New Roman"/>
          <w:szCs w:val="24"/>
        </w:rPr>
        <w:t>VAD</w:t>
      </w:r>
      <w:r>
        <w:rPr>
          <w:rFonts w:hint="eastAsia" w:cs="Times New Roman"/>
          <w:szCs w:val="24"/>
        </w:rPr>
        <w:t>‐</w:t>
      </w:r>
      <w:r>
        <w:rPr>
          <w:rFonts w:cs="Times New Roman"/>
          <w:szCs w:val="24"/>
        </w:rPr>
        <w:t>FMK (10 µM), Nec</w:t>
      </w:r>
      <w:r>
        <w:rPr>
          <w:rFonts w:hint="eastAsia" w:cs="Times New Roman"/>
          <w:szCs w:val="24"/>
        </w:rPr>
        <w:t>‐</w:t>
      </w:r>
      <w:r>
        <w:rPr>
          <w:rFonts w:cs="Times New Roman"/>
          <w:szCs w:val="24"/>
        </w:rPr>
        <w:t>1 (10 µM), VX765 (10 µM), Fer</w:t>
      </w:r>
      <w:r>
        <w:rPr>
          <w:rFonts w:hint="eastAsia" w:cs="Times New Roman"/>
          <w:szCs w:val="24"/>
        </w:rPr>
        <w:t>‐</w:t>
      </w:r>
      <w:r>
        <w:rPr>
          <w:rFonts w:cs="Times New Roman"/>
          <w:szCs w:val="24"/>
        </w:rPr>
        <w:t>1 (2 µM), Lip</w:t>
      </w:r>
      <w:r>
        <w:rPr>
          <w:rFonts w:hint="eastAsia" w:cs="Times New Roman"/>
          <w:szCs w:val="24"/>
        </w:rPr>
        <w:t>‐</w:t>
      </w:r>
      <w:r>
        <w:rPr>
          <w:rFonts w:cs="Times New Roman"/>
          <w:szCs w:val="24"/>
        </w:rPr>
        <w:t>1 (0.2 µM), or DFO (100 µM).</w:t>
      </w:r>
      <w:r>
        <w:rPr>
          <w:rFonts w:hint="eastAsia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B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>Relative lipid ROS, MDA, and 4-HNE levels in indicated PANC-1 and AsCP-1 cells treated with Erastin (5 μM) for 10 h.</w:t>
      </w:r>
      <w:r>
        <w:rPr>
          <w:rFonts w:hint="eastAsia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C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>Relative lipid ROS, MDA, and 4-HNE levels in indicated BxPC-3 and CAPAN-1 cells treated with Erastin (5 μM) for 10 h.</w:t>
      </w:r>
      <w:r>
        <w:rPr>
          <w:rFonts w:hint="eastAsia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D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>Transmission electron microscopy images showing mitochondrial crests in indicated BxPC-3 and CAPAN-1 cells treated with</w:t>
      </w:r>
      <w:r>
        <w:rPr>
          <w:sz w:val="20"/>
          <w:szCs w:val="21"/>
        </w:rPr>
        <w:t xml:space="preserve"> </w:t>
      </w:r>
      <w:r>
        <w:rPr>
          <w:rFonts w:cs="Times New Roman"/>
          <w:szCs w:val="24"/>
        </w:rPr>
        <w:t>Erastin (5 μM) and RSL3 (1 μM) for 10 h, respectively. Scale bars: 2.5 μm (left) and 0.25 μm (right). Data are the mean ± SD of n = 3 (</w:t>
      </w:r>
      <w:r>
        <w:rPr>
          <w:rFonts w:cs="Times New Roman"/>
          <w:b/>
          <w:bCs/>
          <w:szCs w:val="24"/>
        </w:rPr>
        <w:t>A-C</w:t>
      </w:r>
      <w:r>
        <w:rPr>
          <w:rFonts w:cs="Times New Roman"/>
          <w:szCs w:val="24"/>
        </w:rPr>
        <w:t>) biologically independent samples (***p &lt; 0.001, ns, not significant.). Statistical analysis was performed using a two‐way ANOVA, followed by Tukey's test (</w:t>
      </w:r>
      <w:r>
        <w:rPr>
          <w:rFonts w:cs="Times New Roman"/>
          <w:b/>
          <w:bCs/>
          <w:szCs w:val="24"/>
        </w:rPr>
        <w:t>A-C</w:t>
      </w:r>
      <w:r>
        <w:rPr>
          <w:rFonts w:cs="Times New Roman"/>
          <w:szCs w:val="24"/>
        </w:rPr>
        <w:t xml:space="preserve">). </w:t>
      </w:r>
    </w:p>
    <w:p w14:paraId="39722E7D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drawing>
          <wp:inline distT="0" distB="0" distL="0" distR="0">
            <wp:extent cx="5274310" cy="67157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A6D3">
      <w:pPr>
        <w:jc w:val="both"/>
        <w:rPr>
          <w:rFonts w:hint="eastAsia" w:cs="Times New Roman"/>
          <w:b/>
          <w:bCs/>
          <w:szCs w:val="24"/>
          <w:lang w:val="en-US" w:eastAsia="zh-CN"/>
        </w:rPr>
      </w:pPr>
      <w:r>
        <w:rPr>
          <w:rFonts w:cs="Times New Roman"/>
          <w:b/>
          <w:bCs/>
          <w:szCs w:val="24"/>
        </w:rPr>
        <w:t>Supplementary Fig. 5. TMEM87A Inhibits Ferroptosis by Upregulating EBP-Mediated 7-DHC Accumulation</w:t>
      </w:r>
      <w:r>
        <w:rPr>
          <w:rFonts w:hint="eastAsia" w:cs="Times New Roman"/>
          <w:b/>
          <w:bCs/>
          <w:szCs w:val="24"/>
          <w:lang w:val="en-US" w:eastAsia="zh-CN"/>
        </w:rPr>
        <w:t xml:space="preserve">. </w:t>
      </w:r>
    </w:p>
    <w:p w14:paraId="5D694C9B">
      <w:pPr>
        <w:jc w:val="both"/>
        <w:rPr>
          <w:rFonts w:cs="Times New Roman"/>
          <w:b/>
          <w:bCs/>
          <w:szCs w:val="24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(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A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>IB analysis of GPX4, SLC7A11, FSP1, GCH1, DHODH, ACSL4, and LPCAT3 expression in the indicated BxPC-3 and CAPAN-1 cells. GAPDH was used as a loading control.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cs="Times New Roman"/>
          <w:b/>
          <w:bCs/>
          <w:szCs w:val="24"/>
        </w:rPr>
        <w:t>B-E</w:t>
      </w:r>
      <w:r>
        <w:rPr>
          <w:rFonts w:hint="eastAsia" w:cs="Times New Roman"/>
          <w:b/>
          <w:bCs/>
          <w:szCs w:val="24"/>
          <w:lang w:val="en-US" w:eastAsia="zh-CN"/>
        </w:rPr>
        <w:t>)</w:t>
      </w:r>
      <w:r>
        <w:rPr>
          <w:rFonts w:cs="Times New Roman"/>
          <w:szCs w:val="24"/>
        </w:rPr>
        <w:t xml:space="preserve"> Relative GSH/GSSG ratio (</w:t>
      </w:r>
      <w:r>
        <w:rPr>
          <w:rFonts w:cs="Times New Roman"/>
          <w:b/>
          <w:bCs/>
          <w:szCs w:val="24"/>
        </w:rPr>
        <w:t>B</w:t>
      </w:r>
      <w:r>
        <w:rPr>
          <w:rFonts w:cs="Times New Roman"/>
          <w:szCs w:val="24"/>
        </w:rPr>
        <w:t>), CoQ10 (</w:t>
      </w:r>
      <w:r>
        <w:rPr>
          <w:rFonts w:cs="Times New Roman"/>
          <w:b/>
          <w:bCs/>
          <w:szCs w:val="24"/>
        </w:rPr>
        <w:t>C</w:t>
      </w:r>
      <w:r>
        <w:rPr>
          <w:rFonts w:cs="Times New Roman"/>
          <w:szCs w:val="24"/>
        </w:rPr>
        <w:t>), ROS (</w:t>
      </w:r>
      <w:r>
        <w:rPr>
          <w:rFonts w:cs="Times New Roman"/>
          <w:b/>
          <w:bCs/>
          <w:szCs w:val="24"/>
        </w:rPr>
        <w:t>D</w:t>
      </w:r>
      <w:r>
        <w:rPr>
          <w:rFonts w:cs="Times New Roman"/>
          <w:szCs w:val="24"/>
        </w:rPr>
        <w:t>) and Fe</w:t>
      </w:r>
      <w:r>
        <w:rPr>
          <w:rFonts w:cs="Times New Roman"/>
          <w:szCs w:val="24"/>
          <w:vertAlign w:val="superscript"/>
        </w:rPr>
        <w:t xml:space="preserve">2+ </w:t>
      </w:r>
      <w:r>
        <w:rPr>
          <w:rFonts w:cs="Times New Roman"/>
          <w:szCs w:val="24"/>
        </w:rPr>
        <w:t>(</w:t>
      </w:r>
      <w:r>
        <w:rPr>
          <w:rFonts w:cs="Times New Roman"/>
          <w:b/>
          <w:bCs/>
          <w:szCs w:val="24"/>
        </w:rPr>
        <w:t>E</w:t>
      </w:r>
      <w:r>
        <w:rPr>
          <w:rFonts w:cs="Times New Roman"/>
          <w:szCs w:val="24"/>
        </w:rPr>
        <w:t xml:space="preserve">)levels in indicated BxPC-3 and CAPAN-1 cells. </w:t>
      </w:r>
      <w:r>
        <w:rPr>
          <w:rFonts w:cs="Times New Roman"/>
          <w:b/>
          <w:bCs/>
          <w:szCs w:val="24"/>
        </w:rPr>
        <w:t>F</w:t>
      </w:r>
      <w:r>
        <w:rPr>
          <w:rFonts w:cs="Times New Roman"/>
          <w:szCs w:val="24"/>
        </w:rPr>
        <w:t xml:space="preserve"> Relative abundance of indicated phospholipid species, including phosphatidylethanolamine (PE), phosphatidylcholine (PC), phosphatidylserine (PS), phosphatidylglycerol (PG), and phosphatidylinositol (PI) in the indicated cells. Data are the mean ± SD of n = 3 (</w:t>
      </w:r>
      <w:r>
        <w:rPr>
          <w:rFonts w:cs="Times New Roman"/>
          <w:b/>
          <w:bCs/>
          <w:szCs w:val="24"/>
        </w:rPr>
        <w:t>B-F</w:t>
      </w:r>
      <w:r>
        <w:rPr>
          <w:rFonts w:cs="Times New Roman"/>
          <w:szCs w:val="24"/>
        </w:rPr>
        <w:t>) biologically independent samples (***p &lt; 0.001, ns, not significant.). Statistical analysis was performed using a two‐way ANOVA, followed by Tukey's test (</w:t>
      </w:r>
      <w:r>
        <w:rPr>
          <w:rFonts w:cs="Times New Roman"/>
          <w:b/>
          <w:bCs/>
          <w:szCs w:val="24"/>
        </w:rPr>
        <w:t>B-F</w:t>
      </w:r>
      <w:r>
        <w:rPr>
          <w:rFonts w:cs="Times New Roman"/>
          <w:szCs w:val="24"/>
        </w:rPr>
        <w:t xml:space="preserve">). </w:t>
      </w:r>
    </w:p>
    <w:p w14:paraId="3168FA44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drawing>
          <wp:inline distT="0" distB="0" distL="0" distR="0">
            <wp:extent cx="5274310" cy="537019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3D26E">
      <w:pPr>
        <w:jc w:val="both"/>
        <w:rPr>
          <w:rFonts w:hint="eastAsia" w:cs="Times New Roman"/>
          <w:b/>
          <w:bCs/>
          <w:szCs w:val="24"/>
          <w:lang w:val="en-US" w:eastAsia="zh-CN"/>
        </w:rPr>
      </w:pPr>
      <w:r>
        <w:rPr>
          <w:rFonts w:cs="Times New Roman"/>
          <w:b/>
          <w:bCs/>
          <w:szCs w:val="24"/>
        </w:rPr>
        <w:t>Supplementary Fig. 6. TMEM87A increases protein stability of EBP and inhibits its ubiquitination</w:t>
      </w:r>
      <w:r>
        <w:rPr>
          <w:rFonts w:hint="eastAsia" w:cs="Times New Roman"/>
          <w:b/>
          <w:bCs/>
          <w:szCs w:val="24"/>
          <w:lang w:val="en-US" w:eastAsia="zh-CN"/>
        </w:rPr>
        <w:t xml:space="preserve">. </w:t>
      </w:r>
    </w:p>
    <w:p w14:paraId="77CFDD47">
      <w:pPr>
        <w:jc w:val="both"/>
        <w:rPr>
          <w:rFonts w:cs="Times New Roman"/>
          <w:b/>
          <w:bCs/>
          <w:szCs w:val="24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(</w:t>
      </w:r>
      <w:r>
        <w:rPr>
          <w:rFonts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A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 xml:space="preserve">Quantitative PCR analyses of </w:t>
      </w:r>
      <w:r>
        <w:rPr>
          <w:rFonts w:cs="Times New Roman"/>
          <w:i/>
          <w:iCs/>
          <w:szCs w:val="24"/>
        </w:rPr>
        <w:t>EBP</w:t>
      </w:r>
      <w:r>
        <w:rPr>
          <w:rFonts w:cs="Times New Roman"/>
          <w:szCs w:val="24"/>
        </w:rPr>
        <w:t xml:space="preserve"> mRNA expression in the indicated PDAC cells. </w:t>
      </w:r>
      <w:r>
        <w:rPr>
          <w:rFonts w:cs="Times New Roman"/>
          <w:i/>
          <w:iCs/>
          <w:szCs w:val="24"/>
        </w:rPr>
        <w:t>GAPDH</w:t>
      </w:r>
      <w:r>
        <w:rPr>
          <w:rFonts w:cs="Times New Roman"/>
          <w:szCs w:val="24"/>
        </w:rPr>
        <w:t xml:space="preserve"> was used as the loading control.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B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 xml:space="preserve">IP/IB analysis of interactions of TMEM87A with EBP.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C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 xml:space="preserve">Far‐western blotting analysis was performed using anti‐Myc antibody‐immunoprecipitated proteins and detected using anti‐EBP or anti‐TMEM87A and then reblotted with anti‐TMEM87A. Recombinant EBP were used as controls.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D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>IP/IB analysis of interactions of EBP with UBE2J1, or RNF4, or RNF152, or TRIM67, or FBXL6, or OPTN, or ZNF598 in PANC-1 cells.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E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 xml:space="preserve">CHX chase analysis of EBP half-life in UBE2J1 siRNA -transfected or UBE2J1 overexpressing PANC-1 cells at the indicated timepoints. GAPDH was used as the loading control.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F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>IP/IB analysis of EBP and UBE2J1 expression in the indicated PDAC cells.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G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>Relative level</w:t>
      </w:r>
      <w:r>
        <w:rPr>
          <w:rFonts w:hint="eastAsia" w:cs="Times New Roman"/>
          <w:szCs w:val="24"/>
        </w:rPr>
        <w:t>s</w:t>
      </w:r>
      <w:r>
        <w:rPr>
          <w:rFonts w:cs="Times New Roman"/>
          <w:szCs w:val="24"/>
        </w:rPr>
        <w:t xml:space="preserve"> of 7-DHC and 7-DHD in the indicated PDAC cells. </w:t>
      </w: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H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</w:rPr>
        <w:t xml:space="preserve">Cell viability analysis of indicated </w:t>
      </w:r>
      <w:r>
        <w:rPr>
          <w:rFonts w:hint="eastAsia" w:cs="Times New Roman"/>
        </w:rPr>
        <w:t>PANC-1</w:t>
      </w:r>
      <w:r>
        <w:rPr>
          <w:rFonts w:cs="Times New Roman"/>
        </w:rPr>
        <w:t xml:space="preserve"> and </w:t>
      </w:r>
      <w:r>
        <w:rPr>
          <w:rFonts w:hint="eastAsia" w:cs="Times New Roman"/>
        </w:rPr>
        <w:t>AsPC-1</w:t>
      </w:r>
      <w:r>
        <w:rPr>
          <w:rFonts w:cs="Times New Roman"/>
        </w:rPr>
        <w:t xml:space="preserve"> cells treated with different concentrations of RSL3 and </w:t>
      </w:r>
      <w:r>
        <w:rPr>
          <w:rFonts w:hint="eastAsia" w:cs="Times New Roman"/>
        </w:rPr>
        <w:t>E</w:t>
      </w:r>
      <w:r>
        <w:rPr>
          <w:rFonts w:cs="Times New Roman"/>
        </w:rPr>
        <w:t>rastin,</w:t>
      </w:r>
      <w:r>
        <w:rPr>
          <w:rFonts w:hint="eastAsia" w:cs="Times New Roman"/>
        </w:rPr>
        <w:t xml:space="preserve"> </w:t>
      </w:r>
      <w:r>
        <w:rPr>
          <w:rFonts w:cs="Times New Roman"/>
        </w:rPr>
        <w:t xml:space="preserve">respectively. </w:t>
      </w:r>
      <w:r>
        <w:rPr>
          <w:rFonts w:hint="eastAsia" w:cs="Times New Roman"/>
          <w:b/>
          <w:bCs/>
          <w:lang w:val="en-US" w:eastAsia="zh-CN"/>
        </w:rPr>
        <w:t>(</w:t>
      </w:r>
      <w:r>
        <w:rPr>
          <w:rFonts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I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) </w:t>
      </w:r>
      <w:r>
        <w:rPr>
          <w:rFonts w:cs="Times New Roman"/>
          <w:szCs w:val="24"/>
        </w:rPr>
        <w:t>Relative lipid ROS, MDA, and 4-HNE levels in indicated PANC-1 and AsCP-1 cells treated with RSL3 (1 μM) for 10 h. Data are the mean ± SD of n = 3 (</w:t>
      </w:r>
      <w:r>
        <w:rPr>
          <w:rFonts w:cs="Times New Roman"/>
          <w:b/>
          <w:bCs/>
          <w:szCs w:val="24"/>
        </w:rPr>
        <w:t>A, G-I</w:t>
      </w:r>
      <w:r>
        <w:rPr>
          <w:rFonts w:cs="Times New Roman"/>
          <w:szCs w:val="24"/>
        </w:rPr>
        <w:t>) biologically independent samples (***p &lt; 0.001, ns, not significant.). Statistical analysis was performed using a two‐way ANOVA, followed by Tukey's test (</w:t>
      </w:r>
      <w:r>
        <w:rPr>
          <w:rFonts w:cs="Times New Roman"/>
          <w:b/>
          <w:bCs/>
          <w:szCs w:val="24"/>
        </w:rPr>
        <w:t>A, G-I</w:t>
      </w:r>
      <w:r>
        <w:rPr>
          <w:rFonts w:cs="Times New Roman"/>
          <w:szCs w:val="24"/>
        </w:rPr>
        <w:t xml:space="preserve">). </w:t>
      </w:r>
    </w:p>
    <w:p w14:paraId="46676233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drawing>
          <wp:inline distT="0" distB="0" distL="0" distR="0">
            <wp:extent cx="4216400" cy="37592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908" cy="375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4A98">
      <w:pPr>
        <w:jc w:val="both"/>
        <w:rPr>
          <w:rFonts w:hint="eastAsia" w:cs="Times New Roman"/>
          <w:b/>
          <w:bCs/>
          <w:szCs w:val="24"/>
          <w:lang w:val="en-US" w:eastAsia="zh-CN"/>
        </w:rPr>
      </w:pPr>
      <w:r>
        <w:rPr>
          <w:rFonts w:cs="Times New Roman"/>
          <w:b/>
          <w:bCs/>
          <w:szCs w:val="24"/>
        </w:rPr>
        <w:t>Supplementary Fig. 7. EBP is Crucial for TMEM87A-Mediated Promotion of PDAC Progression</w:t>
      </w:r>
      <w:r>
        <w:rPr>
          <w:rFonts w:hint="eastAsia" w:cs="Times New Roman"/>
          <w:b/>
          <w:bCs/>
          <w:szCs w:val="24"/>
          <w:lang w:val="en-US" w:eastAsia="zh-CN"/>
        </w:rPr>
        <w:t xml:space="preserve">. </w:t>
      </w:r>
    </w:p>
    <w:p w14:paraId="4A59A819">
      <w:pPr>
        <w:jc w:val="both"/>
        <w:rPr>
          <w:rFonts w:cs="Times New Roman"/>
          <w:b/>
          <w:bCs/>
          <w:szCs w:val="24"/>
        </w:rPr>
      </w:pPr>
      <w:r>
        <w:rPr>
          <w:rFonts w:hint="eastAsia" w:cs="Times New Roman"/>
          <w:b/>
          <w:bCs/>
          <w:szCs w:val="24"/>
          <w:lang w:val="en-US" w:eastAsia="zh-CN"/>
        </w:rPr>
        <w:t>(</w:t>
      </w:r>
      <w:r>
        <w:rPr>
          <w:rFonts w:cs="Times New Roman"/>
          <w:b/>
          <w:bCs/>
          <w:szCs w:val="24"/>
        </w:rPr>
        <w:t>A</w:t>
      </w:r>
      <w:r>
        <w:rPr>
          <w:rFonts w:hint="eastAsia" w:cs="Times New Roman"/>
          <w:b/>
          <w:bCs/>
          <w:szCs w:val="24"/>
          <w:lang w:val="en-US" w:eastAsia="zh-CN"/>
        </w:rPr>
        <w:t>)</w:t>
      </w:r>
      <w:bookmarkStart w:id="5" w:name="_GoBack"/>
      <w:bookmarkEnd w:id="5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t>Quantification of</w:t>
      </w:r>
      <w:r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TMEM87A</w:t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  <w:t>EBP</w:t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, 4-HNE, MDA, and cleaved caspase-3 staining in </w:t>
      </w:r>
      <w:r>
        <w:rPr>
          <w:rFonts w:cs="Times New Roman"/>
          <w:color w:val="000000" w:themeColor="text1"/>
          <w:lang w:val="en-GB"/>
          <w14:textFill>
            <w14:solidFill>
              <w14:schemeClr w14:val="tx1"/>
            </w14:solidFill>
          </w14:textFill>
        </w:rPr>
        <w:t>the indicated PDAC cells</w:t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xenograft tumours with indicated treatments. </w:t>
      </w:r>
      <w:r>
        <w:rPr>
          <w:rFonts w:cs="Times New Roman"/>
          <w:szCs w:val="24"/>
        </w:rPr>
        <w:t>Data are the mean ± SD of n = 6 (</w:t>
      </w:r>
      <w:r>
        <w:rPr>
          <w:rFonts w:cs="Times New Roman"/>
          <w:b/>
          <w:bCs/>
          <w:szCs w:val="24"/>
        </w:rPr>
        <w:t>A</w:t>
      </w:r>
      <w:r>
        <w:rPr>
          <w:rFonts w:cs="Times New Roman"/>
          <w:szCs w:val="24"/>
        </w:rPr>
        <w:t>) biologically independent samples (**p &lt; 0.01, ***p &lt; 0.001, ns, not significant.). Statistical analysis was performed using a two‐way ANOVA, followed by Tukey's test (</w:t>
      </w:r>
      <w:r>
        <w:rPr>
          <w:rFonts w:cs="Times New Roman"/>
          <w:b/>
          <w:bCs/>
          <w:szCs w:val="24"/>
        </w:rPr>
        <w:t>A</w:t>
      </w:r>
      <w:r>
        <w:rPr>
          <w:rFonts w:cs="Times New Roman"/>
          <w:szCs w:val="24"/>
        </w:rPr>
        <w:t xml:space="preserve">). </w:t>
      </w:r>
    </w:p>
    <w:p w14:paraId="5FD5F2A9">
      <w:pPr>
        <w:widowControl/>
        <w:kinsoku/>
        <w:overflowPunct/>
        <w:autoSpaceDE/>
        <w:autoSpaceDN/>
        <w:adjustRightInd/>
        <w:snapToGrid/>
        <w:spacing w:before="0" w:beforeAutospacing="0" w:after="0" w:afterAutospacing="0" w:line="240" w:lineRule="auto"/>
      </w:pPr>
      <w:r>
        <w:br w:type="page"/>
      </w:r>
    </w:p>
    <w:p w14:paraId="4188E21D">
      <w:pPr>
        <w:numPr>
          <w:ilvl w:val="0"/>
          <w:numId w:val="1"/>
        </w:numPr>
        <w:spacing w:before="0" w:beforeAutospacing="0" w:after="0" w:afterAutospacing="0"/>
        <w:ind w:left="0" w:leftChars="0" w:firstLine="0" w:firstLineChars="0"/>
        <w:rPr>
          <w:rFonts w:cs="Times New Roman"/>
          <w:b/>
          <w:bCs/>
          <w:szCs w:val="24"/>
          <w:lang w:val="en-GB"/>
        </w:rPr>
      </w:pPr>
      <w:r>
        <w:rPr>
          <w:rFonts w:cs="Times New Roman"/>
          <w:b/>
          <w:szCs w:val="24"/>
          <w:lang w:val="en-GB"/>
        </w:rPr>
        <w:t>Supplementary Table</w:t>
      </w:r>
      <w:r>
        <w:rPr>
          <w:rFonts w:hint="eastAsia" w:cs="Times New Roman"/>
          <w:b/>
          <w:szCs w:val="24"/>
          <w:lang w:val="en-GB"/>
        </w:rPr>
        <w:t>s</w:t>
      </w:r>
      <w:r>
        <w:rPr>
          <w:rFonts w:cs="Times New Roman"/>
          <w:b/>
          <w:szCs w:val="24"/>
          <w:lang w:val="en-GB"/>
        </w:rPr>
        <w:t xml:space="preserve"> </w:t>
      </w:r>
    </w:p>
    <w:p w14:paraId="6C886A95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Supplementary Table 1. Correlation between TMEM87A expression and clinicopathologic characteristics of PDAC patients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1276"/>
        <w:gridCol w:w="1591"/>
        <w:gridCol w:w="1600"/>
        <w:gridCol w:w="1537"/>
      </w:tblGrid>
      <w:tr w14:paraId="66EC3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2518" w:type="dxa"/>
            <w:vMerge w:val="restart"/>
            <w:tcBorders>
              <w:left w:val="nil"/>
            </w:tcBorders>
            <w:vAlign w:val="center"/>
          </w:tcPr>
          <w:p w14:paraId="486DCCA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Characteristic</w:t>
            </w:r>
          </w:p>
        </w:tc>
        <w:tc>
          <w:tcPr>
            <w:tcW w:w="1276" w:type="dxa"/>
            <w:vMerge w:val="restart"/>
            <w:vAlign w:val="center"/>
          </w:tcPr>
          <w:p w14:paraId="37517D6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No. of cases</w:t>
            </w:r>
          </w:p>
        </w:tc>
        <w:tc>
          <w:tcPr>
            <w:tcW w:w="4728" w:type="dxa"/>
            <w:gridSpan w:val="3"/>
            <w:tcBorders>
              <w:right w:val="nil"/>
            </w:tcBorders>
          </w:tcPr>
          <w:p w14:paraId="4C43FA7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TMEM87A expression level</w:t>
            </w:r>
          </w:p>
        </w:tc>
      </w:tr>
      <w:tr w14:paraId="44613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518" w:type="dxa"/>
            <w:vMerge w:val="continue"/>
            <w:tcBorders>
              <w:left w:val="nil"/>
            </w:tcBorders>
          </w:tcPr>
          <w:p w14:paraId="0FE896E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1276" w:type="dxa"/>
            <w:vMerge w:val="continue"/>
          </w:tcPr>
          <w:p w14:paraId="68F1C58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1591" w:type="dxa"/>
          </w:tcPr>
          <w:p w14:paraId="1E32B87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low</w:t>
            </w:r>
          </w:p>
        </w:tc>
        <w:tc>
          <w:tcPr>
            <w:tcW w:w="1600" w:type="dxa"/>
          </w:tcPr>
          <w:p w14:paraId="1ADA5A9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high</w:t>
            </w:r>
          </w:p>
        </w:tc>
        <w:tc>
          <w:tcPr>
            <w:tcW w:w="1537" w:type="dxa"/>
            <w:tcBorders>
              <w:right w:val="nil"/>
            </w:tcBorders>
          </w:tcPr>
          <w:p w14:paraId="45D2D5C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p-value</w:t>
            </w:r>
          </w:p>
        </w:tc>
      </w:tr>
      <w:tr w14:paraId="102C5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2518" w:type="dxa"/>
            <w:tcBorders>
              <w:left w:val="nil"/>
            </w:tcBorders>
          </w:tcPr>
          <w:p w14:paraId="6072A1D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Total cases</w:t>
            </w:r>
          </w:p>
        </w:tc>
        <w:tc>
          <w:tcPr>
            <w:tcW w:w="1276" w:type="dxa"/>
          </w:tcPr>
          <w:p w14:paraId="28B844B9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107</w:t>
            </w:r>
          </w:p>
        </w:tc>
        <w:tc>
          <w:tcPr>
            <w:tcW w:w="1591" w:type="dxa"/>
          </w:tcPr>
          <w:p w14:paraId="403131D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38</w:t>
            </w:r>
          </w:p>
        </w:tc>
        <w:tc>
          <w:tcPr>
            <w:tcW w:w="1600" w:type="dxa"/>
          </w:tcPr>
          <w:p w14:paraId="3A51EDA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69</w:t>
            </w:r>
          </w:p>
        </w:tc>
        <w:tc>
          <w:tcPr>
            <w:tcW w:w="1537" w:type="dxa"/>
            <w:tcBorders>
              <w:right w:val="nil"/>
            </w:tcBorders>
          </w:tcPr>
          <w:p w14:paraId="7416223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51EEB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2518" w:type="dxa"/>
            <w:tcBorders>
              <w:left w:val="nil"/>
            </w:tcBorders>
          </w:tcPr>
          <w:p w14:paraId="0FD70E2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Gender</w:t>
            </w:r>
          </w:p>
        </w:tc>
        <w:tc>
          <w:tcPr>
            <w:tcW w:w="6004" w:type="dxa"/>
            <w:gridSpan w:val="4"/>
            <w:tcBorders>
              <w:right w:val="nil"/>
            </w:tcBorders>
          </w:tcPr>
          <w:p w14:paraId="4846747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33ABC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2518" w:type="dxa"/>
            <w:vMerge w:val="restart"/>
            <w:tcBorders>
              <w:left w:val="nil"/>
            </w:tcBorders>
          </w:tcPr>
          <w:p w14:paraId="4DDFDC5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Male</w:t>
            </w:r>
          </w:p>
          <w:p w14:paraId="2015618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Female</w:t>
            </w:r>
          </w:p>
        </w:tc>
        <w:tc>
          <w:tcPr>
            <w:tcW w:w="1276" w:type="dxa"/>
          </w:tcPr>
          <w:p w14:paraId="6F4C5DE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62</w:t>
            </w:r>
          </w:p>
        </w:tc>
        <w:tc>
          <w:tcPr>
            <w:tcW w:w="1591" w:type="dxa"/>
          </w:tcPr>
          <w:p w14:paraId="5FBB2E2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20</w:t>
            </w:r>
          </w:p>
        </w:tc>
        <w:tc>
          <w:tcPr>
            <w:tcW w:w="1600" w:type="dxa"/>
          </w:tcPr>
          <w:p w14:paraId="2AE7444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42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0533EA2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0.409</w:t>
            </w:r>
          </w:p>
        </w:tc>
      </w:tr>
      <w:tr w14:paraId="0247D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2518" w:type="dxa"/>
            <w:vMerge w:val="continue"/>
            <w:tcBorders>
              <w:left w:val="nil"/>
            </w:tcBorders>
          </w:tcPr>
          <w:p w14:paraId="5FFDE7C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1276" w:type="dxa"/>
          </w:tcPr>
          <w:p w14:paraId="2AB1672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45</w:t>
            </w:r>
          </w:p>
        </w:tc>
        <w:tc>
          <w:tcPr>
            <w:tcW w:w="1591" w:type="dxa"/>
          </w:tcPr>
          <w:p w14:paraId="72D017C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18</w:t>
            </w:r>
          </w:p>
        </w:tc>
        <w:tc>
          <w:tcPr>
            <w:tcW w:w="1600" w:type="dxa"/>
          </w:tcPr>
          <w:p w14:paraId="342D968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27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53F53D9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0A95B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2518" w:type="dxa"/>
            <w:tcBorders>
              <w:left w:val="nil"/>
            </w:tcBorders>
          </w:tcPr>
          <w:p w14:paraId="187CFD4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Age</w:t>
            </w:r>
          </w:p>
        </w:tc>
        <w:tc>
          <w:tcPr>
            <w:tcW w:w="6004" w:type="dxa"/>
            <w:gridSpan w:val="4"/>
            <w:tcBorders>
              <w:right w:val="nil"/>
            </w:tcBorders>
          </w:tcPr>
          <w:p w14:paraId="0E0C57E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12A2E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2BABBD6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≤60</w:t>
            </w:r>
          </w:p>
        </w:tc>
        <w:tc>
          <w:tcPr>
            <w:tcW w:w="1276" w:type="dxa"/>
          </w:tcPr>
          <w:p w14:paraId="768DDC9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46</w:t>
            </w:r>
          </w:p>
        </w:tc>
        <w:tc>
          <w:tcPr>
            <w:tcW w:w="1591" w:type="dxa"/>
          </w:tcPr>
          <w:p w14:paraId="3B54E50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19</w:t>
            </w:r>
          </w:p>
        </w:tc>
        <w:tc>
          <w:tcPr>
            <w:tcW w:w="1600" w:type="dxa"/>
          </w:tcPr>
          <w:p w14:paraId="42E2F25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27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1778DC2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0.277</w:t>
            </w:r>
          </w:p>
        </w:tc>
      </w:tr>
      <w:tr w14:paraId="1665B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0F647C5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＞60</w:t>
            </w:r>
          </w:p>
        </w:tc>
        <w:tc>
          <w:tcPr>
            <w:tcW w:w="1276" w:type="dxa"/>
          </w:tcPr>
          <w:p w14:paraId="1D033B6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61</w:t>
            </w:r>
          </w:p>
        </w:tc>
        <w:tc>
          <w:tcPr>
            <w:tcW w:w="1591" w:type="dxa"/>
          </w:tcPr>
          <w:p w14:paraId="200B76F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19</w:t>
            </w:r>
          </w:p>
        </w:tc>
        <w:tc>
          <w:tcPr>
            <w:tcW w:w="1600" w:type="dxa"/>
          </w:tcPr>
          <w:p w14:paraId="72DF2483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42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7588A66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6307F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577A1C7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Differentiation</w:t>
            </w:r>
          </w:p>
        </w:tc>
        <w:tc>
          <w:tcPr>
            <w:tcW w:w="6004" w:type="dxa"/>
            <w:gridSpan w:val="4"/>
            <w:tcBorders>
              <w:right w:val="nil"/>
            </w:tcBorders>
          </w:tcPr>
          <w:p w14:paraId="02A3DAA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40EC7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4411C11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Poor</w:t>
            </w:r>
          </w:p>
        </w:tc>
        <w:tc>
          <w:tcPr>
            <w:tcW w:w="1276" w:type="dxa"/>
          </w:tcPr>
          <w:p w14:paraId="78284D9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26</w:t>
            </w:r>
          </w:p>
        </w:tc>
        <w:tc>
          <w:tcPr>
            <w:tcW w:w="1591" w:type="dxa"/>
          </w:tcPr>
          <w:p w14:paraId="3D357E5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12</w:t>
            </w:r>
          </w:p>
        </w:tc>
        <w:tc>
          <w:tcPr>
            <w:tcW w:w="1600" w:type="dxa"/>
          </w:tcPr>
          <w:p w14:paraId="483C730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14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521669F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0.193</w:t>
            </w:r>
          </w:p>
        </w:tc>
      </w:tr>
      <w:tr w14:paraId="2A57D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4A48279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Moderate</w:t>
            </w:r>
          </w:p>
        </w:tc>
        <w:tc>
          <w:tcPr>
            <w:tcW w:w="1276" w:type="dxa"/>
          </w:tcPr>
          <w:p w14:paraId="4D24BCE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53</w:t>
            </w:r>
          </w:p>
        </w:tc>
        <w:tc>
          <w:tcPr>
            <w:tcW w:w="1591" w:type="dxa"/>
          </w:tcPr>
          <w:p w14:paraId="156ECD7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14</w:t>
            </w:r>
          </w:p>
        </w:tc>
        <w:tc>
          <w:tcPr>
            <w:tcW w:w="1600" w:type="dxa"/>
          </w:tcPr>
          <w:p w14:paraId="56CD443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39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1BBFDB9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054CE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0668E03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Well</w:t>
            </w:r>
          </w:p>
        </w:tc>
        <w:tc>
          <w:tcPr>
            <w:tcW w:w="1276" w:type="dxa"/>
          </w:tcPr>
          <w:p w14:paraId="006D962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28</w:t>
            </w:r>
          </w:p>
        </w:tc>
        <w:tc>
          <w:tcPr>
            <w:tcW w:w="1591" w:type="dxa"/>
          </w:tcPr>
          <w:p w14:paraId="07258A7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12</w:t>
            </w:r>
          </w:p>
        </w:tc>
        <w:tc>
          <w:tcPr>
            <w:tcW w:w="1600" w:type="dxa"/>
          </w:tcPr>
          <w:p w14:paraId="463ECC1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16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72280B7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74E31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7266F6A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 stage</w:t>
            </w:r>
          </w:p>
        </w:tc>
        <w:tc>
          <w:tcPr>
            <w:tcW w:w="6004" w:type="dxa"/>
            <w:gridSpan w:val="4"/>
            <w:tcBorders>
              <w:right w:val="nil"/>
            </w:tcBorders>
          </w:tcPr>
          <w:p w14:paraId="73112C7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27A2E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2518" w:type="dxa"/>
            <w:tcBorders>
              <w:left w:val="nil"/>
            </w:tcBorders>
          </w:tcPr>
          <w:p w14:paraId="463EAB1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T1-2</w:t>
            </w:r>
          </w:p>
        </w:tc>
        <w:tc>
          <w:tcPr>
            <w:tcW w:w="1276" w:type="dxa"/>
          </w:tcPr>
          <w:p w14:paraId="6D3736F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27</w:t>
            </w:r>
          </w:p>
        </w:tc>
        <w:tc>
          <w:tcPr>
            <w:tcW w:w="1591" w:type="dxa"/>
          </w:tcPr>
          <w:p w14:paraId="7A45CF1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13</w:t>
            </w:r>
          </w:p>
        </w:tc>
        <w:tc>
          <w:tcPr>
            <w:tcW w:w="1600" w:type="dxa"/>
          </w:tcPr>
          <w:p w14:paraId="6325B7E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14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390C4AE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0.277</w:t>
            </w:r>
          </w:p>
        </w:tc>
      </w:tr>
      <w:tr w14:paraId="30C0E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30D7D61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T3-4</w:t>
            </w:r>
          </w:p>
        </w:tc>
        <w:tc>
          <w:tcPr>
            <w:tcW w:w="1276" w:type="dxa"/>
          </w:tcPr>
          <w:p w14:paraId="633DC33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80</w:t>
            </w:r>
          </w:p>
        </w:tc>
        <w:tc>
          <w:tcPr>
            <w:tcW w:w="1591" w:type="dxa"/>
          </w:tcPr>
          <w:p w14:paraId="5376128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25</w:t>
            </w:r>
          </w:p>
        </w:tc>
        <w:tc>
          <w:tcPr>
            <w:tcW w:w="1600" w:type="dxa"/>
          </w:tcPr>
          <w:p w14:paraId="73B1BC2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55</w:t>
            </w:r>
          </w:p>
        </w:tc>
        <w:tc>
          <w:tcPr>
            <w:tcW w:w="1537" w:type="dxa"/>
            <w:vMerge w:val="continue"/>
            <w:tcBorders>
              <w:right w:val="nil"/>
            </w:tcBorders>
            <w:vAlign w:val="center"/>
          </w:tcPr>
          <w:p w14:paraId="048D033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60928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729D452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Lymphatic metastasis</w:t>
            </w:r>
          </w:p>
        </w:tc>
        <w:tc>
          <w:tcPr>
            <w:tcW w:w="6004" w:type="dxa"/>
            <w:gridSpan w:val="4"/>
            <w:tcBorders>
              <w:right w:val="nil"/>
            </w:tcBorders>
          </w:tcPr>
          <w:p w14:paraId="16734E6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4ACD3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70025FF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Negative</w:t>
            </w:r>
          </w:p>
        </w:tc>
        <w:tc>
          <w:tcPr>
            <w:tcW w:w="1276" w:type="dxa"/>
          </w:tcPr>
          <w:p w14:paraId="2627BDA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49</w:t>
            </w:r>
          </w:p>
        </w:tc>
        <w:tc>
          <w:tcPr>
            <w:tcW w:w="1591" w:type="dxa"/>
          </w:tcPr>
          <w:p w14:paraId="5DA46BF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21</w:t>
            </w:r>
          </w:p>
        </w:tc>
        <w:tc>
          <w:tcPr>
            <w:tcW w:w="1600" w:type="dxa"/>
          </w:tcPr>
          <w:p w14:paraId="07CDCB1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28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7CF47F8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0.145</w:t>
            </w:r>
          </w:p>
        </w:tc>
      </w:tr>
      <w:tr w14:paraId="5A27F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3F193D1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Positive</w:t>
            </w:r>
          </w:p>
        </w:tc>
        <w:tc>
          <w:tcPr>
            <w:tcW w:w="1276" w:type="dxa"/>
          </w:tcPr>
          <w:p w14:paraId="4649495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58</w:t>
            </w:r>
          </w:p>
        </w:tc>
        <w:tc>
          <w:tcPr>
            <w:tcW w:w="1591" w:type="dxa"/>
          </w:tcPr>
          <w:p w14:paraId="04903C7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17</w:t>
            </w:r>
          </w:p>
        </w:tc>
        <w:tc>
          <w:tcPr>
            <w:tcW w:w="1600" w:type="dxa"/>
          </w:tcPr>
          <w:p w14:paraId="2C6D811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41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7FFE4EF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39DBE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49BB482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TNM stage</w:t>
            </w:r>
          </w:p>
        </w:tc>
        <w:tc>
          <w:tcPr>
            <w:tcW w:w="6004" w:type="dxa"/>
            <w:gridSpan w:val="4"/>
            <w:tcBorders>
              <w:right w:val="nil"/>
            </w:tcBorders>
          </w:tcPr>
          <w:p w14:paraId="30CCBF83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2E7DA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43D1298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Stage Ⅰ</w:t>
            </w:r>
          </w:p>
        </w:tc>
        <w:tc>
          <w:tcPr>
            <w:tcW w:w="1276" w:type="dxa"/>
          </w:tcPr>
          <w:p w14:paraId="4A33AAB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33</w:t>
            </w:r>
          </w:p>
        </w:tc>
        <w:tc>
          <w:tcPr>
            <w:tcW w:w="1591" w:type="dxa"/>
          </w:tcPr>
          <w:p w14:paraId="3B28F39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17</w:t>
            </w:r>
          </w:p>
        </w:tc>
        <w:tc>
          <w:tcPr>
            <w:tcW w:w="1600" w:type="dxa"/>
          </w:tcPr>
          <w:p w14:paraId="2D14C749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16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112E0B8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0.021</w:t>
            </w:r>
          </w:p>
        </w:tc>
      </w:tr>
      <w:tr w14:paraId="7C49D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26640E6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Stage Ⅱ</w:t>
            </w:r>
          </w:p>
        </w:tc>
        <w:tc>
          <w:tcPr>
            <w:tcW w:w="1276" w:type="dxa"/>
          </w:tcPr>
          <w:p w14:paraId="678A7BD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44</w:t>
            </w:r>
          </w:p>
        </w:tc>
        <w:tc>
          <w:tcPr>
            <w:tcW w:w="1591" w:type="dxa"/>
          </w:tcPr>
          <w:p w14:paraId="46BD8D7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16</w:t>
            </w:r>
          </w:p>
        </w:tc>
        <w:tc>
          <w:tcPr>
            <w:tcW w:w="1600" w:type="dxa"/>
          </w:tcPr>
          <w:p w14:paraId="70E90E6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28</w:t>
            </w:r>
          </w:p>
        </w:tc>
        <w:tc>
          <w:tcPr>
            <w:tcW w:w="1537" w:type="dxa"/>
            <w:vMerge w:val="continue"/>
            <w:tcBorders>
              <w:right w:val="nil"/>
            </w:tcBorders>
            <w:vAlign w:val="center"/>
          </w:tcPr>
          <w:p w14:paraId="37DB89F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0DCCA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3783FB83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Stage Ⅲ</w:t>
            </w:r>
          </w:p>
        </w:tc>
        <w:tc>
          <w:tcPr>
            <w:tcW w:w="1276" w:type="dxa"/>
          </w:tcPr>
          <w:p w14:paraId="5D54944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30</w:t>
            </w:r>
          </w:p>
        </w:tc>
        <w:tc>
          <w:tcPr>
            <w:tcW w:w="1591" w:type="dxa"/>
          </w:tcPr>
          <w:p w14:paraId="10C835E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</w:t>
            </w:r>
          </w:p>
        </w:tc>
        <w:tc>
          <w:tcPr>
            <w:tcW w:w="1600" w:type="dxa"/>
          </w:tcPr>
          <w:p w14:paraId="6BC9239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25</w:t>
            </w:r>
          </w:p>
        </w:tc>
        <w:tc>
          <w:tcPr>
            <w:tcW w:w="1537" w:type="dxa"/>
            <w:vMerge w:val="continue"/>
            <w:tcBorders>
              <w:right w:val="nil"/>
            </w:tcBorders>
            <w:vAlign w:val="center"/>
          </w:tcPr>
          <w:p w14:paraId="1E67C3B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2D5A2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006D288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Vital Status</w:t>
            </w:r>
          </w:p>
        </w:tc>
        <w:tc>
          <w:tcPr>
            <w:tcW w:w="6004" w:type="dxa"/>
            <w:gridSpan w:val="4"/>
            <w:tcBorders>
              <w:right w:val="nil"/>
            </w:tcBorders>
          </w:tcPr>
          <w:p w14:paraId="76B8DF4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08438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76EB1AF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Alive</w:t>
            </w:r>
          </w:p>
        </w:tc>
        <w:tc>
          <w:tcPr>
            <w:tcW w:w="1276" w:type="dxa"/>
          </w:tcPr>
          <w:p w14:paraId="34771BC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34</w:t>
            </w:r>
          </w:p>
        </w:tc>
        <w:tc>
          <w:tcPr>
            <w:tcW w:w="1591" w:type="dxa"/>
          </w:tcPr>
          <w:p w14:paraId="5870654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21</w:t>
            </w:r>
          </w:p>
        </w:tc>
        <w:tc>
          <w:tcPr>
            <w:tcW w:w="1600" w:type="dxa"/>
          </w:tcPr>
          <w:p w14:paraId="6AEAF89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13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534E91F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&lt;0.001</w:t>
            </w:r>
          </w:p>
        </w:tc>
      </w:tr>
      <w:tr w14:paraId="0C08B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2117E71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Death</w:t>
            </w:r>
          </w:p>
        </w:tc>
        <w:tc>
          <w:tcPr>
            <w:tcW w:w="1276" w:type="dxa"/>
          </w:tcPr>
          <w:p w14:paraId="2D093C4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73</w:t>
            </w:r>
          </w:p>
        </w:tc>
        <w:tc>
          <w:tcPr>
            <w:tcW w:w="1591" w:type="dxa"/>
          </w:tcPr>
          <w:p w14:paraId="565AC20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17</w:t>
            </w:r>
          </w:p>
        </w:tc>
        <w:tc>
          <w:tcPr>
            <w:tcW w:w="1600" w:type="dxa"/>
          </w:tcPr>
          <w:p w14:paraId="72D2EDB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56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20F5AD5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6EE4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44928BE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Recurrence</w:t>
            </w:r>
          </w:p>
        </w:tc>
        <w:tc>
          <w:tcPr>
            <w:tcW w:w="6004" w:type="dxa"/>
            <w:gridSpan w:val="4"/>
            <w:tcBorders>
              <w:right w:val="nil"/>
            </w:tcBorders>
          </w:tcPr>
          <w:p w14:paraId="450F16A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4E1D6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3E77B51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NO</w:t>
            </w:r>
          </w:p>
        </w:tc>
        <w:tc>
          <w:tcPr>
            <w:tcW w:w="1276" w:type="dxa"/>
          </w:tcPr>
          <w:p w14:paraId="116C487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27</w:t>
            </w:r>
          </w:p>
        </w:tc>
        <w:tc>
          <w:tcPr>
            <w:tcW w:w="1591" w:type="dxa"/>
          </w:tcPr>
          <w:p w14:paraId="0225E8A3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14</w:t>
            </w:r>
          </w:p>
        </w:tc>
        <w:tc>
          <w:tcPr>
            <w:tcW w:w="1600" w:type="dxa"/>
          </w:tcPr>
          <w:p w14:paraId="035A670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13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3E2FE2D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&lt;0.001</w:t>
            </w:r>
          </w:p>
        </w:tc>
      </w:tr>
      <w:tr w14:paraId="5E22B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8" w:type="dxa"/>
            <w:tcBorders>
              <w:left w:val="nil"/>
            </w:tcBorders>
          </w:tcPr>
          <w:p w14:paraId="5981C6E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YES</w:t>
            </w:r>
          </w:p>
        </w:tc>
        <w:tc>
          <w:tcPr>
            <w:tcW w:w="1276" w:type="dxa"/>
          </w:tcPr>
          <w:p w14:paraId="62B7975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80</w:t>
            </w:r>
          </w:p>
        </w:tc>
        <w:tc>
          <w:tcPr>
            <w:tcW w:w="1591" w:type="dxa"/>
          </w:tcPr>
          <w:p w14:paraId="3835597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24</w:t>
            </w:r>
          </w:p>
        </w:tc>
        <w:tc>
          <w:tcPr>
            <w:tcW w:w="1600" w:type="dxa"/>
          </w:tcPr>
          <w:p w14:paraId="71B51B6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56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4BE9A9C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</w:tbl>
    <w:p w14:paraId="3CACCAA8">
      <w:pPr>
        <w:widowControl/>
        <w:kinsoku/>
        <w:overflowPunct/>
        <w:autoSpaceDE/>
        <w:autoSpaceDN/>
        <w:adjustRightInd/>
        <w:snapToGrid/>
        <w:spacing w:before="0" w:beforeAutospacing="0" w:after="0" w:afterAutospacing="0" w:line="24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6AC0C5CF">
      <w:pPr>
        <w:spacing w:after="156" w:afterLines="50" w:afterAutospacing="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Supplementary Table 2.</w:t>
      </w:r>
      <w:r>
        <w:rPr>
          <w:rFonts w:hint="eastAsia" w:cs="Times New Roman"/>
          <w:b/>
          <w:bCs/>
        </w:rPr>
        <w:t xml:space="preserve"> Univariate and multivariate analysis of different prognostic</w:t>
      </w:r>
      <w:r>
        <w:rPr>
          <w:rFonts w:cs="Times New Roman"/>
          <w:b/>
          <w:bCs/>
        </w:rPr>
        <w:t xml:space="preserve"> </w:t>
      </w:r>
      <w:r>
        <w:rPr>
          <w:rFonts w:hint="eastAsia" w:cs="Times New Roman"/>
          <w:b/>
          <w:bCs/>
        </w:rPr>
        <w:t xml:space="preserve">parameters in </w:t>
      </w:r>
      <w:r>
        <w:rPr>
          <w:rFonts w:cs="Times New Roman"/>
          <w:b/>
          <w:bCs/>
        </w:rPr>
        <w:t>PDAC patients</w:t>
      </w:r>
      <w:r>
        <w:rPr>
          <w:rFonts w:hint="eastAsia" w:cs="Times New Roman"/>
          <w:b/>
          <w:bCs/>
        </w:rPr>
        <w:t xml:space="preserve"> by Cox-regression analysis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5"/>
        <w:gridCol w:w="1138"/>
        <w:gridCol w:w="1912"/>
        <w:gridCol w:w="1404"/>
        <w:gridCol w:w="1657"/>
      </w:tblGrid>
      <w:tr w14:paraId="108DF3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071803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3050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50E55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Univariate analysis</w:t>
            </w:r>
          </w:p>
        </w:tc>
        <w:tc>
          <w:tcPr>
            <w:tcW w:w="306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37C3F1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Multivariate analysis</w:t>
            </w:r>
          </w:p>
        </w:tc>
      </w:tr>
      <w:tr w14:paraId="5B8F0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5" w:type="dxa"/>
            <w:tcBorders>
              <w:top w:val="single" w:color="auto" w:sz="4" w:space="0"/>
            </w:tcBorders>
            <w:vAlign w:val="center"/>
          </w:tcPr>
          <w:p w14:paraId="30B3C0A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1138" w:type="dxa"/>
            <w:tcBorders>
              <w:top w:val="single" w:color="auto" w:sz="4" w:space="0"/>
            </w:tcBorders>
            <w:vAlign w:val="center"/>
          </w:tcPr>
          <w:p w14:paraId="7AF3885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P</w:t>
            </w:r>
          </w:p>
        </w:tc>
        <w:tc>
          <w:tcPr>
            <w:tcW w:w="1912" w:type="dxa"/>
            <w:tcBorders>
              <w:top w:val="single" w:color="auto" w:sz="4" w:space="0"/>
            </w:tcBorders>
            <w:vAlign w:val="center"/>
          </w:tcPr>
          <w:p w14:paraId="6BC21CC3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Hazard ratio</w:t>
            </w:r>
          </w:p>
          <w:p w14:paraId="10D656A9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(95%CI)</w:t>
            </w:r>
          </w:p>
        </w:tc>
        <w:tc>
          <w:tcPr>
            <w:tcW w:w="1404" w:type="dxa"/>
            <w:tcBorders>
              <w:top w:val="single" w:color="auto" w:sz="4" w:space="0"/>
            </w:tcBorders>
            <w:vAlign w:val="center"/>
          </w:tcPr>
          <w:p w14:paraId="09C7419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P</w:t>
            </w:r>
          </w:p>
        </w:tc>
        <w:tc>
          <w:tcPr>
            <w:tcW w:w="1657" w:type="dxa"/>
            <w:tcBorders>
              <w:top w:val="single" w:color="auto" w:sz="4" w:space="0"/>
            </w:tcBorders>
            <w:vAlign w:val="center"/>
          </w:tcPr>
          <w:p w14:paraId="3C2B766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Hazard ratio</w:t>
            </w:r>
          </w:p>
          <w:p w14:paraId="6A690FC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(95%CI)</w:t>
            </w:r>
          </w:p>
        </w:tc>
      </w:tr>
      <w:tr w14:paraId="1652EB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5" w:type="dxa"/>
            <w:vAlign w:val="center"/>
          </w:tcPr>
          <w:p w14:paraId="18743D8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Gender</w:t>
            </w:r>
          </w:p>
        </w:tc>
        <w:tc>
          <w:tcPr>
            <w:tcW w:w="1138" w:type="dxa"/>
            <w:vAlign w:val="center"/>
          </w:tcPr>
          <w:p w14:paraId="3E68FB9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0.084</w:t>
            </w:r>
          </w:p>
        </w:tc>
        <w:tc>
          <w:tcPr>
            <w:tcW w:w="1912" w:type="dxa"/>
            <w:vAlign w:val="center"/>
          </w:tcPr>
          <w:p w14:paraId="5C87EB3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1.530</w:t>
            </w:r>
          </w:p>
          <w:p w14:paraId="6557EC1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(0.944-2.480)</w:t>
            </w:r>
          </w:p>
        </w:tc>
        <w:tc>
          <w:tcPr>
            <w:tcW w:w="1404" w:type="dxa"/>
            <w:vAlign w:val="center"/>
          </w:tcPr>
          <w:p w14:paraId="7908BD9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1657" w:type="dxa"/>
            <w:vAlign w:val="center"/>
          </w:tcPr>
          <w:p w14:paraId="5F5D38A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5902D5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5" w:type="dxa"/>
            <w:vAlign w:val="center"/>
          </w:tcPr>
          <w:p w14:paraId="06152A5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Age</w:t>
            </w:r>
          </w:p>
        </w:tc>
        <w:tc>
          <w:tcPr>
            <w:tcW w:w="1138" w:type="dxa"/>
            <w:vAlign w:val="center"/>
          </w:tcPr>
          <w:p w14:paraId="750705C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0.242</w:t>
            </w:r>
          </w:p>
        </w:tc>
        <w:tc>
          <w:tcPr>
            <w:tcW w:w="1912" w:type="dxa"/>
            <w:vAlign w:val="center"/>
          </w:tcPr>
          <w:p w14:paraId="297594E3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1.322</w:t>
            </w:r>
          </w:p>
          <w:p w14:paraId="1EDD8A0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(0.828-2.108)</w:t>
            </w:r>
          </w:p>
        </w:tc>
        <w:tc>
          <w:tcPr>
            <w:tcW w:w="1404" w:type="dxa"/>
            <w:vAlign w:val="center"/>
          </w:tcPr>
          <w:p w14:paraId="340505E9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1657" w:type="dxa"/>
            <w:vAlign w:val="center"/>
          </w:tcPr>
          <w:p w14:paraId="3FC08D8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69F120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5" w:type="dxa"/>
            <w:vAlign w:val="center"/>
          </w:tcPr>
          <w:p w14:paraId="5CC29ED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Differentiation</w:t>
            </w:r>
          </w:p>
        </w:tc>
        <w:tc>
          <w:tcPr>
            <w:tcW w:w="1138" w:type="dxa"/>
            <w:vAlign w:val="center"/>
          </w:tcPr>
          <w:p w14:paraId="3153D18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0.356</w:t>
            </w:r>
          </w:p>
        </w:tc>
        <w:tc>
          <w:tcPr>
            <w:tcW w:w="1912" w:type="dxa"/>
            <w:vAlign w:val="center"/>
          </w:tcPr>
          <w:p w14:paraId="779A0FD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1.286</w:t>
            </w:r>
          </w:p>
          <w:p w14:paraId="6C5DB4B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(0.754-2.194)</w:t>
            </w:r>
          </w:p>
        </w:tc>
        <w:tc>
          <w:tcPr>
            <w:tcW w:w="1404" w:type="dxa"/>
            <w:vAlign w:val="center"/>
          </w:tcPr>
          <w:p w14:paraId="61EAD0F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1657" w:type="dxa"/>
            <w:vAlign w:val="center"/>
          </w:tcPr>
          <w:p w14:paraId="08601AC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068B8A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5" w:type="dxa"/>
            <w:vAlign w:val="center"/>
          </w:tcPr>
          <w:p w14:paraId="6280B1B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 stage</w:t>
            </w:r>
          </w:p>
        </w:tc>
        <w:tc>
          <w:tcPr>
            <w:tcW w:w="1138" w:type="dxa"/>
            <w:vAlign w:val="center"/>
          </w:tcPr>
          <w:p w14:paraId="7E2EC43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0.103</w:t>
            </w:r>
          </w:p>
        </w:tc>
        <w:tc>
          <w:tcPr>
            <w:tcW w:w="1912" w:type="dxa"/>
            <w:vAlign w:val="center"/>
          </w:tcPr>
          <w:p w14:paraId="632B8E0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0.659</w:t>
            </w:r>
          </w:p>
          <w:p w14:paraId="18F3DCF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(0.400-1.088)</w:t>
            </w:r>
          </w:p>
        </w:tc>
        <w:tc>
          <w:tcPr>
            <w:tcW w:w="1404" w:type="dxa"/>
            <w:vAlign w:val="center"/>
          </w:tcPr>
          <w:p w14:paraId="5E6FA07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1657" w:type="dxa"/>
            <w:vAlign w:val="center"/>
          </w:tcPr>
          <w:p w14:paraId="7B6C587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385777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5" w:type="dxa"/>
            <w:vAlign w:val="center"/>
          </w:tcPr>
          <w:p w14:paraId="323B077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Lymphatic metastasis</w:t>
            </w:r>
          </w:p>
        </w:tc>
        <w:tc>
          <w:tcPr>
            <w:tcW w:w="1138" w:type="dxa"/>
            <w:vAlign w:val="center"/>
          </w:tcPr>
          <w:p w14:paraId="1D9AEAD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0.099</w:t>
            </w:r>
          </w:p>
        </w:tc>
        <w:tc>
          <w:tcPr>
            <w:tcW w:w="1912" w:type="dxa"/>
            <w:vAlign w:val="center"/>
          </w:tcPr>
          <w:p w14:paraId="5B2F852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0.679</w:t>
            </w:r>
          </w:p>
          <w:p w14:paraId="4913331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(0.428-1.075)</w:t>
            </w:r>
          </w:p>
        </w:tc>
        <w:tc>
          <w:tcPr>
            <w:tcW w:w="1404" w:type="dxa"/>
            <w:vAlign w:val="center"/>
          </w:tcPr>
          <w:p w14:paraId="009B7C4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1657" w:type="dxa"/>
            <w:vAlign w:val="center"/>
          </w:tcPr>
          <w:p w14:paraId="67FB8CD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6F5B51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5" w:type="dxa"/>
            <w:vAlign w:val="center"/>
          </w:tcPr>
          <w:p w14:paraId="0EA20BD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TNM stage</w:t>
            </w:r>
          </w:p>
        </w:tc>
        <w:tc>
          <w:tcPr>
            <w:tcW w:w="1138" w:type="dxa"/>
            <w:vAlign w:val="center"/>
          </w:tcPr>
          <w:p w14:paraId="79ACC0B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&lt;0.001</w:t>
            </w:r>
          </w:p>
        </w:tc>
        <w:tc>
          <w:tcPr>
            <w:tcW w:w="1912" w:type="dxa"/>
            <w:vAlign w:val="center"/>
          </w:tcPr>
          <w:p w14:paraId="7369501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0.189</w:t>
            </w:r>
          </w:p>
          <w:p w14:paraId="2A32840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(0.112-0.318)</w:t>
            </w:r>
          </w:p>
        </w:tc>
        <w:tc>
          <w:tcPr>
            <w:tcW w:w="1404" w:type="dxa"/>
            <w:vAlign w:val="center"/>
          </w:tcPr>
          <w:p w14:paraId="6F00F71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&lt;0.001</w:t>
            </w:r>
          </w:p>
        </w:tc>
        <w:tc>
          <w:tcPr>
            <w:tcW w:w="1657" w:type="dxa"/>
            <w:vAlign w:val="center"/>
          </w:tcPr>
          <w:p w14:paraId="1314C7D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0.192</w:t>
            </w:r>
          </w:p>
          <w:p w14:paraId="1F432E7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(0.105-0.351)</w:t>
            </w:r>
          </w:p>
        </w:tc>
      </w:tr>
      <w:tr w14:paraId="1B6CAA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5" w:type="dxa"/>
            <w:tcBorders>
              <w:bottom w:val="single" w:color="auto" w:sz="4" w:space="0"/>
            </w:tcBorders>
            <w:vAlign w:val="center"/>
          </w:tcPr>
          <w:p w14:paraId="1D5CBCA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Recurrence</w:t>
            </w:r>
          </w:p>
        </w:tc>
        <w:tc>
          <w:tcPr>
            <w:tcW w:w="1138" w:type="dxa"/>
            <w:tcBorders>
              <w:bottom w:val="single" w:color="auto" w:sz="4" w:space="0"/>
            </w:tcBorders>
            <w:vAlign w:val="center"/>
          </w:tcPr>
          <w:p w14:paraId="09BEDEB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&lt;0.001</w:t>
            </w:r>
          </w:p>
        </w:tc>
        <w:tc>
          <w:tcPr>
            <w:tcW w:w="1912" w:type="dxa"/>
            <w:tcBorders>
              <w:bottom w:val="single" w:color="auto" w:sz="4" w:space="0"/>
            </w:tcBorders>
            <w:vAlign w:val="center"/>
          </w:tcPr>
          <w:p w14:paraId="7A71D55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27.714</w:t>
            </w:r>
          </w:p>
          <w:p w14:paraId="7C1318F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(6.626-115.921)</w:t>
            </w:r>
          </w:p>
        </w:tc>
        <w:tc>
          <w:tcPr>
            <w:tcW w:w="1404" w:type="dxa"/>
            <w:tcBorders>
              <w:bottom w:val="single" w:color="auto" w:sz="4" w:space="0"/>
            </w:tcBorders>
            <w:vAlign w:val="center"/>
          </w:tcPr>
          <w:p w14:paraId="03B0AC6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&lt;0.001</w:t>
            </w:r>
          </w:p>
        </w:tc>
        <w:tc>
          <w:tcPr>
            <w:tcW w:w="1657" w:type="dxa"/>
            <w:tcBorders>
              <w:bottom w:val="single" w:color="auto" w:sz="4" w:space="0"/>
            </w:tcBorders>
            <w:vAlign w:val="center"/>
          </w:tcPr>
          <w:p w14:paraId="2BD2664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22.228</w:t>
            </w:r>
          </w:p>
          <w:p w14:paraId="41A96AA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(5.035-98.133)</w:t>
            </w:r>
          </w:p>
        </w:tc>
      </w:tr>
      <w:tr w14:paraId="0D7B4D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2CF64C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TMEM87A expression</w:t>
            </w:r>
          </w:p>
        </w:tc>
        <w:tc>
          <w:tcPr>
            <w:tcW w:w="11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95A27B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0.015</w:t>
            </w:r>
          </w:p>
        </w:tc>
        <w:tc>
          <w:tcPr>
            <w:tcW w:w="191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B1A5B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1.887</w:t>
            </w:r>
          </w:p>
          <w:p w14:paraId="243027D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(1.131-3.151)</w:t>
            </w:r>
          </w:p>
        </w:tc>
        <w:tc>
          <w:tcPr>
            <w:tcW w:w="14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675376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&lt;0.001</w:t>
            </w:r>
          </w:p>
        </w:tc>
        <w:tc>
          <w:tcPr>
            <w:tcW w:w="16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DB2B2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2.851</w:t>
            </w:r>
          </w:p>
          <w:p w14:paraId="281374F9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(1.600-5.079)</w:t>
            </w:r>
          </w:p>
        </w:tc>
      </w:tr>
    </w:tbl>
    <w:p w14:paraId="4E522CF6">
      <w:pPr>
        <w:spacing w:line="240" w:lineRule="auto"/>
        <w:rPr>
          <w:rFonts w:cs="Times New Roman"/>
          <w:b/>
          <w:bCs/>
        </w:rPr>
      </w:pPr>
    </w:p>
    <w:p w14:paraId="59C5C68E">
      <w:pPr>
        <w:widowControl/>
        <w:kinsoku/>
        <w:overflowPunct/>
        <w:autoSpaceDE/>
        <w:autoSpaceDN/>
        <w:adjustRightInd/>
        <w:snapToGrid/>
        <w:spacing w:before="0" w:beforeAutospacing="0" w:after="0" w:afterAutospacing="0" w:line="24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135F0982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Supplementary Table 3. Correlation between EBP expression and</w:t>
      </w:r>
      <w:r>
        <w:rPr>
          <w:rFonts w:hint="eastAsia" w:cs="Times New Roman"/>
          <w:b/>
          <w:bCs/>
        </w:rPr>
        <w:t xml:space="preserve"> </w:t>
      </w:r>
      <w:r>
        <w:rPr>
          <w:rFonts w:cs="Times New Roman"/>
          <w:b/>
          <w:bCs/>
        </w:rPr>
        <w:t>clinicopathologic characteristics of KRAS</w:t>
      </w:r>
      <w:r>
        <w:rPr>
          <w:rFonts w:cs="Times New Roman"/>
          <w:b/>
          <w:bCs/>
          <w:vertAlign w:val="superscript"/>
        </w:rPr>
        <w:t>mut</w:t>
      </w:r>
      <w:r>
        <w:rPr>
          <w:rFonts w:cs="Times New Roman"/>
          <w:b/>
          <w:bCs/>
        </w:rPr>
        <w:t>-PDAC patients</w:t>
      </w:r>
      <w:r>
        <w:rPr>
          <w:rFonts w:hint="eastAsia" w:cs="Times New Roman"/>
          <w:b/>
          <w:bCs/>
        </w:rPr>
        <w:t>.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5"/>
        <w:gridCol w:w="1429"/>
        <w:gridCol w:w="1591"/>
        <w:gridCol w:w="1600"/>
        <w:gridCol w:w="1537"/>
      </w:tblGrid>
      <w:tr w14:paraId="00A24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2365" w:type="dxa"/>
            <w:vMerge w:val="restart"/>
            <w:tcBorders>
              <w:left w:val="nil"/>
            </w:tcBorders>
            <w:vAlign w:val="center"/>
          </w:tcPr>
          <w:p w14:paraId="3FFC847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Characteristic</w:t>
            </w:r>
          </w:p>
        </w:tc>
        <w:tc>
          <w:tcPr>
            <w:tcW w:w="1429" w:type="dxa"/>
            <w:vMerge w:val="restart"/>
            <w:vAlign w:val="center"/>
          </w:tcPr>
          <w:p w14:paraId="5573751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No. of cases</w:t>
            </w:r>
          </w:p>
        </w:tc>
        <w:tc>
          <w:tcPr>
            <w:tcW w:w="4728" w:type="dxa"/>
            <w:gridSpan w:val="3"/>
            <w:tcBorders>
              <w:right w:val="nil"/>
            </w:tcBorders>
          </w:tcPr>
          <w:p w14:paraId="495FF0B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EBP expression level</w:t>
            </w:r>
          </w:p>
        </w:tc>
      </w:tr>
      <w:tr w14:paraId="010CD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2365" w:type="dxa"/>
            <w:vMerge w:val="continue"/>
            <w:tcBorders>
              <w:left w:val="nil"/>
            </w:tcBorders>
          </w:tcPr>
          <w:p w14:paraId="6D38A34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1429" w:type="dxa"/>
            <w:vMerge w:val="continue"/>
          </w:tcPr>
          <w:p w14:paraId="30DDCDB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1591" w:type="dxa"/>
          </w:tcPr>
          <w:p w14:paraId="4828C2F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low</w:t>
            </w:r>
          </w:p>
        </w:tc>
        <w:tc>
          <w:tcPr>
            <w:tcW w:w="1600" w:type="dxa"/>
          </w:tcPr>
          <w:p w14:paraId="5ECC320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high</w:t>
            </w:r>
          </w:p>
        </w:tc>
        <w:tc>
          <w:tcPr>
            <w:tcW w:w="1537" w:type="dxa"/>
            <w:tcBorders>
              <w:right w:val="nil"/>
            </w:tcBorders>
          </w:tcPr>
          <w:p w14:paraId="5AA82E8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p-value</w:t>
            </w:r>
          </w:p>
        </w:tc>
      </w:tr>
      <w:tr w14:paraId="61013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365" w:type="dxa"/>
            <w:tcBorders>
              <w:left w:val="nil"/>
            </w:tcBorders>
          </w:tcPr>
          <w:p w14:paraId="65920BD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Total cases</w:t>
            </w:r>
          </w:p>
        </w:tc>
        <w:tc>
          <w:tcPr>
            <w:tcW w:w="1429" w:type="dxa"/>
          </w:tcPr>
          <w:p w14:paraId="2EDE0F0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95</w:t>
            </w:r>
          </w:p>
        </w:tc>
        <w:tc>
          <w:tcPr>
            <w:tcW w:w="1591" w:type="dxa"/>
          </w:tcPr>
          <w:p w14:paraId="17F35A8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31</w:t>
            </w:r>
          </w:p>
        </w:tc>
        <w:tc>
          <w:tcPr>
            <w:tcW w:w="1600" w:type="dxa"/>
          </w:tcPr>
          <w:p w14:paraId="6DE3F45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64</w:t>
            </w:r>
          </w:p>
        </w:tc>
        <w:tc>
          <w:tcPr>
            <w:tcW w:w="1537" w:type="dxa"/>
            <w:tcBorders>
              <w:right w:val="nil"/>
            </w:tcBorders>
          </w:tcPr>
          <w:p w14:paraId="5D21492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7957A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2365" w:type="dxa"/>
            <w:tcBorders>
              <w:left w:val="nil"/>
            </w:tcBorders>
          </w:tcPr>
          <w:p w14:paraId="07A3543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Gender</w:t>
            </w:r>
          </w:p>
        </w:tc>
        <w:tc>
          <w:tcPr>
            <w:tcW w:w="6157" w:type="dxa"/>
            <w:gridSpan w:val="4"/>
            <w:tcBorders>
              <w:right w:val="nil"/>
            </w:tcBorders>
          </w:tcPr>
          <w:p w14:paraId="1FE3985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48594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2365" w:type="dxa"/>
            <w:vMerge w:val="restart"/>
            <w:tcBorders>
              <w:left w:val="nil"/>
            </w:tcBorders>
          </w:tcPr>
          <w:p w14:paraId="3266E24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Male</w:t>
            </w:r>
          </w:p>
          <w:p w14:paraId="3004221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Female</w:t>
            </w:r>
          </w:p>
        </w:tc>
        <w:tc>
          <w:tcPr>
            <w:tcW w:w="1429" w:type="dxa"/>
          </w:tcPr>
          <w:p w14:paraId="299D048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55</w:t>
            </w:r>
          </w:p>
        </w:tc>
        <w:tc>
          <w:tcPr>
            <w:tcW w:w="1591" w:type="dxa"/>
          </w:tcPr>
          <w:p w14:paraId="07C39B0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14</w:t>
            </w:r>
          </w:p>
        </w:tc>
        <w:tc>
          <w:tcPr>
            <w:tcW w:w="1600" w:type="dxa"/>
          </w:tcPr>
          <w:p w14:paraId="761EB879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41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1397F9D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0.08</w:t>
            </w:r>
          </w:p>
        </w:tc>
      </w:tr>
      <w:tr w14:paraId="4FF06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2365" w:type="dxa"/>
            <w:vMerge w:val="continue"/>
            <w:tcBorders>
              <w:left w:val="nil"/>
            </w:tcBorders>
          </w:tcPr>
          <w:p w14:paraId="2458746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1429" w:type="dxa"/>
          </w:tcPr>
          <w:p w14:paraId="70754F7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40</w:t>
            </w:r>
          </w:p>
        </w:tc>
        <w:tc>
          <w:tcPr>
            <w:tcW w:w="1591" w:type="dxa"/>
          </w:tcPr>
          <w:p w14:paraId="5F76FBE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17</w:t>
            </w:r>
          </w:p>
        </w:tc>
        <w:tc>
          <w:tcPr>
            <w:tcW w:w="1600" w:type="dxa"/>
          </w:tcPr>
          <w:p w14:paraId="72AA74B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23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104C088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0D6CD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2365" w:type="dxa"/>
            <w:tcBorders>
              <w:left w:val="nil"/>
            </w:tcBorders>
          </w:tcPr>
          <w:p w14:paraId="549485A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Age</w:t>
            </w:r>
          </w:p>
        </w:tc>
        <w:tc>
          <w:tcPr>
            <w:tcW w:w="6157" w:type="dxa"/>
            <w:gridSpan w:val="4"/>
            <w:tcBorders>
              <w:right w:val="nil"/>
            </w:tcBorders>
          </w:tcPr>
          <w:p w14:paraId="60D95A5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468D9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23E138C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≤60</w:t>
            </w:r>
          </w:p>
        </w:tc>
        <w:tc>
          <w:tcPr>
            <w:tcW w:w="1429" w:type="dxa"/>
          </w:tcPr>
          <w:p w14:paraId="124B068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38</w:t>
            </w:r>
          </w:p>
        </w:tc>
        <w:tc>
          <w:tcPr>
            <w:tcW w:w="1591" w:type="dxa"/>
          </w:tcPr>
          <w:p w14:paraId="634533C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12</w:t>
            </w:r>
          </w:p>
        </w:tc>
        <w:tc>
          <w:tcPr>
            <w:tcW w:w="1600" w:type="dxa"/>
          </w:tcPr>
          <w:p w14:paraId="70E0BDA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26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78D961E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0.858</w:t>
            </w:r>
          </w:p>
        </w:tc>
      </w:tr>
      <w:tr w14:paraId="23BAC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41B8F22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＞60</w:t>
            </w:r>
          </w:p>
        </w:tc>
        <w:tc>
          <w:tcPr>
            <w:tcW w:w="1429" w:type="dxa"/>
          </w:tcPr>
          <w:p w14:paraId="6F2D8E7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57</w:t>
            </w:r>
          </w:p>
        </w:tc>
        <w:tc>
          <w:tcPr>
            <w:tcW w:w="1591" w:type="dxa"/>
          </w:tcPr>
          <w:p w14:paraId="41C03B9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19</w:t>
            </w:r>
          </w:p>
        </w:tc>
        <w:tc>
          <w:tcPr>
            <w:tcW w:w="1600" w:type="dxa"/>
          </w:tcPr>
          <w:p w14:paraId="06BAABC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38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425DCE29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4B0D2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4FE2149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Differentiation</w:t>
            </w:r>
          </w:p>
        </w:tc>
        <w:tc>
          <w:tcPr>
            <w:tcW w:w="6157" w:type="dxa"/>
            <w:gridSpan w:val="4"/>
            <w:tcBorders>
              <w:right w:val="nil"/>
            </w:tcBorders>
          </w:tcPr>
          <w:p w14:paraId="2F3CD03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7018D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527A7B0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Poor</w:t>
            </w:r>
          </w:p>
        </w:tc>
        <w:tc>
          <w:tcPr>
            <w:tcW w:w="1429" w:type="dxa"/>
          </w:tcPr>
          <w:p w14:paraId="3FCF548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20</w:t>
            </w:r>
          </w:p>
        </w:tc>
        <w:tc>
          <w:tcPr>
            <w:tcW w:w="1591" w:type="dxa"/>
          </w:tcPr>
          <w:p w14:paraId="0FEA785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6</w:t>
            </w:r>
          </w:p>
        </w:tc>
        <w:tc>
          <w:tcPr>
            <w:tcW w:w="1600" w:type="dxa"/>
          </w:tcPr>
          <w:p w14:paraId="31185FE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16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0F23EBC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0.541</w:t>
            </w:r>
          </w:p>
        </w:tc>
      </w:tr>
      <w:tr w14:paraId="345EC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02F0EF1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Moderate</w:t>
            </w:r>
          </w:p>
        </w:tc>
        <w:tc>
          <w:tcPr>
            <w:tcW w:w="1429" w:type="dxa"/>
          </w:tcPr>
          <w:p w14:paraId="701008E9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54</w:t>
            </w:r>
          </w:p>
        </w:tc>
        <w:tc>
          <w:tcPr>
            <w:tcW w:w="1591" w:type="dxa"/>
          </w:tcPr>
          <w:p w14:paraId="3232B32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20</w:t>
            </w:r>
          </w:p>
        </w:tc>
        <w:tc>
          <w:tcPr>
            <w:tcW w:w="1600" w:type="dxa"/>
          </w:tcPr>
          <w:p w14:paraId="5E0FCE49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34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1F69AEA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70C8B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3254623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Well</w:t>
            </w:r>
          </w:p>
        </w:tc>
        <w:tc>
          <w:tcPr>
            <w:tcW w:w="1429" w:type="dxa"/>
          </w:tcPr>
          <w:p w14:paraId="6A49142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31</w:t>
            </w:r>
          </w:p>
        </w:tc>
        <w:tc>
          <w:tcPr>
            <w:tcW w:w="1591" w:type="dxa"/>
          </w:tcPr>
          <w:p w14:paraId="1095ED4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</w:t>
            </w:r>
          </w:p>
        </w:tc>
        <w:tc>
          <w:tcPr>
            <w:tcW w:w="1600" w:type="dxa"/>
          </w:tcPr>
          <w:p w14:paraId="62BCE54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14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03B5CEB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3C228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6011B1A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 stage</w:t>
            </w:r>
          </w:p>
        </w:tc>
        <w:tc>
          <w:tcPr>
            <w:tcW w:w="6157" w:type="dxa"/>
            <w:gridSpan w:val="4"/>
            <w:tcBorders>
              <w:right w:val="nil"/>
            </w:tcBorders>
          </w:tcPr>
          <w:p w14:paraId="21D9D08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3E09D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2365" w:type="dxa"/>
            <w:tcBorders>
              <w:left w:val="nil"/>
            </w:tcBorders>
          </w:tcPr>
          <w:p w14:paraId="1474540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T1-2</w:t>
            </w:r>
          </w:p>
        </w:tc>
        <w:tc>
          <w:tcPr>
            <w:tcW w:w="1429" w:type="dxa"/>
          </w:tcPr>
          <w:p w14:paraId="4DC8685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20</w:t>
            </w:r>
          </w:p>
        </w:tc>
        <w:tc>
          <w:tcPr>
            <w:tcW w:w="1591" w:type="dxa"/>
          </w:tcPr>
          <w:p w14:paraId="1C5866C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10</w:t>
            </w:r>
          </w:p>
        </w:tc>
        <w:tc>
          <w:tcPr>
            <w:tcW w:w="1600" w:type="dxa"/>
          </w:tcPr>
          <w:p w14:paraId="066B42C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10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5BED6A0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0.062</w:t>
            </w:r>
          </w:p>
        </w:tc>
      </w:tr>
      <w:tr w14:paraId="04DDF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1BD95B43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T3-4</w:t>
            </w:r>
          </w:p>
        </w:tc>
        <w:tc>
          <w:tcPr>
            <w:tcW w:w="1429" w:type="dxa"/>
          </w:tcPr>
          <w:p w14:paraId="7C8EC7A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75</w:t>
            </w:r>
          </w:p>
        </w:tc>
        <w:tc>
          <w:tcPr>
            <w:tcW w:w="1591" w:type="dxa"/>
          </w:tcPr>
          <w:p w14:paraId="0C8DE88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21</w:t>
            </w:r>
          </w:p>
        </w:tc>
        <w:tc>
          <w:tcPr>
            <w:tcW w:w="1600" w:type="dxa"/>
          </w:tcPr>
          <w:p w14:paraId="3B1E1F9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54</w:t>
            </w:r>
          </w:p>
        </w:tc>
        <w:tc>
          <w:tcPr>
            <w:tcW w:w="1537" w:type="dxa"/>
            <w:vMerge w:val="continue"/>
            <w:tcBorders>
              <w:right w:val="nil"/>
            </w:tcBorders>
            <w:vAlign w:val="center"/>
          </w:tcPr>
          <w:p w14:paraId="0DAEC59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11882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52C3562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Lymphatic metastasis</w:t>
            </w:r>
          </w:p>
        </w:tc>
        <w:tc>
          <w:tcPr>
            <w:tcW w:w="6157" w:type="dxa"/>
            <w:gridSpan w:val="4"/>
            <w:tcBorders>
              <w:right w:val="nil"/>
            </w:tcBorders>
          </w:tcPr>
          <w:p w14:paraId="2ACCE55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4B1E9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2E5DBBF9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Negative</w:t>
            </w:r>
          </w:p>
        </w:tc>
        <w:tc>
          <w:tcPr>
            <w:tcW w:w="1429" w:type="dxa"/>
          </w:tcPr>
          <w:p w14:paraId="5D00FED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45</w:t>
            </w:r>
          </w:p>
        </w:tc>
        <w:tc>
          <w:tcPr>
            <w:tcW w:w="1591" w:type="dxa"/>
          </w:tcPr>
          <w:p w14:paraId="0A3D97F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20</w:t>
            </w:r>
          </w:p>
        </w:tc>
        <w:tc>
          <w:tcPr>
            <w:tcW w:w="1600" w:type="dxa"/>
          </w:tcPr>
          <w:p w14:paraId="77FA8223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25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605F828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0.146</w:t>
            </w:r>
          </w:p>
        </w:tc>
      </w:tr>
      <w:tr w14:paraId="56CD2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6E9CCE4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Positive</w:t>
            </w:r>
          </w:p>
        </w:tc>
        <w:tc>
          <w:tcPr>
            <w:tcW w:w="1429" w:type="dxa"/>
          </w:tcPr>
          <w:p w14:paraId="10A1B40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50</w:t>
            </w:r>
          </w:p>
        </w:tc>
        <w:tc>
          <w:tcPr>
            <w:tcW w:w="1591" w:type="dxa"/>
          </w:tcPr>
          <w:p w14:paraId="2684931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11</w:t>
            </w:r>
          </w:p>
        </w:tc>
        <w:tc>
          <w:tcPr>
            <w:tcW w:w="1600" w:type="dxa"/>
          </w:tcPr>
          <w:p w14:paraId="470AA5D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39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7E8887C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6144D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16F282C9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TNM stage</w:t>
            </w:r>
          </w:p>
        </w:tc>
        <w:tc>
          <w:tcPr>
            <w:tcW w:w="6157" w:type="dxa"/>
            <w:gridSpan w:val="4"/>
            <w:tcBorders>
              <w:right w:val="nil"/>
            </w:tcBorders>
          </w:tcPr>
          <w:p w14:paraId="70900CB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49B1A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28BC5D5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Stage Ⅰ</w:t>
            </w:r>
          </w:p>
        </w:tc>
        <w:tc>
          <w:tcPr>
            <w:tcW w:w="1429" w:type="dxa"/>
          </w:tcPr>
          <w:p w14:paraId="5D55828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23</w:t>
            </w:r>
          </w:p>
        </w:tc>
        <w:tc>
          <w:tcPr>
            <w:tcW w:w="1591" w:type="dxa"/>
          </w:tcPr>
          <w:p w14:paraId="347E8B6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12</w:t>
            </w:r>
          </w:p>
        </w:tc>
        <w:tc>
          <w:tcPr>
            <w:tcW w:w="1600" w:type="dxa"/>
          </w:tcPr>
          <w:p w14:paraId="75B5E37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11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5DE5887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0.022</w:t>
            </w:r>
          </w:p>
        </w:tc>
      </w:tr>
      <w:tr w14:paraId="3CD5D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408319B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Stage Ⅱ</w:t>
            </w:r>
          </w:p>
        </w:tc>
        <w:tc>
          <w:tcPr>
            <w:tcW w:w="1429" w:type="dxa"/>
          </w:tcPr>
          <w:p w14:paraId="007E52E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48</w:t>
            </w:r>
          </w:p>
        </w:tc>
        <w:tc>
          <w:tcPr>
            <w:tcW w:w="1591" w:type="dxa"/>
          </w:tcPr>
          <w:p w14:paraId="094038F3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16</w:t>
            </w:r>
          </w:p>
        </w:tc>
        <w:tc>
          <w:tcPr>
            <w:tcW w:w="1600" w:type="dxa"/>
          </w:tcPr>
          <w:p w14:paraId="7FD5768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32</w:t>
            </w:r>
          </w:p>
        </w:tc>
        <w:tc>
          <w:tcPr>
            <w:tcW w:w="1537" w:type="dxa"/>
            <w:vMerge w:val="continue"/>
            <w:tcBorders>
              <w:right w:val="nil"/>
            </w:tcBorders>
            <w:vAlign w:val="center"/>
          </w:tcPr>
          <w:p w14:paraId="3B3008F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341B8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739F608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Stage Ⅲ</w:t>
            </w:r>
          </w:p>
        </w:tc>
        <w:tc>
          <w:tcPr>
            <w:tcW w:w="1429" w:type="dxa"/>
          </w:tcPr>
          <w:p w14:paraId="4447CE0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24</w:t>
            </w:r>
          </w:p>
        </w:tc>
        <w:tc>
          <w:tcPr>
            <w:tcW w:w="1591" w:type="dxa"/>
          </w:tcPr>
          <w:p w14:paraId="11B79D1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</w:t>
            </w:r>
          </w:p>
        </w:tc>
        <w:tc>
          <w:tcPr>
            <w:tcW w:w="1600" w:type="dxa"/>
          </w:tcPr>
          <w:p w14:paraId="4C11435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21</w:t>
            </w:r>
          </w:p>
        </w:tc>
        <w:tc>
          <w:tcPr>
            <w:tcW w:w="1537" w:type="dxa"/>
            <w:vMerge w:val="continue"/>
            <w:tcBorders>
              <w:right w:val="nil"/>
            </w:tcBorders>
            <w:vAlign w:val="center"/>
          </w:tcPr>
          <w:p w14:paraId="4D50E98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2EDC4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1EC0E07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Vital Status</w:t>
            </w:r>
          </w:p>
        </w:tc>
        <w:tc>
          <w:tcPr>
            <w:tcW w:w="6157" w:type="dxa"/>
            <w:gridSpan w:val="4"/>
            <w:tcBorders>
              <w:right w:val="nil"/>
            </w:tcBorders>
          </w:tcPr>
          <w:p w14:paraId="687014D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7E7EF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548C859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Alive</w:t>
            </w:r>
          </w:p>
        </w:tc>
        <w:tc>
          <w:tcPr>
            <w:tcW w:w="1429" w:type="dxa"/>
          </w:tcPr>
          <w:p w14:paraId="2DEDB69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29</w:t>
            </w:r>
          </w:p>
        </w:tc>
        <w:tc>
          <w:tcPr>
            <w:tcW w:w="1591" w:type="dxa"/>
          </w:tcPr>
          <w:p w14:paraId="1381A1C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17</w:t>
            </w:r>
          </w:p>
        </w:tc>
        <w:tc>
          <w:tcPr>
            <w:tcW w:w="1600" w:type="dxa"/>
          </w:tcPr>
          <w:p w14:paraId="6F29407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12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1C9AECE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&lt;0.001</w:t>
            </w:r>
          </w:p>
        </w:tc>
      </w:tr>
      <w:tr w14:paraId="7010F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68744CE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Death</w:t>
            </w:r>
          </w:p>
        </w:tc>
        <w:tc>
          <w:tcPr>
            <w:tcW w:w="1429" w:type="dxa"/>
          </w:tcPr>
          <w:p w14:paraId="50B7B50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66</w:t>
            </w:r>
          </w:p>
        </w:tc>
        <w:tc>
          <w:tcPr>
            <w:tcW w:w="1591" w:type="dxa"/>
          </w:tcPr>
          <w:p w14:paraId="32A7B4D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14</w:t>
            </w:r>
          </w:p>
        </w:tc>
        <w:tc>
          <w:tcPr>
            <w:tcW w:w="1600" w:type="dxa"/>
          </w:tcPr>
          <w:p w14:paraId="66D16EE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52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0B9862B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66D90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54DA264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Recurrence</w:t>
            </w:r>
          </w:p>
        </w:tc>
        <w:tc>
          <w:tcPr>
            <w:tcW w:w="6157" w:type="dxa"/>
            <w:gridSpan w:val="4"/>
            <w:tcBorders>
              <w:right w:val="nil"/>
            </w:tcBorders>
          </w:tcPr>
          <w:p w14:paraId="4FFAE2B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3B2AB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2FC4722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NO</w:t>
            </w:r>
          </w:p>
        </w:tc>
        <w:tc>
          <w:tcPr>
            <w:tcW w:w="1429" w:type="dxa"/>
          </w:tcPr>
          <w:p w14:paraId="1E5BA9E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23</w:t>
            </w:r>
          </w:p>
        </w:tc>
        <w:tc>
          <w:tcPr>
            <w:tcW w:w="1591" w:type="dxa"/>
          </w:tcPr>
          <w:p w14:paraId="3D916F5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12</w:t>
            </w:r>
          </w:p>
        </w:tc>
        <w:tc>
          <w:tcPr>
            <w:tcW w:w="1600" w:type="dxa"/>
          </w:tcPr>
          <w:p w14:paraId="0F6A0CF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11</w:t>
            </w:r>
          </w:p>
        </w:tc>
        <w:tc>
          <w:tcPr>
            <w:tcW w:w="1537" w:type="dxa"/>
            <w:vMerge w:val="restart"/>
            <w:tcBorders>
              <w:right w:val="nil"/>
            </w:tcBorders>
            <w:vAlign w:val="center"/>
          </w:tcPr>
          <w:p w14:paraId="728032D3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0.022</w:t>
            </w:r>
          </w:p>
        </w:tc>
      </w:tr>
      <w:tr w14:paraId="1E4EC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65" w:type="dxa"/>
            <w:tcBorders>
              <w:left w:val="nil"/>
            </w:tcBorders>
          </w:tcPr>
          <w:p w14:paraId="702F505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YES</w:t>
            </w:r>
          </w:p>
        </w:tc>
        <w:tc>
          <w:tcPr>
            <w:tcW w:w="1429" w:type="dxa"/>
          </w:tcPr>
          <w:p w14:paraId="622A3933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72</w:t>
            </w:r>
          </w:p>
        </w:tc>
        <w:tc>
          <w:tcPr>
            <w:tcW w:w="1591" w:type="dxa"/>
          </w:tcPr>
          <w:p w14:paraId="08E155D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19</w:t>
            </w:r>
          </w:p>
        </w:tc>
        <w:tc>
          <w:tcPr>
            <w:tcW w:w="1600" w:type="dxa"/>
          </w:tcPr>
          <w:p w14:paraId="47A6B35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53</w:t>
            </w:r>
          </w:p>
        </w:tc>
        <w:tc>
          <w:tcPr>
            <w:tcW w:w="1537" w:type="dxa"/>
            <w:vMerge w:val="continue"/>
            <w:tcBorders>
              <w:right w:val="nil"/>
            </w:tcBorders>
          </w:tcPr>
          <w:p w14:paraId="613A8D6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</w:tbl>
    <w:p w14:paraId="4F9D0E2D">
      <w:pPr>
        <w:spacing w:line="240" w:lineRule="auto"/>
        <w:rPr>
          <w:rFonts w:cs="Times New Roman"/>
          <w:b/>
          <w:bCs/>
        </w:rPr>
      </w:pPr>
    </w:p>
    <w:p w14:paraId="66D78537">
      <w:pPr>
        <w:widowControl/>
        <w:kinsoku/>
        <w:overflowPunct/>
        <w:autoSpaceDE/>
        <w:autoSpaceDN/>
        <w:adjustRightInd/>
        <w:snapToGrid/>
        <w:spacing w:before="0" w:beforeAutospacing="0" w:after="0" w:afterAutospacing="0" w:line="24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751E77E1">
      <w:pPr>
        <w:jc w:val="center"/>
        <w:rPr>
          <w:rFonts w:cs="Times New Roman"/>
        </w:rPr>
      </w:pPr>
      <w:r>
        <w:rPr>
          <w:rFonts w:cs="Times New Roman"/>
          <w:b/>
          <w:bCs/>
        </w:rPr>
        <w:t>Supplementary Table 4. Univariate and multivariate analysis of different prognostic parameters in KRAS</w:t>
      </w:r>
      <w:r>
        <w:rPr>
          <w:rFonts w:cs="Times New Roman"/>
          <w:b/>
          <w:bCs/>
          <w:vertAlign w:val="superscript"/>
        </w:rPr>
        <w:t>mut</w:t>
      </w:r>
      <w:r>
        <w:rPr>
          <w:rFonts w:cs="Times New Roman"/>
          <w:b/>
          <w:bCs/>
        </w:rPr>
        <w:t xml:space="preserve"> PDAC patients by Cox-regression analysis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099"/>
        <w:gridCol w:w="2185"/>
        <w:gridCol w:w="1076"/>
        <w:gridCol w:w="2210"/>
      </w:tblGrid>
      <w:tr w14:paraId="5023E3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CE9D7F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328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0F07D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Univariate analysis</w:t>
            </w:r>
          </w:p>
        </w:tc>
        <w:tc>
          <w:tcPr>
            <w:tcW w:w="3286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5AD305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Multivariate analysis</w:t>
            </w:r>
          </w:p>
        </w:tc>
      </w:tr>
      <w:tr w14:paraId="3C54C2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tcBorders>
              <w:top w:val="single" w:color="auto" w:sz="4" w:space="0"/>
            </w:tcBorders>
            <w:vAlign w:val="center"/>
          </w:tcPr>
          <w:p w14:paraId="0BD00FD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1099" w:type="dxa"/>
            <w:tcBorders>
              <w:top w:val="single" w:color="auto" w:sz="4" w:space="0"/>
            </w:tcBorders>
            <w:vAlign w:val="center"/>
          </w:tcPr>
          <w:p w14:paraId="47FB9B2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P</w:t>
            </w:r>
          </w:p>
        </w:tc>
        <w:tc>
          <w:tcPr>
            <w:tcW w:w="2185" w:type="dxa"/>
            <w:tcBorders>
              <w:top w:val="single" w:color="auto" w:sz="4" w:space="0"/>
            </w:tcBorders>
            <w:vAlign w:val="center"/>
          </w:tcPr>
          <w:p w14:paraId="1A7C9D1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Hazard ratio</w:t>
            </w:r>
          </w:p>
          <w:p w14:paraId="39A30E03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(95%CI)</w:t>
            </w:r>
          </w:p>
        </w:tc>
        <w:tc>
          <w:tcPr>
            <w:tcW w:w="1076" w:type="dxa"/>
            <w:tcBorders>
              <w:top w:val="single" w:color="auto" w:sz="4" w:space="0"/>
            </w:tcBorders>
            <w:vAlign w:val="center"/>
          </w:tcPr>
          <w:p w14:paraId="3F5D6BB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P</w:t>
            </w:r>
          </w:p>
        </w:tc>
        <w:tc>
          <w:tcPr>
            <w:tcW w:w="2210" w:type="dxa"/>
            <w:tcBorders>
              <w:top w:val="single" w:color="auto" w:sz="4" w:space="0"/>
            </w:tcBorders>
            <w:vAlign w:val="center"/>
          </w:tcPr>
          <w:p w14:paraId="7DF9670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Hazard ratio</w:t>
            </w:r>
          </w:p>
          <w:p w14:paraId="63F154F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(95%CI)</w:t>
            </w:r>
          </w:p>
        </w:tc>
      </w:tr>
      <w:tr w14:paraId="5EBFD0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6" w:type="dxa"/>
            <w:vAlign w:val="center"/>
          </w:tcPr>
          <w:p w14:paraId="1AA802E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Gender</w:t>
            </w:r>
          </w:p>
        </w:tc>
        <w:tc>
          <w:tcPr>
            <w:tcW w:w="1099" w:type="dxa"/>
            <w:vAlign w:val="center"/>
          </w:tcPr>
          <w:p w14:paraId="3A84BB2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0.131</w:t>
            </w:r>
          </w:p>
        </w:tc>
        <w:tc>
          <w:tcPr>
            <w:tcW w:w="2185" w:type="dxa"/>
            <w:vAlign w:val="center"/>
          </w:tcPr>
          <w:p w14:paraId="110D83F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0.685</w:t>
            </w:r>
          </w:p>
          <w:p w14:paraId="4E8C73A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(0.420-1.119)</w:t>
            </w:r>
          </w:p>
        </w:tc>
        <w:tc>
          <w:tcPr>
            <w:tcW w:w="1076" w:type="dxa"/>
            <w:vAlign w:val="center"/>
          </w:tcPr>
          <w:p w14:paraId="7D3E584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2210" w:type="dxa"/>
            <w:vAlign w:val="center"/>
          </w:tcPr>
          <w:p w14:paraId="5BCCE6D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76DE08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Align w:val="center"/>
          </w:tcPr>
          <w:p w14:paraId="7F9EFF5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Age</w:t>
            </w:r>
          </w:p>
        </w:tc>
        <w:tc>
          <w:tcPr>
            <w:tcW w:w="1099" w:type="dxa"/>
            <w:vAlign w:val="center"/>
          </w:tcPr>
          <w:p w14:paraId="11B65F2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0.728</w:t>
            </w:r>
          </w:p>
        </w:tc>
        <w:tc>
          <w:tcPr>
            <w:tcW w:w="2185" w:type="dxa"/>
            <w:vAlign w:val="center"/>
          </w:tcPr>
          <w:p w14:paraId="1C6E58E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1.092</w:t>
            </w:r>
          </w:p>
          <w:p w14:paraId="5056678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(0.664-1.797)</w:t>
            </w:r>
          </w:p>
        </w:tc>
        <w:tc>
          <w:tcPr>
            <w:tcW w:w="1076" w:type="dxa"/>
            <w:vAlign w:val="center"/>
          </w:tcPr>
          <w:p w14:paraId="1DCF2B7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2210" w:type="dxa"/>
            <w:vAlign w:val="center"/>
          </w:tcPr>
          <w:p w14:paraId="2FC36A9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6DA734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Align w:val="center"/>
          </w:tcPr>
          <w:p w14:paraId="3F09BB5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Differentiation</w:t>
            </w:r>
          </w:p>
        </w:tc>
        <w:tc>
          <w:tcPr>
            <w:tcW w:w="1099" w:type="dxa"/>
            <w:vAlign w:val="center"/>
          </w:tcPr>
          <w:p w14:paraId="73652F5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0.09</w:t>
            </w:r>
          </w:p>
        </w:tc>
        <w:tc>
          <w:tcPr>
            <w:tcW w:w="2185" w:type="dxa"/>
            <w:vAlign w:val="center"/>
          </w:tcPr>
          <w:p w14:paraId="0BD690B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1.613</w:t>
            </w:r>
          </w:p>
          <w:p w14:paraId="417ADAF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(0.929-2.802)</w:t>
            </w:r>
          </w:p>
        </w:tc>
        <w:tc>
          <w:tcPr>
            <w:tcW w:w="1076" w:type="dxa"/>
            <w:vAlign w:val="center"/>
          </w:tcPr>
          <w:p w14:paraId="212EA30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2210" w:type="dxa"/>
            <w:vAlign w:val="center"/>
          </w:tcPr>
          <w:p w14:paraId="1530011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02DDFD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Align w:val="center"/>
          </w:tcPr>
          <w:p w14:paraId="42A6A3A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 stage</w:t>
            </w:r>
          </w:p>
        </w:tc>
        <w:tc>
          <w:tcPr>
            <w:tcW w:w="1099" w:type="dxa"/>
            <w:vAlign w:val="center"/>
          </w:tcPr>
          <w:p w14:paraId="0DE0BD4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0.655</w:t>
            </w:r>
          </w:p>
        </w:tc>
        <w:tc>
          <w:tcPr>
            <w:tcW w:w="2185" w:type="dxa"/>
            <w:vAlign w:val="center"/>
          </w:tcPr>
          <w:p w14:paraId="01CAC39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0.878</w:t>
            </w:r>
          </w:p>
          <w:p w14:paraId="5ABEF79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(0.495-1.556)</w:t>
            </w:r>
          </w:p>
        </w:tc>
        <w:tc>
          <w:tcPr>
            <w:tcW w:w="1076" w:type="dxa"/>
            <w:vAlign w:val="center"/>
          </w:tcPr>
          <w:p w14:paraId="6B2D0D0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2210" w:type="dxa"/>
            <w:vAlign w:val="center"/>
          </w:tcPr>
          <w:p w14:paraId="3A58FC9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426E9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Align w:val="center"/>
          </w:tcPr>
          <w:p w14:paraId="1950F62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Lymphatic metastasis</w:t>
            </w:r>
          </w:p>
        </w:tc>
        <w:tc>
          <w:tcPr>
            <w:tcW w:w="1099" w:type="dxa"/>
            <w:vAlign w:val="center"/>
          </w:tcPr>
          <w:p w14:paraId="51FFF3B0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0.095</w:t>
            </w:r>
          </w:p>
        </w:tc>
        <w:tc>
          <w:tcPr>
            <w:tcW w:w="2185" w:type="dxa"/>
            <w:vAlign w:val="center"/>
          </w:tcPr>
          <w:p w14:paraId="63347649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1.524</w:t>
            </w:r>
          </w:p>
          <w:p w14:paraId="6EAAB61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(0.930-2.498)</w:t>
            </w:r>
          </w:p>
        </w:tc>
        <w:tc>
          <w:tcPr>
            <w:tcW w:w="1076" w:type="dxa"/>
            <w:vAlign w:val="center"/>
          </w:tcPr>
          <w:p w14:paraId="2617AB6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2210" w:type="dxa"/>
            <w:vAlign w:val="center"/>
          </w:tcPr>
          <w:p w14:paraId="75185B2C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</w:p>
        </w:tc>
      </w:tr>
      <w:tr w14:paraId="2A9B54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Align w:val="center"/>
          </w:tcPr>
          <w:p w14:paraId="2825243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TNM stage</w:t>
            </w:r>
          </w:p>
        </w:tc>
        <w:tc>
          <w:tcPr>
            <w:tcW w:w="1099" w:type="dxa"/>
            <w:vAlign w:val="center"/>
          </w:tcPr>
          <w:p w14:paraId="33EB864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&lt;0.001</w:t>
            </w:r>
          </w:p>
        </w:tc>
        <w:tc>
          <w:tcPr>
            <w:tcW w:w="2185" w:type="dxa"/>
            <w:vAlign w:val="center"/>
          </w:tcPr>
          <w:p w14:paraId="6D8A6CDD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4.251</w:t>
            </w:r>
          </w:p>
          <w:p w14:paraId="727F40C9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(2.068-8.736)</w:t>
            </w:r>
          </w:p>
        </w:tc>
        <w:tc>
          <w:tcPr>
            <w:tcW w:w="1076" w:type="dxa"/>
            <w:vAlign w:val="center"/>
          </w:tcPr>
          <w:p w14:paraId="16E54B7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0.002</w:t>
            </w:r>
          </w:p>
        </w:tc>
        <w:tc>
          <w:tcPr>
            <w:tcW w:w="2210" w:type="dxa"/>
            <w:vAlign w:val="center"/>
          </w:tcPr>
          <w:p w14:paraId="758C019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3.352</w:t>
            </w:r>
          </w:p>
          <w:p w14:paraId="1726125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(1.581-7.107)</w:t>
            </w:r>
          </w:p>
        </w:tc>
      </w:tr>
      <w:tr w14:paraId="7DD08A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tcBorders>
              <w:bottom w:val="single" w:color="auto" w:sz="4" w:space="0"/>
            </w:tcBorders>
            <w:vAlign w:val="center"/>
          </w:tcPr>
          <w:p w14:paraId="23FAF1C4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recurrence</w:t>
            </w:r>
          </w:p>
        </w:tc>
        <w:tc>
          <w:tcPr>
            <w:tcW w:w="1099" w:type="dxa"/>
            <w:tcBorders>
              <w:bottom w:val="single" w:color="auto" w:sz="4" w:space="0"/>
            </w:tcBorders>
            <w:vAlign w:val="center"/>
          </w:tcPr>
          <w:p w14:paraId="6D19A49F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&lt;0.001</w:t>
            </w:r>
          </w:p>
        </w:tc>
        <w:tc>
          <w:tcPr>
            <w:tcW w:w="2185" w:type="dxa"/>
            <w:tcBorders>
              <w:bottom w:val="single" w:color="auto" w:sz="4" w:space="0"/>
            </w:tcBorders>
            <w:vAlign w:val="center"/>
          </w:tcPr>
          <w:p w14:paraId="0BCD5F5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17.789</w:t>
            </w:r>
          </w:p>
          <w:p w14:paraId="60CFAF46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(6.100-51.875)</w:t>
            </w:r>
          </w:p>
        </w:tc>
        <w:tc>
          <w:tcPr>
            <w:tcW w:w="1076" w:type="dxa"/>
            <w:tcBorders>
              <w:bottom w:val="single" w:color="auto" w:sz="4" w:space="0"/>
            </w:tcBorders>
            <w:vAlign w:val="center"/>
          </w:tcPr>
          <w:p w14:paraId="1A83F762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&lt;0.001</w:t>
            </w:r>
          </w:p>
        </w:tc>
        <w:tc>
          <w:tcPr>
            <w:tcW w:w="2210" w:type="dxa"/>
            <w:tcBorders>
              <w:bottom w:val="single" w:color="auto" w:sz="4" w:space="0"/>
            </w:tcBorders>
            <w:vAlign w:val="center"/>
          </w:tcPr>
          <w:p w14:paraId="53B6341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27.328</w:t>
            </w:r>
          </w:p>
          <w:p w14:paraId="0FF9D0E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(7.863-94.984)</w:t>
            </w:r>
          </w:p>
        </w:tc>
      </w:tr>
      <w:tr w14:paraId="33E455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45B8D9B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EBP expression</w:t>
            </w:r>
          </w:p>
        </w:tc>
        <w:tc>
          <w:tcPr>
            <w:tcW w:w="10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543FAA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&lt;0.001</w:t>
            </w:r>
          </w:p>
        </w:tc>
        <w:tc>
          <w:tcPr>
            <w:tcW w:w="21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1B13C1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3.170</w:t>
            </w:r>
          </w:p>
          <w:p w14:paraId="17D1B965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(1.746-5.756)</w:t>
            </w:r>
          </w:p>
        </w:tc>
        <w:tc>
          <w:tcPr>
            <w:tcW w:w="10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3C208D8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&lt;0.001</w:t>
            </w:r>
          </w:p>
        </w:tc>
        <w:tc>
          <w:tcPr>
            <w:tcW w:w="221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5DA264E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4.518</w:t>
            </w:r>
          </w:p>
          <w:p w14:paraId="3CFC3E07">
            <w:pPr>
              <w:spacing w:line="240" w:lineRule="auto"/>
              <w:jc w:val="center"/>
              <w:rPr>
                <w:rFonts w:cs="Times New Roman"/>
                <w:b/>
                <w:bCs/>
                <w:kern w:val="0"/>
                <w:szCs w:val="20"/>
              </w:rPr>
            </w:pPr>
            <w:r>
              <w:rPr>
                <w:rFonts w:cs="Times New Roman"/>
                <w:b/>
                <w:bCs/>
                <w:kern w:val="0"/>
                <w:szCs w:val="20"/>
              </w:rPr>
              <w:t>(2.315-8.818)</w:t>
            </w:r>
          </w:p>
        </w:tc>
      </w:tr>
    </w:tbl>
    <w:p w14:paraId="59A3A55D">
      <w:pPr>
        <w:spacing w:line="240" w:lineRule="auto"/>
        <w:rPr>
          <w:rFonts w:cs="Times New Roman"/>
        </w:rPr>
      </w:pPr>
    </w:p>
    <w:p w14:paraId="56D3D468">
      <w:pPr>
        <w:widowControl/>
        <w:kinsoku/>
        <w:overflowPunct/>
        <w:autoSpaceDE/>
        <w:autoSpaceDN/>
        <w:adjustRightInd/>
        <w:snapToGrid/>
        <w:spacing w:before="0" w:beforeAutospacing="0" w:after="0" w:afterAutospacing="0" w:line="240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47B4DFAD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</w:rPr>
        <w:t xml:space="preserve">Supplementary Table </w:t>
      </w:r>
      <w:r>
        <w:rPr>
          <w:rFonts w:hint="eastAsia" w:cs="Times New Roman"/>
          <w:b/>
          <w:bCs/>
        </w:rPr>
        <w:t>5</w:t>
      </w:r>
      <w:r>
        <w:rPr>
          <w:rFonts w:cs="Times New Roman"/>
          <w:b/>
          <w:bCs/>
          <w:szCs w:val="24"/>
        </w:rPr>
        <w:t>. Primers and Oligonucleotides used in this study</w:t>
      </w:r>
    </w:p>
    <w:tbl>
      <w:tblPr>
        <w:tblStyle w:val="4"/>
        <w:tblW w:w="8296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3"/>
        <w:gridCol w:w="4843"/>
      </w:tblGrid>
      <w:tr w14:paraId="72DF44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0F5DB00">
            <w:pPr>
              <w:spacing w:line="360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Primer used for qPCR</w:t>
            </w:r>
          </w:p>
        </w:tc>
      </w:tr>
      <w:tr w14:paraId="509F98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7A483104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TMEM87A</w:t>
            </w:r>
            <w:r>
              <w:rPr>
                <w:rFonts w:cs="Times New Roman"/>
                <w:szCs w:val="24"/>
              </w:rPr>
              <w:t>-up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3E8D5FC3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CCGTCACCACTGTCGTTTTTC</w:t>
            </w:r>
            <w:r>
              <w:rPr>
                <w:rFonts w:cs="Times New Roman"/>
                <w:szCs w:val="24"/>
              </w:rPr>
              <w:tab/>
            </w:r>
          </w:p>
        </w:tc>
      </w:tr>
      <w:tr w14:paraId="2091A0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15B100B6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TMEM87A</w:t>
            </w:r>
            <w:r>
              <w:rPr>
                <w:rFonts w:cs="Times New Roman"/>
                <w:szCs w:val="24"/>
              </w:rPr>
              <w:t>-dn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4275141E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GGTATCGGAATGTGCCATTTGG</w:t>
            </w:r>
          </w:p>
        </w:tc>
      </w:tr>
      <w:tr w14:paraId="5BAA0C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0DB82A84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STAT3-up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6D43C359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TCTGGCATACTCATTC TGGTTTG</w:t>
            </w:r>
          </w:p>
        </w:tc>
      </w:tr>
      <w:tr w14:paraId="448217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25AB2BAE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STAT3-dn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32B77EA4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TCCATCGCTGACAAAAGCCC</w:t>
            </w:r>
          </w:p>
        </w:tc>
      </w:tr>
      <w:tr w14:paraId="7F3049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4DCE11A7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EBP-up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75880B8E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14:ligatures w14:val="standardContextual"/>
              </w:rPr>
              <w:t>CTCAGCACCTAAGACTGGACA</w:t>
            </w:r>
          </w:p>
        </w:tc>
      </w:tr>
      <w:tr w14:paraId="46C3A4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7A7760C9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EBP-down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50C8E9F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14:ligatures w14:val="standardContextual"/>
              </w:rPr>
              <w:t>ACGACTAAGACCCCTGTGACA</w:t>
            </w:r>
          </w:p>
        </w:tc>
      </w:tr>
      <w:tr w14:paraId="7799FE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5A7E6C8C">
            <w:pPr>
              <w:spacing w:line="360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siRNA sequences</w:t>
            </w:r>
          </w:p>
        </w:tc>
        <w:tc>
          <w:tcPr>
            <w:tcW w:w="484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3F173005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14:paraId="74637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69CAB6B6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MYC</w:t>
            </w:r>
            <w:r>
              <w:rPr>
                <w:rFonts w:cs="Times New Roman"/>
                <w:szCs w:val="24"/>
              </w:rPr>
              <w:t>#1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20D05BEE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AGACCUUCAUCAAAAACAU</w:t>
            </w:r>
          </w:p>
        </w:tc>
      </w:tr>
      <w:tr w14:paraId="3FB7DA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27E38781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MYC</w:t>
            </w:r>
            <w:r>
              <w:rPr>
                <w:rFonts w:cs="Times New Roman"/>
                <w:szCs w:val="24"/>
              </w:rPr>
              <w:t>#2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5ED22A91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GAGCUAAAACGGAGCUUUU</w:t>
            </w:r>
          </w:p>
        </w:tc>
      </w:tr>
      <w:tr w14:paraId="54C2E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0B3A314B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NRF2</w:t>
            </w:r>
            <w:r>
              <w:rPr>
                <w:rFonts w:cs="Times New Roman"/>
                <w:szCs w:val="24"/>
              </w:rPr>
              <w:t>#1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5281B328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CCGGCATTTCACTAAACACAA</w:t>
            </w:r>
          </w:p>
        </w:tc>
      </w:tr>
      <w:tr w14:paraId="749F02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5402C58B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NRF2</w:t>
            </w:r>
            <w:r>
              <w:rPr>
                <w:rFonts w:cs="Times New Roman"/>
                <w:szCs w:val="24"/>
              </w:rPr>
              <w:t>#2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09614BA1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GAGACUACCAUGGUUCCAA</w:t>
            </w:r>
          </w:p>
        </w:tc>
      </w:tr>
      <w:tr w14:paraId="4E0176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13379B78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STAT3</w:t>
            </w:r>
            <w:r>
              <w:rPr>
                <w:rFonts w:cs="Times New Roman"/>
                <w:szCs w:val="24"/>
              </w:rPr>
              <w:t>#1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5754099B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GCACAATCTACGAAGAATCAA</w:t>
            </w:r>
          </w:p>
        </w:tc>
      </w:tr>
      <w:tr w14:paraId="2F2188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2924062C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STAT3</w:t>
            </w:r>
            <w:r>
              <w:rPr>
                <w:rFonts w:cs="Times New Roman"/>
                <w:szCs w:val="24"/>
              </w:rPr>
              <w:t>#2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660D812D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GCAACAGATTGCCTGCATTGG</w:t>
            </w:r>
            <w:r>
              <w:rPr>
                <w:rFonts w:hint="eastAsia" w:cs="Times New Roman"/>
                <w:szCs w:val="24"/>
              </w:rPr>
              <w:tab/>
            </w:r>
          </w:p>
        </w:tc>
      </w:tr>
      <w:tr w14:paraId="01A999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3473A343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JUN</w:t>
            </w:r>
            <w:r>
              <w:rPr>
                <w:rFonts w:cs="Times New Roman"/>
                <w:szCs w:val="24"/>
              </w:rPr>
              <w:t>#1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534B0FCA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GGCACAGCTTAAACAGAAA</w:t>
            </w:r>
          </w:p>
        </w:tc>
      </w:tr>
      <w:tr w14:paraId="35D52C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6260FA9C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JUN</w:t>
            </w:r>
            <w:r>
              <w:rPr>
                <w:rFonts w:cs="Times New Roman"/>
                <w:szCs w:val="24"/>
              </w:rPr>
              <w:t>#2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3D7B14AE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GGGTGCCAACTCATGCTAA</w:t>
            </w:r>
          </w:p>
        </w:tc>
      </w:tr>
      <w:tr w14:paraId="38C9DC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4E1DF906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ELK1</w:t>
            </w:r>
            <w:r>
              <w:rPr>
                <w:rFonts w:cs="Times New Roman"/>
                <w:szCs w:val="24"/>
              </w:rPr>
              <w:t>#1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6EE74187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GGCAATGGCCACATCATCT</w:t>
            </w:r>
          </w:p>
        </w:tc>
      </w:tr>
      <w:tr w14:paraId="0DBE83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332BF29E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ELK1</w:t>
            </w:r>
            <w:r>
              <w:rPr>
                <w:rFonts w:cs="Times New Roman"/>
                <w:szCs w:val="24"/>
              </w:rPr>
              <w:t>#2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38075E6E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GGCTACGCAAGAACAAGAC</w:t>
            </w:r>
          </w:p>
        </w:tc>
      </w:tr>
      <w:tr w14:paraId="5B6422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60BFAC36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GPX4</w:t>
            </w:r>
            <w:r>
              <w:rPr>
                <w:rFonts w:cs="Times New Roman"/>
                <w:szCs w:val="24"/>
              </w:rPr>
              <w:t>#1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343E76E6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GTGAGGCAAGACCGAAGTAAA</w:t>
            </w:r>
          </w:p>
        </w:tc>
      </w:tr>
      <w:tr w14:paraId="099FBE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2B9AFCF6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GPX4</w:t>
            </w:r>
            <w:r>
              <w:rPr>
                <w:rFonts w:cs="Times New Roman"/>
                <w:szCs w:val="24"/>
              </w:rPr>
              <w:t>#2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73E7406E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GTGGATGAAGATCCAACCCAA</w:t>
            </w:r>
            <w:r>
              <w:rPr>
                <w:rFonts w:hint="eastAsia" w:cs="Times New Roman"/>
                <w:szCs w:val="24"/>
              </w:rPr>
              <w:tab/>
            </w:r>
          </w:p>
        </w:tc>
      </w:tr>
      <w:tr w14:paraId="3E53C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5064249B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FSP1</w:t>
            </w:r>
            <w:r>
              <w:rPr>
                <w:rFonts w:cs="Times New Roman"/>
                <w:szCs w:val="24"/>
              </w:rPr>
              <w:t>#1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2CDD3C01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AGATCAACAGCTCCGCCTA</w:t>
            </w:r>
          </w:p>
        </w:tc>
      </w:tr>
      <w:tr w14:paraId="404850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2F5ABDBD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FSP1</w:t>
            </w:r>
            <w:r>
              <w:rPr>
                <w:rFonts w:cs="Times New Roman"/>
                <w:szCs w:val="24"/>
              </w:rPr>
              <w:t>#2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472DBA13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CAGAATATCCTGAGAAAGA</w:t>
            </w:r>
          </w:p>
        </w:tc>
      </w:tr>
      <w:tr w14:paraId="23B233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31454A64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GCH1</w:t>
            </w:r>
            <w:r>
              <w:rPr>
                <w:rFonts w:cs="Times New Roman"/>
                <w:szCs w:val="24"/>
              </w:rPr>
              <w:t>#1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4A43BCE3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GCGAGGATTGTAGAAATCTAT</w:t>
            </w:r>
          </w:p>
        </w:tc>
      </w:tr>
      <w:tr w14:paraId="452BF7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0660F4C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si-</w:t>
            </w:r>
            <w:r>
              <w:rPr>
                <w:rFonts w:hint="eastAsia" w:cs="Times New Roman"/>
                <w:szCs w:val="24"/>
              </w:rPr>
              <w:t>GCH1</w:t>
            </w:r>
            <w:r>
              <w:rPr>
                <w:rFonts w:cs="Times New Roman"/>
                <w:szCs w:val="24"/>
              </w:rPr>
              <w:t>#2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509A2937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CCATATTGGTTATCTTCCTAA</w:t>
            </w:r>
          </w:p>
        </w:tc>
      </w:tr>
      <w:tr w14:paraId="48AF1C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42B17FEB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si-DHODH#1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2E853E2D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CAAGCTGTCATTAACAGGTAT</w:t>
            </w:r>
          </w:p>
        </w:tc>
      </w:tr>
      <w:tr w14:paraId="56658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00D56CBC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si-DHODH#2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16B91BA0">
            <w:pPr>
              <w:spacing w:line="384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TCCGGGATTTATCAACTCAAA</w:t>
            </w:r>
          </w:p>
        </w:tc>
      </w:tr>
      <w:tr w14:paraId="2558E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10D9C10F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si-TMEM87A#1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0CD0124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CGCUGAUUGUUACAAUGAAAU</w:t>
            </w:r>
          </w:p>
        </w:tc>
      </w:tr>
      <w:tr w14:paraId="4633B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5E4CD991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si-TMME87A#2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45436984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CCAUGACUGUUGAAGUGAAGG</w:t>
            </w:r>
          </w:p>
        </w:tc>
      </w:tr>
      <w:tr w14:paraId="1E518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4A24D984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si-UBE2J1#1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02B96B2F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GCUCUUAUAUUCCGACGAAUA</w:t>
            </w:r>
          </w:p>
        </w:tc>
      </w:tr>
      <w:tr w14:paraId="3F7A09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39F99436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si-UBE2J1#2</w:t>
            </w:r>
          </w:p>
        </w:tc>
        <w:tc>
          <w:tcPr>
            <w:tcW w:w="484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36B7AD24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GCUUUAAGGCAGAAGUCAAUU</w:t>
            </w:r>
          </w:p>
        </w:tc>
      </w:tr>
      <w:tr w14:paraId="37B424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single" w:color="auto" w:sz="4" w:space="0"/>
              <w:left w:val="nil"/>
              <w:right w:val="nil"/>
            </w:tcBorders>
          </w:tcPr>
          <w:p w14:paraId="47CC7CE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si-RNF4#1</w:t>
            </w:r>
          </w:p>
        </w:tc>
        <w:tc>
          <w:tcPr>
            <w:tcW w:w="4843" w:type="dxa"/>
            <w:tcBorders>
              <w:top w:val="single" w:color="auto" w:sz="4" w:space="0"/>
              <w:left w:val="nil"/>
              <w:right w:val="nil"/>
            </w:tcBorders>
          </w:tcPr>
          <w:p w14:paraId="0ADF6862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ACCAACAUCUGAUAUGUAAACUCT</w:t>
            </w:r>
          </w:p>
        </w:tc>
      </w:tr>
      <w:tr w14:paraId="73B53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14DFDBB6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si-RNF4#2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6AFC7F86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CCCUGAAGAAUGCUAAUACUUGCCC</w:t>
            </w:r>
          </w:p>
        </w:tc>
      </w:tr>
      <w:tr w14:paraId="7EB878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0913F787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si-RNF152#1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5E0B9DFA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 CCAAGTTGCTGGACTGCAA</w:t>
            </w:r>
          </w:p>
        </w:tc>
      </w:tr>
      <w:tr w14:paraId="076F88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06032424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si-RNF152#2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418E340C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GCATCGTGCTTCACAACAT</w:t>
            </w:r>
          </w:p>
        </w:tc>
      </w:tr>
      <w:tr w14:paraId="18E7F1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5CCDBB6E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si-TRIM67#1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5B9C5EA6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GTACCATCGACGGTCTTCA</w:t>
            </w:r>
          </w:p>
        </w:tc>
      </w:tr>
      <w:tr w14:paraId="717933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15299F1D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si-TRIM67#2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78C9D18E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CCTCGTTGCTCAGTGTGAT</w:t>
            </w:r>
          </w:p>
        </w:tc>
      </w:tr>
      <w:tr w14:paraId="7A9FFF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51B45D83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si-FBXL6#1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0F7445A2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CCUGCAACUUUGUGAGCAACG</w:t>
            </w:r>
          </w:p>
        </w:tc>
      </w:tr>
      <w:tr w14:paraId="0498C4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671C1B7D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si-FBXL6#2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3C578511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GGGUCAAGGCGGAGAAGAAGC</w:t>
            </w:r>
          </w:p>
        </w:tc>
      </w:tr>
      <w:tr w14:paraId="0C336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73AEAF3B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si-OPTN#1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0F8569AA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CAUGAAGCUAAAUAAUCAATT</w:t>
            </w:r>
          </w:p>
        </w:tc>
      </w:tr>
      <w:tr w14:paraId="1875A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2A5EFD05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si-OPTN#2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191D69EF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GGAAUUAGCUGUGAGCCAATT</w:t>
            </w:r>
          </w:p>
        </w:tc>
      </w:tr>
      <w:tr w14:paraId="5EA7F2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right w:val="nil"/>
            </w:tcBorders>
          </w:tcPr>
          <w:p w14:paraId="7409AADC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si-ZNF598#1</w:t>
            </w:r>
          </w:p>
        </w:tc>
        <w:tc>
          <w:tcPr>
            <w:tcW w:w="4843" w:type="dxa"/>
            <w:tcBorders>
              <w:top w:val="nil"/>
              <w:left w:val="nil"/>
              <w:right w:val="nil"/>
            </w:tcBorders>
          </w:tcPr>
          <w:p w14:paraId="31ECA5F8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UGACGAGCGCUACCUGGACAAUGA</w:t>
            </w:r>
          </w:p>
        </w:tc>
      </w:tr>
      <w:tr w14:paraId="051175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C04CB26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si-ZNF598#2</w:t>
            </w:r>
          </w:p>
        </w:tc>
        <w:tc>
          <w:tcPr>
            <w:tcW w:w="484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0EF26B77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AUGGUCCUGUAAGCCAAGA</w:t>
            </w:r>
          </w:p>
        </w:tc>
      </w:tr>
      <w:tr w14:paraId="49C86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9C40569">
            <w:pPr>
              <w:spacing w:line="360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shRNA target sequences</w:t>
            </w:r>
          </w:p>
        </w:tc>
        <w:tc>
          <w:tcPr>
            <w:tcW w:w="484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40103B87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14:paraId="003FD4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</w:tcPr>
          <w:p w14:paraId="29398C26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TMEM87A</w:t>
            </w:r>
            <w:r>
              <w:rPr>
                <w:rFonts w:cs="Times New Roman"/>
                <w:szCs w:val="24"/>
              </w:rPr>
              <w:t>-sh1</w:t>
            </w:r>
          </w:p>
        </w:tc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p w14:paraId="1FC268EB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GCAGTTAAAGATGGCTACCAT</w:t>
            </w:r>
          </w:p>
        </w:tc>
      </w:tr>
      <w:tr w14:paraId="758CAB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BC4C691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TMEM87A</w:t>
            </w:r>
            <w:r>
              <w:rPr>
                <w:rFonts w:cs="Times New Roman"/>
                <w:szCs w:val="24"/>
              </w:rPr>
              <w:t>-sh2</w:t>
            </w:r>
          </w:p>
        </w:tc>
        <w:tc>
          <w:tcPr>
            <w:tcW w:w="484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37027D46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CCAGACTGATCTTGCTTCCTT</w:t>
            </w:r>
          </w:p>
        </w:tc>
      </w:tr>
    </w:tbl>
    <w:p w14:paraId="308B6D57">
      <w:pPr>
        <w:rPr>
          <w:rFonts w:cs="Times New Roman"/>
          <w:szCs w:val="24"/>
        </w:rPr>
      </w:pPr>
    </w:p>
    <w:p w14:paraId="545CDD05"/>
    <w:p w14:paraId="1707BA0F">
      <w:pPr>
        <w:widowControl/>
        <w:kinsoku/>
        <w:overflowPunct/>
        <w:autoSpaceDE/>
        <w:autoSpaceDN/>
        <w:adjustRightInd/>
        <w:snapToGrid/>
        <w:spacing w:before="0" w:beforeAutospacing="0" w:after="0" w:afterAutospacing="0" w:line="240" w:lineRule="auto"/>
      </w:pPr>
      <w:r>
        <w:br w:type="page"/>
      </w:r>
    </w:p>
    <w:p w14:paraId="00865BFF">
      <w:pPr>
        <w:numPr>
          <w:ilvl w:val="0"/>
          <w:numId w:val="1"/>
        </w:numPr>
        <w:spacing w:before="0" w:beforeAutospacing="0" w:after="0" w:afterAutospacing="0"/>
        <w:ind w:left="0" w:leftChars="0" w:firstLine="0" w:firstLineChars="0"/>
        <w:rPr>
          <w:rFonts w:cs="Times New Roman"/>
          <w:b/>
          <w:szCs w:val="24"/>
          <w:lang w:val="en-GB"/>
        </w:rPr>
      </w:pPr>
      <w:r>
        <w:rPr>
          <w:rFonts w:cs="Times New Roman"/>
          <w:b/>
          <w:bCs/>
          <w:szCs w:val="24"/>
          <w:lang w:val="en-GB"/>
        </w:rPr>
        <w:t>Source Data</w:t>
      </w:r>
      <w:r>
        <w:rPr>
          <w:rFonts w:hint="eastAsia" w:cs="Times New Roman"/>
          <w:b/>
          <w:bCs/>
          <w:szCs w:val="24"/>
          <w:lang w:val="en-GB"/>
        </w:rPr>
        <w:t xml:space="preserve"> </w:t>
      </w:r>
      <w:r>
        <w:rPr>
          <w:rFonts w:cs="Times New Roman"/>
          <w:b/>
          <w:szCs w:val="24"/>
          <w:lang w:val="en-GB"/>
        </w:rPr>
        <w:t>Fig</w:t>
      </w:r>
      <w:r>
        <w:rPr>
          <w:rFonts w:hint="eastAsia" w:cs="Times New Roman"/>
          <w:b/>
          <w:szCs w:val="24"/>
          <w:lang w:val="en-GB"/>
        </w:rPr>
        <w:t>.1-</w:t>
      </w:r>
      <w:r>
        <w:rPr>
          <w:rFonts w:cs="Times New Roman"/>
          <w:b/>
          <w:szCs w:val="24"/>
          <w:lang w:val="en-GB"/>
        </w:rPr>
        <w:t>6</w:t>
      </w:r>
      <w:r>
        <w:rPr>
          <w:rFonts w:hint="eastAsia" w:cs="Times New Roman"/>
          <w:b/>
          <w:szCs w:val="24"/>
          <w:lang w:val="en-GB"/>
        </w:rPr>
        <w:t xml:space="preserve"> and </w:t>
      </w:r>
      <w:r>
        <w:rPr>
          <w:b/>
          <w:szCs w:val="24"/>
          <w:lang w:val="en-GB"/>
        </w:rPr>
        <w:t>Supplementary</w:t>
      </w:r>
      <w:r>
        <w:rPr>
          <w:rFonts w:cs="Times New Roman"/>
          <w:b/>
          <w:szCs w:val="24"/>
          <w:lang w:val="en-GB"/>
        </w:rPr>
        <w:t xml:space="preserve"> Figure 1-6</w:t>
      </w:r>
    </w:p>
    <w:p w14:paraId="33D7C165">
      <w:r>
        <w:drawing>
          <wp:inline distT="0" distB="0" distL="0" distR="0">
            <wp:extent cx="2667000" cy="31242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DECC">
      <w:r>
        <w:drawing>
          <wp:inline distT="0" distB="0" distL="0" distR="0">
            <wp:extent cx="5274310" cy="36461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C0B4">
      <w:r>
        <w:rPr>
          <w:rFonts w:hint="eastAsia"/>
        </w:rPr>
        <w:drawing>
          <wp:inline distT="0" distB="0" distL="0" distR="0">
            <wp:extent cx="4749800" cy="23241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308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4EF5">
      <w:r>
        <w:rPr>
          <w:rFonts w:hint="eastAsia"/>
        </w:rPr>
        <w:drawing>
          <wp:inline distT="0" distB="0" distL="0" distR="0">
            <wp:extent cx="5274310" cy="58394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E529">
      <w:r>
        <w:rPr>
          <w:rFonts w:hint="eastAsia"/>
        </w:rPr>
        <w:drawing>
          <wp:inline distT="0" distB="0" distL="0" distR="0">
            <wp:extent cx="5274310" cy="44208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6C73D">
      <w:r>
        <w:rPr>
          <w:rFonts w:hint="eastAsia"/>
        </w:rPr>
        <w:drawing>
          <wp:inline distT="0" distB="0" distL="0" distR="0">
            <wp:extent cx="5274310" cy="805751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7970">
      <w:r>
        <w:drawing>
          <wp:inline distT="0" distB="0" distL="0" distR="0">
            <wp:extent cx="2566035" cy="1676400"/>
            <wp:effectExtent l="0" t="0" r="571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41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4C6BC">
      <w:r>
        <w:rPr>
          <w:rFonts w:hint="eastAsia"/>
        </w:rPr>
        <w:drawing>
          <wp:inline distT="0" distB="0" distL="0" distR="0">
            <wp:extent cx="2400300" cy="50927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09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A6F7">
      <w:r>
        <w:drawing>
          <wp:inline distT="0" distB="0" distL="0" distR="0">
            <wp:extent cx="5274310" cy="570357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D60CF"/>
    <w:p w14:paraId="6BDD8967"/>
    <w:p w14:paraId="44F6A785"/>
    <w:p w14:paraId="39E517CA"/>
    <w:p w14:paraId="2E35F68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480" w:lineRule="auto"/>
      </w:pPr>
      <w:r>
        <w:separator/>
      </w:r>
    </w:p>
  </w:footnote>
  <w:footnote w:type="continuationSeparator" w:id="1">
    <w:p>
      <w:pPr>
        <w:spacing w:before="0" w:after="0" w:line="48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7E8992"/>
    <w:multiLevelType w:val="singleLevel"/>
    <w:tmpl w:val="9D7E899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0D0"/>
    <w:rsid w:val="00010065"/>
    <w:rsid w:val="00013ED7"/>
    <w:rsid w:val="00133843"/>
    <w:rsid w:val="001368BE"/>
    <w:rsid w:val="001D5635"/>
    <w:rsid w:val="001E4C15"/>
    <w:rsid w:val="002570D0"/>
    <w:rsid w:val="002978A8"/>
    <w:rsid w:val="004604BB"/>
    <w:rsid w:val="004B4B76"/>
    <w:rsid w:val="0050170D"/>
    <w:rsid w:val="00561019"/>
    <w:rsid w:val="0058039C"/>
    <w:rsid w:val="00722249"/>
    <w:rsid w:val="00840EB8"/>
    <w:rsid w:val="00927F89"/>
    <w:rsid w:val="00987916"/>
    <w:rsid w:val="009911C3"/>
    <w:rsid w:val="009E59CC"/>
    <w:rsid w:val="00A55F5F"/>
    <w:rsid w:val="00A87DC9"/>
    <w:rsid w:val="00AC1D98"/>
    <w:rsid w:val="00E11DAC"/>
    <w:rsid w:val="00F47A6A"/>
    <w:rsid w:val="00FE7A13"/>
    <w:rsid w:val="1B634EBD"/>
    <w:rsid w:val="28460FED"/>
    <w:rsid w:val="517B78E9"/>
    <w:rsid w:val="62674965"/>
    <w:rsid w:val="7CBE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kinsoku w:val="0"/>
      <w:overflowPunct w:val="0"/>
      <w:autoSpaceDE w:val="0"/>
      <w:autoSpaceDN w:val="0"/>
      <w:adjustRightInd w:val="0"/>
      <w:snapToGrid w:val="0"/>
      <w:spacing w:before="100" w:beforeAutospacing="1" w:after="100" w:afterAutospacing="1" w:line="480" w:lineRule="auto"/>
    </w:pPr>
    <w:rPr>
      <w:rFonts w:ascii="Times New Roman" w:hAnsi="Times New Roman" w:eastAsiaTheme="minorEastAsia" w:cstheme="minorBidi"/>
      <w:kern w:val="2"/>
      <w:sz w:val="24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kinsoku/>
      <w:overflowPunct/>
      <w:autoSpaceDE/>
      <w:autoSpaceDN/>
      <w:adjustRightInd/>
      <w:spacing w:before="0" w:beforeAutospacing="0" w:after="0" w:afterAutospacing="0" w:line="240" w:lineRule="auto"/>
    </w:pPr>
    <w:rPr>
      <w:rFonts w:asciiTheme="minorHAnsi" w:hAnsiTheme="minorHAns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kinsoku/>
      <w:overflowPunct/>
      <w:autoSpaceDE/>
      <w:autoSpaceDN/>
      <w:adjustRightInd/>
      <w:spacing w:before="0" w:beforeAutospacing="0" w:after="0" w:afterAutospacing="0" w:line="240" w:lineRule="auto"/>
      <w:jc w:val="center"/>
    </w:pPr>
    <w:rPr>
      <w:rFonts w:asciiTheme="minorHAnsi" w:hAnsiTheme="minorHAnsi"/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tiff"/><Relationship Id="rId20" Type="http://schemas.openxmlformats.org/officeDocument/2006/relationships/image" Target="media/image15.tiff"/><Relationship Id="rId2" Type="http://schemas.openxmlformats.org/officeDocument/2006/relationships/settings" Target="settings.xml"/><Relationship Id="rId19" Type="http://schemas.openxmlformats.org/officeDocument/2006/relationships/image" Target="media/image14.tiff"/><Relationship Id="rId18" Type="http://schemas.openxmlformats.org/officeDocument/2006/relationships/image" Target="media/image13.tiff"/><Relationship Id="rId17" Type="http://schemas.openxmlformats.org/officeDocument/2006/relationships/image" Target="media/image12.tiff"/><Relationship Id="rId16" Type="http://schemas.openxmlformats.org/officeDocument/2006/relationships/image" Target="media/image11.tiff"/><Relationship Id="rId15" Type="http://schemas.openxmlformats.org/officeDocument/2006/relationships/image" Target="media/image10.tiff"/><Relationship Id="rId14" Type="http://schemas.openxmlformats.org/officeDocument/2006/relationships/image" Target="media/image9.tiff"/><Relationship Id="rId13" Type="http://schemas.openxmlformats.org/officeDocument/2006/relationships/image" Target="media/image8.tiff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1467</Words>
  <Characters>8672</Characters>
  <Lines>705</Lines>
  <Paragraphs>524</Paragraphs>
  <TotalTime>20</TotalTime>
  <ScaleCrop>false</ScaleCrop>
  <LinksUpToDate>false</LinksUpToDate>
  <CharactersWithSpaces>9741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2026-03-26T00:17:00Z</dcterms:created>
  <dc:creator>Man Li</dc:creator>
  <cp:lastModifiedBy>Mitsuha</cp:lastModifiedBy>
  <dcterms:modified xsi:type="dcterms:W3CDTF">2026-06-30T03:38:43Z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eyJoZGlkIjoiMzEwNTM5NzYwMDRjMzkwZTVkZjY2ODkwMGIxNGU0OTUiLCJ1c2VySWQiOiI1OTM0NjczOTMifQ==</vt:lpwstr>
  </property>
  <property fmtid="{D5CDD505-2E9C-101B-9397-08002B2CF9AE}" pid="3" name="KSOProductBuildVer">
    <vt:lpwstr>2052-12.1.0.26375</vt:lpwstr>
  </property>
  <property fmtid="{D5CDD505-2E9C-101B-9397-08002B2CF9AE}" pid="4" name="ICV">
    <vt:lpwstr>9E3A541D9604449B9CABE8782D0D26C9_13</vt:lpwstr>
  </property>
</Properties>
</file>