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1D2B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00A151C4" wp14:editId="47CA8EE4">
            <wp:extent cx="6129655" cy="5019675"/>
            <wp:effectExtent l="0" t="0" r="0" b="0"/>
            <wp:docPr id="6754042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DC866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 xml:space="preserve">Figure S1. Establishment of the </w:t>
      </w:r>
      <w:r w:rsidRPr="00277971">
        <w:rPr>
          <w:rFonts w:ascii="Arial" w:hAnsi="Arial" w:cs="Arial"/>
          <w:b/>
          <w:bCs/>
          <w:i/>
          <w:iCs/>
          <w:sz w:val="21"/>
          <w:szCs w:val="21"/>
        </w:rPr>
        <w:t>K. pneumoniae</w:t>
      </w:r>
      <w:r w:rsidRPr="00277971">
        <w:rPr>
          <w:rFonts w:ascii="Arial" w:hAnsi="Arial" w:cs="Arial"/>
          <w:b/>
          <w:bCs/>
          <w:sz w:val="21"/>
          <w:szCs w:val="21"/>
        </w:rPr>
        <w:t xml:space="preserve"> pneumonia model and evaluation of intestinal barrier function.</w:t>
      </w:r>
    </w:p>
    <w:p w14:paraId="7D2DB95B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A.</w:t>
      </w:r>
      <w:r w:rsidRPr="00277971">
        <w:rPr>
          <w:rFonts w:ascii="Arial" w:hAnsi="Arial" w:cs="Arial"/>
          <w:sz w:val="21"/>
          <w:szCs w:val="21"/>
        </w:rPr>
        <w:t xml:space="preserve"> Schematic workflow of the experimental design for </w:t>
      </w:r>
      <w:r w:rsidRPr="00277971">
        <w:rPr>
          <w:rFonts w:ascii="Arial" w:hAnsi="Arial" w:cs="Arial"/>
          <w:i/>
          <w:iCs/>
          <w:sz w:val="21"/>
          <w:szCs w:val="21"/>
        </w:rPr>
        <w:t>K. pneumoniae</w:t>
      </w:r>
      <w:r w:rsidRPr="00277971">
        <w:rPr>
          <w:rFonts w:ascii="Arial" w:hAnsi="Arial" w:cs="Arial"/>
          <w:sz w:val="21"/>
          <w:szCs w:val="21"/>
        </w:rPr>
        <w:t xml:space="preserve"> lung infection and sample collection.</w:t>
      </w:r>
    </w:p>
    <w:p w14:paraId="5E2CE320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B, C.</w:t>
      </w:r>
      <w:r w:rsidRPr="00277971">
        <w:rPr>
          <w:rFonts w:ascii="Arial" w:hAnsi="Arial" w:cs="Arial"/>
          <w:sz w:val="21"/>
          <w:szCs w:val="21"/>
        </w:rPr>
        <w:t xml:space="preserve"> Daily body weight changes (B) and clinical disease scores (C) of mice following intratracheal instillation of PBS or </w:t>
      </w:r>
      <w:r w:rsidRPr="00277971">
        <w:rPr>
          <w:rFonts w:ascii="Arial" w:hAnsi="Arial" w:cs="Arial"/>
          <w:i/>
          <w:iCs/>
          <w:sz w:val="21"/>
          <w:szCs w:val="21"/>
        </w:rPr>
        <w:t>K. pneumoniae</w:t>
      </w:r>
      <w:r w:rsidRPr="00277971">
        <w:rPr>
          <w:rFonts w:ascii="Arial" w:hAnsi="Arial" w:cs="Arial"/>
          <w:sz w:val="21"/>
          <w:szCs w:val="21"/>
        </w:rPr>
        <w:t>.</w:t>
      </w:r>
    </w:p>
    <w:p w14:paraId="7B122142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D.</w:t>
      </w:r>
      <w:r w:rsidRPr="00277971">
        <w:rPr>
          <w:rFonts w:ascii="Arial" w:hAnsi="Arial" w:cs="Arial"/>
          <w:sz w:val="21"/>
          <w:szCs w:val="21"/>
        </w:rPr>
        <w:t xml:space="preserve"> Representative images of Giemsa-stained BALF cells (upper, scale bar = 20 μm) and H&amp;E-stained lung sections (lower, scale bar = 50 μm), with corresponding histological lung injury scores (right).</w:t>
      </w:r>
    </w:p>
    <w:p w14:paraId="0192CAA1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E.</w:t>
      </w:r>
      <w:r w:rsidRPr="00277971">
        <w:rPr>
          <w:rFonts w:ascii="Arial" w:hAnsi="Arial" w:cs="Arial"/>
          <w:sz w:val="21"/>
          <w:szCs w:val="21"/>
        </w:rPr>
        <w:t xml:space="preserve"> Serum levels of pro-inflammatory cytokines IL-1β, IL-6, and TNF-α measured by ELISA.</w:t>
      </w:r>
    </w:p>
    <w:p w14:paraId="77743A75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F.</w:t>
      </w:r>
      <w:r w:rsidRPr="00277971">
        <w:rPr>
          <w:rFonts w:ascii="Arial" w:hAnsi="Arial" w:cs="Arial"/>
          <w:sz w:val="21"/>
          <w:szCs w:val="21"/>
        </w:rPr>
        <w:t xml:space="preserve"> Intestinal permeability assessed by the concentration of FITC-dextran in serum 3 days post-infection.</w:t>
      </w:r>
    </w:p>
    <w:p w14:paraId="40F38EA5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G.</w:t>
      </w:r>
      <w:r w:rsidRPr="00277971">
        <w:rPr>
          <w:rFonts w:ascii="Arial" w:hAnsi="Arial" w:cs="Arial"/>
          <w:sz w:val="21"/>
          <w:szCs w:val="21"/>
        </w:rPr>
        <w:t xml:space="preserve"> Representative H&amp;E staining of colonic sections showing mucosal integrity (scale bar = 50 μm).</w:t>
      </w:r>
    </w:p>
    <w:p w14:paraId="5AB423C9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H.</w:t>
      </w:r>
      <w:r w:rsidRPr="00277971">
        <w:rPr>
          <w:rFonts w:ascii="Arial" w:hAnsi="Arial" w:cs="Arial"/>
          <w:sz w:val="21"/>
          <w:szCs w:val="21"/>
        </w:rPr>
        <w:t xml:space="preserve"> Western blot analysis of tight junction proteins Claudin-1 and Occludin in colonic tissues, with β-actin as a loading control. Data are presented as mean ± SEM. *p &lt; 0.05, **p &lt; 0.01 by Student’s t-test.</w:t>
      </w:r>
    </w:p>
    <w:p w14:paraId="4BCDB9AC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</w:p>
    <w:p w14:paraId="2E58EBA7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</w:p>
    <w:p w14:paraId="24553C49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40D88DA2" wp14:editId="4EBE45C2">
            <wp:extent cx="6186805" cy="3867150"/>
            <wp:effectExtent l="0" t="0" r="4445" b="0"/>
            <wp:docPr id="159736237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69575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Figure S2. Species accumulation curve of fecal microbiota.</w:t>
      </w:r>
    </w:p>
    <w:p w14:paraId="32D09AA6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sz w:val="21"/>
          <w:szCs w:val="21"/>
        </w:rPr>
        <w:t>The species accumulation curve illustrates the rate of increase in observed Amplicon Sequence Variants (ASVs) as a function of the number of samples analyzed. The plateau indicates that the sampling depth was sufficient to capture the majority of the microbial diversity in the environment.</w:t>
      </w:r>
    </w:p>
    <w:p w14:paraId="07C99093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</w:p>
    <w:p w14:paraId="5ABC08B4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noProof/>
          <w:sz w:val="21"/>
          <w:szCs w:val="21"/>
        </w:rPr>
        <w:lastRenderedPageBreak/>
        <w:drawing>
          <wp:inline distT="0" distB="0" distL="0" distR="0" wp14:anchorId="74870F5F" wp14:editId="7C659EED">
            <wp:extent cx="6186805" cy="3805555"/>
            <wp:effectExtent l="0" t="0" r="4445" b="4445"/>
            <wp:docPr id="37190635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380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6CF28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b/>
          <w:bCs/>
          <w:sz w:val="21"/>
          <w:szCs w:val="21"/>
        </w:rPr>
      </w:pPr>
      <w:r w:rsidRPr="00277971">
        <w:rPr>
          <w:rFonts w:ascii="Arial" w:hAnsi="Arial" w:cs="Arial"/>
          <w:b/>
          <w:bCs/>
          <w:sz w:val="21"/>
          <w:szCs w:val="21"/>
        </w:rPr>
        <w:t>Figure S3. Species accumulation curve for the FVT intervention cohort.</w:t>
      </w:r>
    </w:p>
    <w:p w14:paraId="6C6635B4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277971">
        <w:rPr>
          <w:rFonts w:ascii="Arial" w:hAnsi="Arial" w:cs="Arial"/>
          <w:sz w:val="21"/>
          <w:szCs w:val="21"/>
        </w:rPr>
        <w:t>The plateauing of the observed Amplicon Sequence Variants (ASVs) across the sampled cohort demonstrates that the sequencing depth was sufficient to accurately capture the gut microbial diversity.</w:t>
      </w:r>
    </w:p>
    <w:p w14:paraId="2827241E" w14:textId="77777777" w:rsidR="00F04244" w:rsidRPr="00277971" w:rsidRDefault="00F04244" w:rsidP="00F04244">
      <w:pPr>
        <w:spacing w:line="360" w:lineRule="auto"/>
        <w:contextualSpacing/>
        <w:jc w:val="both"/>
        <w:rPr>
          <w:rFonts w:ascii="Arial" w:hAnsi="Arial" w:cs="Arial"/>
          <w:sz w:val="21"/>
          <w:szCs w:val="21"/>
        </w:rPr>
      </w:pPr>
    </w:p>
    <w:p w14:paraId="76C7BD4B" w14:textId="77777777" w:rsidR="008B07A6" w:rsidRDefault="008B07A6"/>
    <w:sectPr w:rsidR="008B07A6" w:rsidSect="00F04244"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44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F13F9"/>
    <w:rsid w:val="00C25B8C"/>
    <w:rsid w:val="00CE738E"/>
    <w:rsid w:val="00D31E7D"/>
    <w:rsid w:val="00F04244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5E1F7"/>
  <w15:chartTrackingRefBased/>
  <w15:docId w15:val="{CCB7B26B-D75C-4BD4-8805-FB2D0345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244"/>
    <w:pPr>
      <w:widowControl w:val="0"/>
    </w:pPr>
    <w:rPr>
      <w:rFonts w:eastAsiaTheme="minorEastAsia"/>
      <w:sz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244"/>
    <w:pPr>
      <w:keepNext/>
      <w:keepLines/>
      <w:widowControl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244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244"/>
    <w:pPr>
      <w:keepNext/>
      <w:keepLines/>
      <w:widowControl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244"/>
    <w:pPr>
      <w:keepNext/>
      <w:keepLines/>
      <w:widowControl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244"/>
    <w:pPr>
      <w:keepNext/>
      <w:keepLines/>
      <w:widowControl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244"/>
    <w:pPr>
      <w:keepNext/>
      <w:keepLines/>
      <w:widowControl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244"/>
    <w:pPr>
      <w:keepNext/>
      <w:keepLines/>
      <w:widowControl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244"/>
    <w:pPr>
      <w:keepNext/>
      <w:keepLines/>
      <w:widowControl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244"/>
    <w:pPr>
      <w:keepNext/>
      <w:keepLines/>
      <w:widowControl/>
      <w:spacing w:after="0"/>
      <w:outlineLvl w:val="8"/>
    </w:pPr>
    <w:rPr>
      <w:rFonts w:eastAsiaTheme="majorEastAsia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2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2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2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2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2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244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04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244"/>
    <w:pPr>
      <w:widowControl/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04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4244"/>
    <w:pPr>
      <w:widowControl/>
      <w:spacing w:before="160"/>
      <w:jc w:val="center"/>
    </w:pPr>
    <w:rPr>
      <w:rFonts w:eastAsiaTheme="minorHAns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04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244"/>
    <w:pPr>
      <w:widowControl/>
      <w:ind w:left="720"/>
      <w:contextualSpacing/>
    </w:pPr>
    <w:rPr>
      <w:rFonts w:eastAsiaTheme="minorHAnsi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F042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24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2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244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04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2026-09-30T15:10:00Z</dcterms:created>
  <dcterms:modified xsi:type="dcterms:W3CDTF">2026-09-30T15:10:00Z</dcterms:modified>
</cp:coreProperties>
</file>