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D7F05" w14:textId="77777777" w:rsidR="00CA3996" w:rsidRDefault="00000000">
      <w:pPr>
        <w:pStyle w:val="a3"/>
        <w:jc w:val="center"/>
        <w:rPr>
          <w:rFonts w:ascii="Times New Roman" w:hAnsi="Times New Roman" w:cs="Times New Roman"/>
          <w:b/>
          <w:bCs/>
          <w:kern w:val="0"/>
          <w:sz w:val="44"/>
          <w:szCs w:val="20"/>
          <w:lang w:eastAsia="en-US"/>
        </w:rPr>
      </w:pPr>
      <w:r>
        <w:rPr>
          <w:rFonts w:ascii="Times New Roman" w:hAnsi="Times New Roman" w:cs="Times New Roman"/>
          <w:b/>
          <w:bCs/>
          <w:kern w:val="0"/>
          <w:sz w:val="44"/>
          <w:szCs w:val="20"/>
          <w:lang w:eastAsia="en-US"/>
        </w:rPr>
        <w:t>Supplementary information</w:t>
      </w:r>
    </w:p>
    <w:p w14:paraId="059E98D8" w14:textId="77777777" w:rsidR="00CA3996" w:rsidRDefault="00CA3996">
      <w:pPr>
        <w:pStyle w:val="a3"/>
        <w:jc w:val="center"/>
        <w:rPr>
          <w:rFonts w:ascii="Times New Roman" w:hAnsi="Times New Roman" w:cs="Times New Roman"/>
          <w:b/>
          <w:bCs/>
          <w:sz w:val="32"/>
          <w:szCs w:val="40"/>
        </w:rPr>
      </w:pPr>
    </w:p>
    <w:p w14:paraId="305A4886" w14:textId="77777777" w:rsidR="00CA3996" w:rsidRDefault="00000000">
      <w:pPr>
        <w:pStyle w:val="BATitle"/>
        <w:jc w:val="both"/>
      </w:pPr>
      <w:r>
        <w:t>Symmetry-Broken Eccentric Campanile Probe for Polarization-Insensitive Broadband Nanofocusing with Strong Resonant Field Enhancement</w:t>
      </w:r>
    </w:p>
    <w:p w14:paraId="129CFD0C" w14:textId="77777777" w:rsidR="00CA3996" w:rsidRDefault="00CA3996">
      <w:pPr>
        <w:pStyle w:val="BBAuthorName"/>
        <w:jc w:val="both"/>
        <w:rPr>
          <w:lang w:eastAsia="zh-CN"/>
        </w:rPr>
      </w:pPr>
    </w:p>
    <w:p w14:paraId="2BA469F6" w14:textId="04CBE18C" w:rsidR="00CA3996" w:rsidRDefault="00000000">
      <w:pPr>
        <w:pStyle w:val="BBAuthorName"/>
        <w:jc w:val="left"/>
        <w:rPr>
          <w:rFonts w:ascii="Times New Roman" w:hAnsi="Times New Roman"/>
          <w:i w:val="0"/>
          <w:iCs/>
          <w:vertAlign w:val="superscript"/>
          <w:lang w:eastAsia="zh-CN"/>
        </w:rPr>
      </w:pPr>
      <w:r>
        <w:rPr>
          <w:rFonts w:ascii="Times New Roman" w:hAnsi="Times New Roman"/>
          <w:i w:val="0"/>
          <w:iCs/>
        </w:rPr>
        <w:t>H</w:t>
      </w:r>
      <w:r>
        <w:rPr>
          <w:rFonts w:ascii="Times New Roman" w:hAnsi="Times New Roman"/>
          <w:i w:val="0"/>
          <w:iCs/>
          <w:lang w:eastAsia="zh-CN"/>
        </w:rPr>
        <w:t>anjin</w:t>
      </w:r>
      <w:r>
        <w:rPr>
          <w:rFonts w:ascii="Times New Roman" w:hAnsi="Times New Roman"/>
          <w:i w:val="0"/>
          <w:iCs/>
        </w:rPr>
        <w:t xml:space="preserve"> D</w:t>
      </w:r>
      <w:r>
        <w:rPr>
          <w:rFonts w:ascii="Times New Roman" w:hAnsi="Times New Roman"/>
          <w:i w:val="0"/>
          <w:iCs/>
          <w:lang w:eastAsia="zh-CN"/>
        </w:rPr>
        <w:t>ong</w:t>
      </w:r>
      <w:r w:rsidR="00921314">
        <w:rPr>
          <w:rFonts w:ascii="Times New Roman" w:hAnsi="Times New Roman" w:hint="eastAsia"/>
          <w:i w:val="0"/>
          <w:iCs/>
          <w:lang w:eastAsia="zh-CN"/>
        </w:rPr>
        <w:t xml:space="preserve"> </w:t>
      </w:r>
      <w:r>
        <w:rPr>
          <w:rFonts w:ascii="Times New Roman" w:hAnsi="Times New Roman"/>
          <w:i w:val="0"/>
          <w:iCs/>
          <w:vertAlign w:val="superscript"/>
        </w:rPr>
        <w:t>1</w:t>
      </w:r>
      <w:r>
        <w:rPr>
          <w:rFonts w:ascii="Times New Roman" w:hAnsi="Times New Roman"/>
          <w:i w:val="0"/>
          <w:iCs/>
        </w:rPr>
        <w:t>, W</w:t>
      </w:r>
      <w:r>
        <w:rPr>
          <w:rFonts w:ascii="Times New Roman" w:hAnsi="Times New Roman"/>
          <w:i w:val="0"/>
          <w:iCs/>
          <w:lang w:eastAsia="zh-CN"/>
        </w:rPr>
        <w:t>enbo</w:t>
      </w:r>
      <w:r>
        <w:rPr>
          <w:rFonts w:ascii="Times New Roman" w:hAnsi="Times New Roman"/>
          <w:i w:val="0"/>
          <w:iCs/>
        </w:rPr>
        <w:t xml:space="preserve"> H</w:t>
      </w:r>
      <w:r>
        <w:rPr>
          <w:rFonts w:ascii="Times New Roman" w:hAnsi="Times New Roman"/>
          <w:i w:val="0"/>
          <w:iCs/>
          <w:lang w:eastAsia="zh-CN"/>
        </w:rPr>
        <w:t>u</w:t>
      </w:r>
      <w:r w:rsidR="00921314">
        <w:rPr>
          <w:rFonts w:ascii="Times New Roman" w:hAnsi="Times New Roman" w:hint="eastAsia"/>
          <w:i w:val="0"/>
          <w:iCs/>
          <w:lang w:eastAsia="zh-CN"/>
        </w:rPr>
        <w:t xml:space="preserve"> </w:t>
      </w:r>
      <w:r>
        <w:rPr>
          <w:rFonts w:ascii="Times New Roman" w:hAnsi="Times New Roman"/>
          <w:i w:val="0"/>
          <w:iCs/>
          <w:vertAlign w:val="superscript"/>
        </w:rPr>
        <w:t>1</w:t>
      </w:r>
      <w:r>
        <w:rPr>
          <w:rFonts w:ascii="Times New Roman" w:hAnsi="Times New Roman"/>
          <w:i w:val="0"/>
          <w:iCs/>
        </w:rPr>
        <w:t>, W</w:t>
      </w:r>
      <w:r>
        <w:rPr>
          <w:rFonts w:ascii="Times New Roman" w:hAnsi="Times New Roman"/>
          <w:i w:val="0"/>
          <w:iCs/>
          <w:lang w:eastAsia="zh-CN"/>
        </w:rPr>
        <w:t>eihao</w:t>
      </w:r>
      <w:r>
        <w:rPr>
          <w:rFonts w:ascii="Times New Roman" w:hAnsi="Times New Roman"/>
          <w:i w:val="0"/>
          <w:iCs/>
        </w:rPr>
        <w:t xml:space="preserve"> T</w:t>
      </w:r>
      <w:r>
        <w:rPr>
          <w:rFonts w:ascii="Times New Roman" w:hAnsi="Times New Roman"/>
          <w:i w:val="0"/>
          <w:iCs/>
          <w:lang w:eastAsia="zh-CN"/>
        </w:rPr>
        <w:t>ao</w:t>
      </w:r>
      <w:r w:rsidR="00921314">
        <w:rPr>
          <w:rFonts w:ascii="Times New Roman" w:hAnsi="Times New Roman" w:hint="eastAsia"/>
          <w:i w:val="0"/>
          <w:iCs/>
          <w:lang w:eastAsia="zh-CN"/>
        </w:rPr>
        <w:t xml:space="preserve"> </w:t>
      </w:r>
      <w:r>
        <w:rPr>
          <w:rFonts w:ascii="Times New Roman" w:hAnsi="Times New Roman"/>
          <w:i w:val="0"/>
          <w:iCs/>
          <w:vertAlign w:val="superscript"/>
        </w:rPr>
        <w:t>1</w:t>
      </w:r>
      <w:r>
        <w:rPr>
          <w:rFonts w:ascii="Times New Roman" w:hAnsi="Times New Roman"/>
          <w:i w:val="0"/>
          <w:iCs/>
        </w:rPr>
        <w:t>, S</w:t>
      </w:r>
      <w:r>
        <w:rPr>
          <w:rFonts w:ascii="Times New Roman" w:hAnsi="Times New Roman"/>
          <w:i w:val="0"/>
          <w:iCs/>
          <w:lang w:eastAsia="zh-CN"/>
        </w:rPr>
        <w:t>huhao</w:t>
      </w:r>
      <w:r>
        <w:rPr>
          <w:rFonts w:ascii="Times New Roman" w:hAnsi="Times New Roman"/>
          <w:i w:val="0"/>
          <w:iCs/>
        </w:rPr>
        <w:t xml:space="preserve"> Z</w:t>
      </w:r>
      <w:r>
        <w:rPr>
          <w:rFonts w:ascii="Times New Roman" w:hAnsi="Times New Roman"/>
          <w:i w:val="0"/>
          <w:iCs/>
          <w:lang w:eastAsia="zh-CN"/>
        </w:rPr>
        <w:t>hao</w:t>
      </w:r>
      <w:r w:rsidR="00921314">
        <w:rPr>
          <w:rFonts w:ascii="Times New Roman" w:hAnsi="Times New Roman" w:hint="eastAsia"/>
          <w:i w:val="0"/>
          <w:iCs/>
          <w:lang w:eastAsia="zh-CN"/>
        </w:rPr>
        <w:t xml:space="preserve"> </w:t>
      </w:r>
      <w:r>
        <w:rPr>
          <w:rFonts w:ascii="Times New Roman" w:hAnsi="Times New Roman"/>
          <w:i w:val="0"/>
          <w:iCs/>
          <w:vertAlign w:val="superscript"/>
        </w:rPr>
        <w:t>1</w:t>
      </w:r>
      <w:r>
        <w:rPr>
          <w:rFonts w:ascii="Times New Roman" w:hAnsi="Times New Roman"/>
          <w:i w:val="0"/>
          <w:iCs/>
        </w:rPr>
        <w:t>, J</w:t>
      </w:r>
      <w:r>
        <w:rPr>
          <w:rFonts w:ascii="Times New Roman" w:hAnsi="Times New Roman"/>
          <w:i w:val="0"/>
          <w:iCs/>
          <w:lang w:eastAsia="zh-CN"/>
        </w:rPr>
        <w:t>iaxiang</w:t>
      </w:r>
      <w:r>
        <w:rPr>
          <w:rFonts w:ascii="Times New Roman" w:hAnsi="Times New Roman"/>
          <w:i w:val="0"/>
          <w:iCs/>
        </w:rPr>
        <w:t xml:space="preserve"> L</w:t>
      </w:r>
      <w:r>
        <w:rPr>
          <w:rFonts w:ascii="Times New Roman" w:hAnsi="Times New Roman"/>
          <w:i w:val="0"/>
          <w:iCs/>
          <w:lang w:eastAsia="zh-CN"/>
        </w:rPr>
        <w:t>iang</w:t>
      </w:r>
      <w:r w:rsidR="00921314">
        <w:rPr>
          <w:rFonts w:ascii="Times New Roman" w:hAnsi="Times New Roman" w:hint="eastAsia"/>
          <w:i w:val="0"/>
          <w:iCs/>
          <w:lang w:eastAsia="zh-CN"/>
        </w:rPr>
        <w:t xml:space="preserve"> </w:t>
      </w:r>
      <w:r>
        <w:rPr>
          <w:rFonts w:ascii="Times New Roman" w:hAnsi="Times New Roman"/>
          <w:i w:val="0"/>
          <w:iCs/>
          <w:vertAlign w:val="superscript"/>
        </w:rPr>
        <w:t>1</w:t>
      </w:r>
      <w:r>
        <w:rPr>
          <w:rFonts w:ascii="Times New Roman" w:hAnsi="Times New Roman"/>
          <w:i w:val="0"/>
          <w:iCs/>
        </w:rPr>
        <w:t>, X</w:t>
      </w:r>
      <w:r>
        <w:rPr>
          <w:rFonts w:ascii="Times New Roman" w:hAnsi="Times New Roman"/>
          <w:i w:val="0"/>
          <w:iCs/>
          <w:lang w:eastAsia="zh-CN"/>
        </w:rPr>
        <w:t>in</w:t>
      </w:r>
      <w:r>
        <w:rPr>
          <w:rFonts w:ascii="Times New Roman" w:hAnsi="Times New Roman"/>
          <w:i w:val="0"/>
          <w:iCs/>
        </w:rPr>
        <w:t xml:space="preserve"> W</w:t>
      </w:r>
      <w:r>
        <w:rPr>
          <w:rFonts w:ascii="Times New Roman" w:hAnsi="Times New Roman"/>
          <w:i w:val="0"/>
          <w:iCs/>
          <w:lang w:eastAsia="zh-CN"/>
        </w:rPr>
        <w:t>en</w:t>
      </w:r>
      <w:r w:rsidR="00921314">
        <w:rPr>
          <w:rFonts w:ascii="Times New Roman" w:hAnsi="Times New Roman" w:hint="eastAsia"/>
          <w:i w:val="0"/>
          <w:iCs/>
          <w:lang w:eastAsia="zh-CN"/>
        </w:rPr>
        <w:t xml:space="preserve"> </w:t>
      </w:r>
      <w:r>
        <w:rPr>
          <w:rFonts w:ascii="Times New Roman" w:hAnsi="Times New Roman"/>
          <w:i w:val="0"/>
          <w:iCs/>
          <w:vertAlign w:val="superscript"/>
        </w:rPr>
        <w:t>1</w:t>
      </w:r>
      <w:r>
        <w:rPr>
          <w:rFonts w:ascii="Times New Roman" w:hAnsi="Times New Roman"/>
          <w:i w:val="0"/>
          <w:iCs/>
        </w:rPr>
        <w:t>, P</w:t>
      </w:r>
      <w:r>
        <w:rPr>
          <w:rFonts w:ascii="Times New Roman" w:hAnsi="Times New Roman"/>
          <w:i w:val="0"/>
          <w:iCs/>
          <w:lang w:eastAsia="zh-CN"/>
        </w:rPr>
        <w:t>eirui</w:t>
      </w:r>
      <w:r>
        <w:rPr>
          <w:rFonts w:ascii="Times New Roman" w:hAnsi="Times New Roman"/>
          <w:i w:val="0"/>
          <w:iCs/>
        </w:rPr>
        <w:t xml:space="preserve"> J</w:t>
      </w:r>
      <w:r>
        <w:rPr>
          <w:rFonts w:ascii="Times New Roman" w:hAnsi="Times New Roman"/>
          <w:i w:val="0"/>
          <w:iCs/>
          <w:lang w:eastAsia="zh-CN"/>
        </w:rPr>
        <w:t>i</w:t>
      </w:r>
      <w:r w:rsidR="00921314">
        <w:rPr>
          <w:rFonts w:ascii="Times New Roman" w:hAnsi="Times New Roman" w:hint="eastAsia"/>
          <w:i w:val="0"/>
          <w:iCs/>
          <w:lang w:eastAsia="zh-CN"/>
        </w:rPr>
        <w:t xml:space="preserve"> </w:t>
      </w:r>
      <w:r>
        <w:rPr>
          <w:rFonts w:ascii="Times New Roman" w:hAnsi="Times New Roman"/>
          <w:i w:val="0"/>
          <w:iCs/>
          <w:vertAlign w:val="superscript"/>
        </w:rPr>
        <w:t>1</w:t>
      </w:r>
      <w:r>
        <w:rPr>
          <w:rFonts w:ascii="Times New Roman" w:hAnsi="Times New Roman"/>
          <w:i w:val="0"/>
          <w:iCs/>
        </w:rPr>
        <w:t xml:space="preserve">, </w:t>
      </w:r>
      <w:r>
        <w:rPr>
          <w:rFonts w:ascii="Times New Roman" w:hAnsi="Times New Roman"/>
          <w:i w:val="0"/>
          <w:iCs/>
          <w:lang w:eastAsia="zh-CN"/>
        </w:rPr>
        <w:t>and</w:t>
      </w:r>
      <w:r>
        <w:rPr>
          <w:rFonts w:ascii="Times New Roman" w:hAnsi="Times New Roman"/>
          <w:i w:val="0"/>
          <w:iCs/>
        </w:rPr>
        <w:t xml:space="preserve"> S</w:t>
      </w:r>
      <w:r>
        <w:rPr>
          <w:rFonts w:ascii="Times New Roman" w:hAnsi="Times New Roman"/>
          <w:i w:val="0"/>
          <w:iCs/>
          <w:lang w:eastAsia="zh-CN"/>
        </w:rPr>
        <w:t>huming</w:t>
      </w:r>
      <w:r>
        <w:rPr>
          <w:rFonts w:ascii="Times New Roman" w:hAnsi="Times New Roman"/>
          <w:i w:val="0"/>
          <w:iCs/>
        </w:rPr>
        <w:t xml:space="preserve"> Y</w:t>
      </w:r>
      <w:r>
        <w:rPr>
          <w:rFonts w:ascii="Times New Roman" w:hAnsi="Times New Roman"/>
          <w:i w:val="0"/>
          <w:iCs/>
          <w:lang w:eastAsia="zh-CN"/>
        </w:rPr>
        <w:t>ang</w:t>
      </w:r>
      <w:r w:rsidR="00921314">
        <w:rPr>
          <w:rFonts w:ascii="Times New Roman" w:hAnsi="Times New Roman" w:hint="eastAsia"/>
          <w:i w:val="0"/>
          <w:iCs/>
          <w:lang w:eastAsia="zh-CN"/>
        </w:rPr>
        <w:t xml:space="preserve"> </w:t>
      </w:r>
      <w:r>
        <w:rPr>
          <w:rFonts w:ascii="Times New Roman" w:hAnsi="Times New Roman"/>
          <w:i w:val="0"/>
          <w:iCs/>
          <w:vertAlign w:val="superscript"/>
          <w:lang w:eastAsia="zh-CN"/>
        </w:rPr>
        <w:t xml:space="preserve">1, </w:t>
      </w:r>
      <w:r>
        <w:rPr>
          <w:rFonts w:ascii="Times New Roman" w:hAnsi="Times New Roman"/>
          <w:i w:val="0"/>
          <w:iCs/>
          <w:vertAlign w:val="superscript"/>
        </w:rPr>
        <w:t>*</w:t>
      </w:r>
    </w:p>
    <w:p w14:paraId="5D81C979" w14:textId="77777777" w:rsidR="00CA3996" w:rsidRDefault="00000000">
      <w:pPr>
        <w:pStyle w:val="BCAuthorAddress"/>
        <w:jc w:val="left"/>
        <w:rPr>
          <w:rFonts w:ascii="Times New Roman" w:hAnsi="Times New Roman"/>
        </w:rPr>
      </w:pPr>
      <w:r>
        <w:rPr>
          <w:rFonts w:ascii="Times New Roman" w:hAnsi="Times New Roman"/>
          <w:vertAlign w:val="superscript"/>
        </w:rPr>
        <w:t>1</w:t>
      </w:r>
      <w:r>
        <w:rPr>
          <w:rFonts w:ascii="Times New Roman" w:hAnsi="Times New Roman"/>
        </w:rPr>
        <w:t xml:space="preserve"> State Key Laboratory for Manufacturing Systems Engineering, Xi’an Jiaotong University, Xi’an, Shaanxi, 710049, China.</w:t>
      </w:r>
    </w:p>
    <w:p w14:paraId="571B0F42" w14:textId="77777777" w:rsidR="00CA3996" w:rsidRDefault="00CA3996"/>
    <w:p w14:paraId="44252AD2" w14:textId="77777777" w:rsidR="00CA3996" w:rsidRDefault="00000000">
      <w:pPr>
        <w:pStyle w:val="BBAuthorName"/>
        <w:jc w:val="left"/>
        <w:rPr>
          <w:rFonts w:ascii="Times New Roman" w:hAnsi="Times New Roman"/>
          <w:i w:val="0"/>
          <w:iCs/>
        </w:rPr>
      </w:pPr>
      <w:r>
        <w:rPr>
          <w:rFonts w:ascii="Times New Roman" w:hAnsi="Times New Roman"/>
          <w:i w:val="0"/>
          <w:iCs/>
          <w:vertAlign w:val="superscript"/>
        </w:rPr>
        <w:t>*</w:t>
      </w:r>
      <w:r>
        <w:rPr>
          <w:rFonts w:ascii="Times New Roman" w:hAnsi="Times New Roman"/>
          <w:i w:val="0"/>
          <w:iCs/>
        </w:rPr>
        <w:t>Corresponding author: Shuming Yang (shuming.yang@mail.xjtu.edu.cn)</w:t>
      </w:r>
    </w:p>
    <w:p w14:paraId="60E89DF1" w14:textId="77777777" w:rsidR="00CA3996" w:rsidRDefault="00CA3996"/>
    <w:p w14:paraId="570016B8" w14:textId="77777777" w:rsidR="00CA3996" w:rsidRDefault="00CA3996">
      <w:pPr>
        <w:rPr>
          <w:rFonts w:ascii="Times New Roman" w:hAnsi="Times New Roman" w:cs="Times New Roman"/>
          <w:b/>
          <w:bCs/>
          <w:sz w:val="24"/>
          <w:szCs w:val="32"/>
        </w:rPr>
        <w:sectPr w:rsidR="00CA3996">
          <w:pgSz w:w="11906" w:h="16838"/>
          <w:pgMar w:top="1440" w:right="1083" w:bottom="1440" w:left="1083" w:header="851" w:footer="992" w:gutter="0"/>
          <w:cols w:space="425"/>
          <w:docGrid w:type="lines" w:linePitch="312"/>
        </w:sectPr>
      </w:pPr>
    </w:p>
    <w:p w14:paraId="39746776" w14:textId="77777777" w:rsidR="00CA3996" w:rsidRDefault="00000000">
      <w:pPr>
        <w:rPr>
          <w:rFonts w:ascii="Times New Roman" w:hAnsi="Times New Roman" w:cs="Times New Roman"/>
          <w:sz w:val="24"/>
          <w:szCs w:val="32"/>
        </w:rPr>
      </w:pPr>
      <w:r>
        <w:rPr>
          <w:rFonts w:ascii="Times New Roman" w:hAnsi="Times New Roman" w:cs="Times New Roman"/>
          <w:b/>
          <w:bCs/>
          <w:sz w:val="24"/>
          <w:szCs w:val="32"/>
        </w:rPr>
        <w:lastRenderedPageBreak/>
        <w:t>Abstract:</w:t>
      </w:r>
      <w:r>
        <w:rPr>
          <w:rFonts w:ascii="Times New Roman" w:hAnsi="Times New Roman" w:cs="Times New Roman"/>
          <w:sz w:val="24"/>
          <w:szCs w:val="32"/>
        </w:rPr>
        <w:t xml:space="preserve"> This supplementary document provides the symmetry analysis and design principle of the eccentric campanile probe, the focused-ion-beam fabrication process, FDTD simulation optimization of geometric parameters, polarization-resolved verification of 633 nm nanofocusing, simulation and measurements confirming broadband operation from 550 to 760 nm, and SEM characterization of the test sample.</w:t>
      </w:r>
    </w:p>
    <w:p w14:paraId="41B1F2CF" w14:textId="77777777" w:rsidR="00CA3996" w:rsidRDefault="00CA3996">
      <w:pPr>
        <w:rPr>
          <w:rFonts w:ascii="Times New Roman" w:hAnsi="Times New Roman" w:cs="Times New Roman"/>
          <w:b/>
          <w:bCs/>
          <w:sz w:val="24"/>
          <w:szCs w:val="32"/>
        </w:rPr>
      </w:pPr>
    </w:p>
    <w:p w14:paraId="62BCB9FA" w14:textId="77777777" w:rsidR="00CA3996" w:rsidRDefault="00000000">
      <w:pPr>
        <w:rPr>
          <w:rFonts w:ascii="Times New Roman" w:hAnsi="Times New Roman" w:cs="Times New Roman"/>
          <w:b/>
          <w:bCs/>
          <w:sz w:val="24"/>
          <w:szCs w:val="32"/>
        </w:rPr>
      </w:pPr>
      <w:r>
        <w:rPr>
          <w:rFonts w:ascii="Times New Roman" w:hAnsi="Times New Roman" w:cs="Times New Roman"/>
          <w:b/>
          <w:bCs/>
          <w:sz w:val="24"/>
          <w:szCs w:val="32"/>
        </w:rPr>
        <w:t>1. Probe Design Principle and Symmetry Analysis</w:t>
      </w:r>
    </w:p>
    <w:p w14:paraId="7D37904C" w14:textId="77777777" w:rsidR="00CA3996" w:rsidRDefault="00000000">
      <w:pPr>
        <w:ind w:firstLineChars="200" w:firstLine="420"/>
        <w:rPr>
          <w:rFonts w:ascii="Times New Roman" w:hAnsi="Times New Roman" w:cs="Times New Roman"/>
        </w:rPr>
      </w:pPr>
      <w:r>
        <w:rPr>
          <w:rFonts w:ascii="Times New Roman" w:hAnsi="Times New Roman" w:cs="Times New Roman"/>
        </w:rPr>
        <w:t>Conventional plasmonic fiber probes usually rely on radially polarized excitation for efficient nanofocusing of surface plasmon polaritons (SPPs). Although effective, this approach requires complex polarization control and is highly sensitive to alignment between the incident beam and the probe axis. Under linearly polarized illumination, many symmetric probe geometries also suffer from destructive interference between counter-propagating or out-of-phase SPP modes, which can substantially reduce field localization at the apex. To address these limitations, an eccentric campanile probe (ECP) was designed and fabricated to support stable nanofocusing and enhanced near-field confinement under linearly polarized excitation at arbitrary orientation</w:t>
      </w:r>
      <w:r>
        <w:rPr>
          <w:rFonts w:ascii="Times New Roman" w:hAnsi="Times New Roman" w:cs="Times New Roman"/>
        </w:rPr>
        <w:fldChar w:fldCharType="begin"/>
      </w:r>
      <w:r>
        <w:rPr>
          <w:rFonts w:ascii="Times New Roman" w:hAnsi="Times New Roman" w:cs="Times New Roman"/>
        </w:rPr>
        <w:instrText xml:space="preserve"> ADDIN ZOTERO_ITEM CSL_CITATION {"citationID":"j8yuOYVg","properties":{"unsorted":false,"formattedCitation":"\\super 1\\nosupersub{}","plainCitation":"1","noteIndex":0},"citationItems":[{"id":773,"uris":["http://zotero.org/users/12038018/items/83PTJ8WR"],"itemData":{"id":773,"type":"article-journal","container-title":"Nature Photonics","DOI":"10.1038/nphoton.2013.232","ISSN":"1749-4885, 1749-4893","issue":"1","journalAbbreviation":"Nat. Photonics","language":"en","license":"http://www.springer.com/tdm","page":"13-22","source":"DOI.org (Crossref)","title":"Dmitri K. Gramotnev, 2014_Nanofocusing of electromagnetic radiation","volume":"8","author":[{"family":"Gramotnev","given":"Dmitri K."},{"family":"Bozhevolnyi","given":"Sergey I."}],"issued":{"date-parts":[["2014",1]]}}}],"schema":"https://github.com/citation-style-language/schema/raw/master/csl-citation.json"}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1</w:t>
      </w:r>
      <w:r>
        <w:rPr>
          <w:rFonts w:ascii="Times New Roman" w:hAnsi="Times New Roman" w:cs="Times New Roman"/>
        </w:rPr>
        <w:fldChar w:fldCharType="end"/>
      </w:r>
      <w:r>
        <w:rPr>
          <w:rFonts w:ascii="Times New Roman" w:hAnsi="Times New Roman" w:cs="Times New Roman"/>
        </w:rPr>
        <w:t>.</w:t>
      </w:r>
    </w:p>
    <w:p w14:paraId="57A7A3B3" w14:textId="77777777" w:rsidR="00CA3996" w:rsidRDefault="00000000">
      <w:pPr>
        <w:ind w:firstLineChars="200" w:firstLine="420"/>
        <w:rPr>
          <w:rFonts w:ascii="Times New Roman" w:hAnsi="Times New Roman" w:cs="Times New Roman"/>
        </w:rPr>
      </w:pPr>
      <w:r>
        <w:rPr>
          <w:rFonts w:ascii="Times New Roman" w:hAnsi="Times New Roman" w:cs="Times New Roman"/>
        </w:rPr>
        <w:t>The ECP consists of a square pyramid integrated with a truncated-cone platform</w:t>
      </w:r>
      <w:r>
        <w:rPr>
          <w:rFonts w:ascii="Times New Roman" w:hAnsi="Times New Roman" w:cs="Times New Roman"/>
        </w:rPr>
        <w:fldChar w:fldCharType="begin"/>
      </w:r>
      <w:r>
        <w:rPr>
          <w:rFonts w:ascii="Times New Roman" w:hAnsi="Times New Roman" w:cs="Times New Roman"/>
        </w:rPr>
        <w:instrText xml:space="preserve"> ADDIN ZOTERO_ITEM CSL_CITATION {"citationID":"H38afEgb","properties":{"unsorted":false,"formattedCitation":"\\super 2\\nosupersub{}","plainCitation":"2","noteIndex":0},"citationItems":[{"id":871,"uris":["http://zotero.org/users/12038018/items/9D7WJDXT"],"itemData":{"id":871,"type":"article-journal","abstract":"Mind the Gap\n            \n              Near-field microscopy has benefited from subwavelength near-field plasmonic probes that make use of the field-concentrating properties of gaps. These probes achieve maximum enhancement only in the tip-substrate gap mode, which can yield large near-field signals, but only for a metallic substrate and for very small tip-substrate gap distances.\n              \n                Bao\n                et al.\n              \n              (p.\n              1317\n              ) designed a probe that unites broadband field enhancement and confinement with bidirectional coupling between far-field and near-field electromagnetic energy. Their tips primarily rely on the internal gap modes of the tip itself, thereby enabling it to image nonmetallic samples.\n            \n          , \n            A near-field optical probe designed to maximize its own signal enhancement can be used to image nonmetallic samples.\n          , \n            As materials functionality becomes more dependent on local physical and electronic properties, the importance of optically probing matter with true nanoscale spatial resolution has increased. In this work, we mapped the influence of local trap states within individual nanowires on carrier recombination with deeply subwavelength resolution. This is achieved using multidimensional nanospectroscopic imaging based on a nano-optical device. Placed at the end of a scan probe, the device delivers optimal near-field properties, including highly efficient far-field to near-field coupling, ultralarge field enhancement, nearly background-free imaging, independence from sample requirements, and broadband operation. We performed ~40-nanometer–resolution hyperspectral imaging of indium phosphide nanowires via excitation and collection through the probes, revealing optoelectronic structure along individual nanowires that is not accessible with other methods.","container-title":"Science","DOI":"10.1126/science.1227977","ISSN":"0036-8075, 1095-9203","issue":"6112","journalAbbreviation":"Science","language":"en","page":"1317-1321","source":"DOI.org (Crossref)","title":"Wei Bao, M. Melli, N. 2012_Mapping local charge recombination heterogeneity by multidimensional nanospectroscopic imaging | science","volume":"338","author":[{"family":"Bao","given":"Wei"},{"family":"Melli","given":"M."},{"family":"Caselli","given":"N."},{"family":"Riboli","given":"F."},{"family":"Wiersma","given":"D. S."},{"family":"Staffaroni","given":"M."},{"family":"Choo","given":"H."},{"family":"Ogletree","given":"D. F."},{"family":"Aloni","given":"S."},{"family":"Bokor","given":"J."},{"family":"Cabrini","given":"S."},{"family":"Intonti","given":"F."},{"family":"Salmeron","given":"M. B."},{"family":"Yablonovitch","given":"E."},{"family":"Schuck","given":"P. J."},{"family":"Weber-Bargioni","given":"A."}],"issued":{"date-parts":[["2012",12,7]]}}}],"schema":"https://github.com/citation-style-language/schema/raw/master/csl-citation.json"}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2</w:t>
      </w:r>
      <w:r>
        <w:rPr>
          <w:rFonts w:ascii="Times New Roman" w:hAnsi="Times New Roman" w:cs="Times New Roman"/>
        </w:rPr>
        <w:fldChar w:fldCharType="end"/>
      </w:r>
      <w:r>
        <w:rPr>
          <w:rFonts w:ascii="Times New Roman" w:hAnsi="Times New Roman" w:cs="Times New Roman"/>
        </w:rPr>
        <w:t>. The square pyramid is positioned on the smaller circular surface of the truncated cone, referred to here as the platform base. A key feature of the ECP is that the center of the square-pyramid base does not coincide with the center of the circular platform base. This eccentric configuration breaks the mirror symmetry of the structure and changes the propagation paths of the SPP modes along the metallic surfaces. In addition, the square-pyramidal section is defined by two independent structural parameters, namely the pyramid base length and the pyramid height, which facilitates systematic parametric analysis and reproducible fabrication.</w:t>
      </w:r>
    </w:p>
    <w:p w14:paraId="5540000A"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17397864" wp14:editId="12CC5D16">
            <wp:extent cx="3436620" cy="3409315"/>
            <wp:effectExtent l="0" t="0" r="5080" b="6985"/>
            <wp:docPr id="11" name="图片 11" descr="1补充材料图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补充材料图_14"/>
                    <pic:cNvPicPr>
                      <a:picLocks noChangeAspect="1"/>
                    </pic:cNvPicPr>
                  </pic:nvPicPr>
                  <pic:blipFill>
                    <a:blip r:embed="rId4"/>
                    <a:stretch>
                      <a:fillRect/>
                    </a:stretch>
                  </pic:blipFill>
                  <pic:spPr>
                    <a:xfrm>
                      <a:off x="0" y="0"/>
                      <a:ext cx="3436620" cy="3409315"/>
                    </a:xfrm>
                    <a:prstGeom prst="rect">
                      <a:avLst/>
                    </a:prstGeom>
                  </pic:spPr>
                </pic:pic>
              </a:graphicData>
            </a:graphic>
          </wp:inline>
        </w:drawing>
      </w:r>
    </w:p>
    <w:p w14:paraId="134E5CB2" w14:textId="77777777" w:rsidR="00CA3996" w:rsidRDefault="00000000">
      <w:pPr>
        <w:rPr>
          <w:rFonts w:ascii="Times New Roman" w:hAnsi="Times New Roman" w:cs="Times New Roman"/>
          <w:b/>
          <w:bCs/>
        </w:rPr>
      </w:pPr>
      <w:r>
        <w:rPr>
          <w:rFonts w:ascii="Times New Roman" w:hAnsi="Times New Roman" w:cs="Times New Roman"/>
          <w:b/>
          <w:bCs/>
        </w:rPr>
        <w:t>Fig</w:t>
      </w:r>
      <w:r>
        <w:rPr>
          <w:rFonts w:ascii="Times New Roman" w:hAnsi="Times New Roman" w:cs="Times New Roman" w:hint="eastAsia"/>
          <w:b/>
          <w:bCs/>
        </w:rPr>
        <w:t>.</w:t>
      </w:r>
      <w:r>
        <w:rPr>
          <w:rFonts w:ascii="Times New Roman" w:hAnsi="Times New Roman" w:cs="Times New Roman"/>
          <w:b/>
          <w:bCs/>
        </w:rPr>
        <w:t xml:space="preserve"> S1. Top-view schematic of the truncated-cone platform. Owing to the axial symmetry of the platform base and the phase-opposed symmetric distribution associated with linearly polarized excitation, the simulation region can be reduced to a quarter-circle sector.</w:t>
      </w:r>
    </w:p>
    <w:p w14:paraId="4046E311" w14:textId="77777777" w:rsidR="00CA3996" w:rsidRDefault="00000000">
      <w:pPr>
        <w:ind w:firstLineChars="200" w:firstLine="420"/>
        <w:rPr>
          <w:rFonts w:ascii="Times New Roman" w:hAnsi="Times New Roman" w:cs="Times New Roman"/>
        </w:rPr>
      </w:pPr>
      <w:r>
        <w:rPr>
          <w:rFonts w:ascii="Times New Roman" w:hAnsi="Times New Roman" w:cs="Times New Roman"/>
        </w:rPr>
        <w:t xml:space="preserve">The fundamental design concept is illustrated in Fig. 1c. The geometric task is to determine the position of the square-pyramid base center relative to the platform-base center so as to realize the symmetry-broken configuration. </w:t>
      </w:r>
      <w:r>
        <w:rPr>
          <w:rFonts w:ascii="Times New Roman" w:hAnsi="Times New Roman" w:cs="Times New Roman"/>
        </w:rPr>
        <w:lastRenderedPageBreak/>
        <w:t>A top-view schematic of the truncated-cone platform is shown in Fig. S1. Because the platform base is rotationally symmetric and the field distribution under linearly polarized excitation is phase-opposed, symmetry reduces the circular design region first to a semicircle and then to a quarter-circle sector. The resulting right-angled fan-shaped region OAB in Fig. S1 therefore serves as the parametric design region in Fig. 1d.</w:t>
      </w:r>
    </w:p>
    <w:p w14:paraId="7A81EB2C" w14:textId="77777777" w:rsidR="00CA3996" w:rsidRDefault="00000000">
      <w:pPr>
        <w:ind w:firstLineChars="200" w:firstLine="420"/>
        <w:rPr>
          <w:rFonts w:ascii="Times New Roman" w:hAnsi="Times New Roman" w:cs="Times New Roman"/>
        </w:rPr>
      </w:pPr>
      <w:r>
        <w:rPr>
          <w:rFonts w:ascii="Times New Roman" w:hAnsi="Times New Roman" w:cs="Times New Roman"/>
        </w:rPr>
        <w:t>Fig. 1e shows the top-view geometric model of the ECP. An xy coordinate system is established with the center of the platform base defined as the origin. The lateral displacement of the square-pyramid base center relative to the platform-base center is denoted by Δx in the x direction and Δy in the y direction.</w:t>
      </w:r>
    </w:p>
    <w:p w14:paraId="6527FBAE" w14:textId="77777777" w:rsidR="00CA3996" w:rsidRDefault="00000000">
      <w:pPr>
        <w:ind w:firstLineChars="200" w:firstLine="420"/>
        <w:rPr>
          <w:rFonts w:ascii="Times New Roman" w:hAnsi="Times New Roman" w:cs="Times New Roman"/>
        </w:rPr>
      </w:pPr>
      <w:r>
        <w:rPr>
          <w:rFonts w:ascii="Times New Roman" w:hAnsi="Times New Roman" w:cs="Times New Roman"/>
        </w:rPr>
        <w:t>The purpose of introducing the eccentric geometry is to eliminate the dependence of conventional plasmonic probes on radially polarized excitation. In conventional axisymmetric probes, radially polarized beams are typically required to maintain constructive interference of SPPs during propagation toward the apex. However, the generation and alignment of radially polarized beams increase the experimental complexity and reduce system robustness. Moreover, even small deviations between the optical axis of the incident beam and the probe axis can lead to substantial degradation of the focusing efficiency.</w:t>
      </w:r>
    </w:p>
    <w:p w14:paraId="49EF366D" w14:textId="77777777" w:rsidR="00CA3996" w:rsidRDefault="00000000">
      <w:pPr>
        <w:ind w:firstLineChars="200" w:firstLine="420"/>
        <w:rPr>
          <w:rFonts w:ascii="Times New Roman" w:hAnsi="Times New Roman" w:cs="Times New Roman"/>
        </w:rPr>
      </w:pPr>
      <w:r>
        <w:rPr>
          <w:rFonts w:ascii="Times New Roman" w:hAnsi="Times New Roman" w:cs="Times New Roman"/>
        </w:rPr>
        <w:t>Several asymmetric plasmonic probes have previously been reported for operation under linearly polarized illumination</w:t>
      </w:r>
      <w:r>
        <w:rPr>
          <w:rFonts w:ascii="Times New Roman" w:hAnsi="Times New Roman" w:cs="Times New Roman"/>
        </w:rPr>
        <w:fldChar w:fldCharType="begin"/>
      </w:r>
      <w:r>
        <w:rPr>
          <w:rFonts w:ascii="Times New Roman" w:hAnsi="Times New Roman" w:cs="Times New Roman"/>
        </w:rPr>
        <w:instrText xml:space="preserve"> ADDIN ZOTERO_ITEM CSL_CITATION {"citationID":"HeJcTMdm","properties":{"unsorted":false,"formattedCitation":"\\super 3\\nosupersub{}","plainCitation":"3","noteIndex":0},"citationItems":[{"id":194,"uris":["http://zotero.org/users/12038018/items/QAANJMRY"],"itemData":{"id":194,"type":"article-journal","abstract":"Metallic plasmonic probes have been successfully applied in near-field imaging, nanolithography, and Raman enhanced spectroscopy because of their ability to squeeze light into nanoscale and provide significant electric field enhancement. Most of these probes rely on nanometric alignment of incident beam and resonant structures with limited spectral bandwidth. This paper proposes and experimentally demonstrates an asymmetric fiber tip for broadband interference nanofocusing within its full optical wavelengths (500–800 nm) at the nanotip with 10 nm apex. The asymmetric geometry consisting of two semicircular slits rotates plasmonic polarization and converts the linearly polarized plasmonic mode to the radially polarized plasmonic mode when the linearly polarized beam couples to the optical ﬁber. The three-dimensional plasmonic modulation induces circumference interference and nanofocus of surface plasmons, which is signiﬁcantly different from the nanofocusing through plasmon propagation and plasmon evolution. The plasmonic interference modulation provides fundamental insights into the plasmon engineering and has important applications in plasmon nanophotonic technologies.","container-title":"Nanophotonics","DOI":"10.1515/nanoph-2021-0405","ISSN":"2192-8614","issue":"16","journalAbbreviation":"Nanophotonics","language":"en","license":"http://creativecommons.org/licenses/by/4.0","page":"4113-4123","publisher":"Walter de Gruyter GmbH","source":"Crossref","title":"Li Shaobo, 2021_Plasmonic interference modulation for broadband nanofocusing","volume":"10","author":[{"family":"Li","given":"Shaobo"},{"family":"Yang","given":"Shuming"},{"family":"Wang","given":"Fei"},{"family":"Liu","given":"Qiang"},{"family":"Cheng","given":"Biyao"},{"family":"Rosenwaks","given":"Yossi"}],"issued":{"date-parts":[["2021",11,16]]}}}],"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3</w:t>
      </w:r>
      <w:r>
        <w:rPr>
          <w:rFonts w:ascii="Times New Roman" w:hAnsi="Times New Roman" w:cs="Times New Roman"/>
        </w:rPr>
        <w:fldChar w:fldCharType="end"/>
      </w:r>
      <w:r>
        <w:rPr>
          <w:rFonts w:ascii="Times New Roman" w:hAnsi="Times New Roman" w:cs="Times New Roman"/>
        </w:rPr>
        <w:t>. Nevertheless, most existing structures still retain residual symmetry under specific polarization orientations. When the incident polarization is perpendicular to such a symmetry axis, the plasmonic propagation paths on opposite sides of the structure become equivalent, producing SPP modes with opposite phases. As a consequence, destructive interference occurs near the apex, suppressing field localization and preventing efficient nanofocusing.</w:t>
      </w:r>
    </w:p>
    <w:p w14:paraId="7907C2DE" w14:textId="77777777" w:rsidR="00CA3996" w:rsidRDefault="00000000">
      <w:pPr>
        <w:ind w:firstLineChars="200" w:firstLine="420"/>
        <w:rPr>
          <w:rFonts w:ascii="Times New Roman" w:hAnsi="Times New Roman" w:cs="Times New Roman"/>
        </w:rPr>
      </w:pPr>
      <w:r>
        <w:rPr>
          <w:rFonts w:ascii="Times New Roman" w:hAnsi="Times New Roman" w:cs="Times New Roman" w:hint="eastAsia"/>
        </w:rPr>
        <w:t xml:space="preserve">In the ECP proposed here, the center of the square-pyramid base is displaced from the center of the platform base along two orthogonal directions by </w:t>
      </w:r>
      <w:r>
        <w:rPr>
          <w:rFonts w:ascii="Times New Roman" w:hAnsi="Times New Roman" w:cs="Times New Roman"/>
        </w:rPr>
        <w:t>Δx and Δ</w:t>
      </w:r>
      <w:r>
        <w:rPr>
          <w:rFonts w:ascii="Times New Roman" w:hAnsi="Times New Roman" w:cs="Times New Roman" w:hint="eastAsia"/>
        </w:rPr>
        <w:t xml:space="preserve">y, respectively. </w:t>
      </w:r>
      <w:r>
        <w:rPr>
          <w:rFonts w:ascii="Times New Roman" w:hAnsi="Times New Roman" w:cs="Times New Roman"/>
        </w:rPr>
        <w:t>The conditions Δx ≠ 0, Δy ≠ 0, and |Δx| ≠ |Δy| are imposed to remove all mirror-symmetry planes from the structure. Under these conditions, no</w:t>
      </w:r>
      <w:r>
        <w:rPr>
          <w:rFonts w:ascii="Times New Roman" w:hAnsi="Times New Roman" w:cs="Times New Roman" w:hint="eastAsia"/>
        </w:rPr>
        <w:t xml:space="preserve"> linear</w:t>
      </w:r>
      <w:r>
        <w:rPr>
          <w:rFonts w:ascii="Times New Roman" w:hAnsi="Times New Roman" w:cs="Times New Roman"/>
        </w:rPr>
        <w:t xml:space="preserve"> polarization orientation can produce equivalent plasmonic propagation paths on opposite sides of the probe. The out-of-phase SPP distribution that causes destructive interference is suppressed across the full polarization range, enabling stable nanofocusing under linearly polarized excitation at arbitrary orientations.</w:t>
      </w:r>
    </w:p>
    <w:p w14:paraId="39CBC598"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451BD6C7" wp14:editId="580B7C90">
            <wp:extent cx="3566160" cy="2952115"/>
            <wp:effectExtent l="0" t="0" r="2540" b="6985"/>
            <wp:docPr id="14" name="图片 14" descr="1补充材料图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补充材料图_18"/>
                    <pic:cNvPicPr>
                      <a:picLocks noChangeAspect="1"/>
                    </pic:cNvPicPr>
                  </pic:nvPicPr>
                  <pic:blipFill>
                    <a:blip r:embed="rId5"/>
                    <a:stretch>
                      <a:fillRect/>
                    </a:stretch>
                  </pic:blipFill>
                  <pic:spPr>
                    <a:xfrm>
                      <a:off x="0" y="0"/>
                      <a:ext cx="3566160" cy="2952115"/>
                    </a:xfrm>
                    <a:prstGeom prst="rect">
                      <a:avLst/>
                    </a:prstGeom>
                  </pic:spPr>
                </pic:pic>
              </a:graphicData>
            </a:graphic>
          </wp:inline>
        </w:drawing>
      </w:r>
    </w:p>
    <w:p w14:paraId="5968374D" w14:textId="77777777" w:rsidR="00CA3996" w:rsidRDefault="00000000">
      <w:pPr>
        <w:rPr>
          <w:rFonts w:ascii="Times New Roman" w:hAnsi="Times New Roman" w:cs="Times New Roman"/>
          <w:b/>
          <w:bCs/>
        </w:rPr>
      </w:pPr>
      <w:r>
        <w:rPr>
          <w:rFonts w:ascii="Times New Roman" w:hAnsi="Times New Roman" w:cs="Times New Roman"/>
          <w:b/>
          <w:bCs/>
        </w:rPr>
        <w:t>Fig. S2. Top-view schematic of the probe structure when Δx = 0.</w:t>
      </w:r>
    </w:p>
    <w:p w14:paraId="0E1E7212" w14:textId="77777777" w:rsidR="00CA3996" w:rsidRDefault="00000000">
      <w:pPr>
        <w:ind w:firstLineChars="200" w:firstLine="420"/>
        <w:rPr>
          <w:rFonts w:ascii="Times New Roman" w:hAnsi="Times New Roman" w:cs="Times New Roman"/>
        </w:rPr>
      </w:pPr>
      <w:r>
        <w:rPr>
          <w:rFonts w:ascii="Times New Roman" w:hAnsi="Times New Roman" w:cs="Times New Roman"/>
        </w:rPr>
        <w:t xml:space="preserve">As shown in Fig. S2, when Δx = 0, the structure retains mirror symmetry with respect to the y axis. If the incident linear polarization is oriented perpendicular to this symmetry axis, the structures on both sides of the axis become equivalent. The corresponding SPP modes therefore acquire opposite phases and interfere destructively near the apex, </w:t>
      </w:r>
      <w:r>
        <w:rPr>
          <w:rFonts w:ascii="Times New Roman" w:hAnsi="Times New Roman" w:cs="Times New Roman"/>
        </w:rPr>
        <w:lastRenderedPageBreak/>
        <w:t>preventing effective field localization. This configuration is therefore not suitable for polarization-insensitive nanofocusing.</w:t>
      </w:r>
    </w:p>
    <w:p w14:paraId="410AE1FF"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4BB68C35" wp14:editId="352DBCAC">
            <wp:extent cx="3510280" cy="3596640"/>
            <wp:effectExtent l="0" t="0" r="7620" b="10160"/>
            <wp:docPr id="13" name="图片 13" descr="1补充材料图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补充材料图_17"/>
                    <pic:cNvPicPr>
                      <a:picLocks noChangeAspect="1"/>
                    </pic:cNvPicPr>
                  </pic:nvPicPr>
                  <pic:blipFill>
                    <a:blip r:embed="rId6"/>
                    <a:stretch>
                      <a:fillRect/>
                    </a:stretch>
                  </pic:blipFill>
                  <pic:spPr>
                    <a:xfrm>
                      <a:off x="0" y="0"/>
                      <a:ext cx="3510280" cy="3596640"/>
                    </a:xfrm>
                    <a:prstGeom prst="rect">
                      <a:avLst/>
                    </a:prstGeom>
                  </pic:spPr>
                </pic:pic>
              </a:graphicData>
            </a:graphic>
          </wp:inline>
        </w:drawing>
      </w:r>
    </w:p>
    <w:p w14:paraId="598CDC16" w14:textId="77777777" w:rsidR="00CA3996" w:rsidRDefault="00000000">
      <w:pPr>
        <w:rPr>
          <w:rFonts w:ascii="Times New Roman" w:hAnsi="Times New Roman" w:cs="Times New Roman"/>
          <w:b/>
          <w:bCs/>
        </w:rPr>
      </w:pPr>
      <w:r>
        <w:rPr>
          <w:rFonts w:ascii="Times New Roman" w:hAnsi="Times New Roman" w:cs="Times New Roman"/>
          <w:b/>
          <w:bCs/>
        </w:rPr>
        <w:t>Fig. S3. Top-view schematic of the probe structure when Δy = 0.</w:t>
      </w:r>
    </w:p>
    <w:p w14:paraId="0BE419C7" w14:textId="77777777" w:rsidR="00CA3996" w:rsidRDefault="00000000">
      <w:pPr>
        <w:ind w:firstLineChars="200" w:firstLine="420"/>
        <w:rPr>
          <w:rFonts w:ascii="Times New Roman" w:hAnsi="Times New Roman" w:cs="Times New Roman"/>
        </w:rPr>
      </w:pPr>
      <w:r>
        <w:rPr>
          <w:rFonts w:ascii="Times New Roman" w:hAnsi="Times New Roman" w:cs="Times New Roman"/>
        </w:rPr>
        <w:t>Similarly, when Δy = 0, the structure retains mirror symmetry with respect to the x axis, as illustrated in Fig. S3. Under linearly polarized excitation perpendicular to this symmetry axis, the two sides of the structure again become equivalent, leading to destructive interference of the SPP modes near the apex. Efficient nanofocusing is therefore not obtained.</w:t>
      </w:r>
    </w:p>
    <w:p w14:paraId="48BD9C58"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36ABF025" wp14:editId="7D28973A">
            <wp:extent cx="3072130" cy="3077845"/>
            <wp:effectExtent l="0" t="0" r="1270" b="8255"/>
            <wp:docPr id="12" name="图片 12" descr="1补充材料图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补充材料图_15"/>
                    <pic:cNvPicPr>
                      <a:picLocks noChangeAspect="1"/>
                    </pic:cNvPicPr>
                  </pic:nvPicPr>
                  <pic:blipFill>
                    <a:blip r:embed="rId7"/>
                    <a:stretch>
                      <a:fillRect/>
                    </a:stretch>
                  </pic:blipFill>
                  <pic:spPr>
                    <a:xfrm>
                      <a:off x="0" y="0"/>
                      <a:ext cx="3072130" cy="3077845"/>
                    </a:xfrm>
                    <a:prstGeom prst="rect">
                      <a:avLst/>
                    </a:prstGeom>
                  </pic:spPr>
                </pic:pic>
              </a:graphicData>
            </a:graphic>
          </wp:inline>
        </w:drawing>
      </w:r>
    </w:p>
    <w:p w14:paraId="2D23A686" w14:textId="77777777" w:rsidR="00CA3996" w:rsidRDefault="00000000">
      <w:pPr>
        <w:rPr>
          <w:rFonts w:ascii="Times New Roman" w:hAnsi="Times New Roman" w:cs="Times New Roman"/>
          <w:b/>
          <w:bCs/>
        </w:rPr>
      </w:pPr>
      <w:r>
        <w:rPr>
          <w:rFonts w:ascii="Times New Roman" w:hAnsi="Times New Roman" w:cs="Times New Roman"/>
          <w:b/>
          <w:bCs/>
        </w:rPr>
        <w:t>Fig. S4. Top-view schematic of the probe structure when |Δx| = |Δy|. The center of the square-pyramid base is located in the first quadrant.</w:t>
      </w:r>
    </w:p>
    <w:p w14:paraId="4BB83241" w14:textId="77777777" w:rsidR="00CA3996" w:rsidRDefault="00000000">
      <w:pPr>
        <w:ind w:firstLineChars="200" w:firstLine="420"/>
        <w:rPr>
          <w:rFonts w:ascii="Times New Roman" w:hAnsi="Times New Roman" w:cs="Times New Roman"/>
        </w:rPr>
      </w:pPr>
      <w:r>
        <w:rPr>
          <w:rFonts w:ascii="Times New Roman" w:hAnsi="Times New Roman" w:cs="Times New Roman"/>
        </w:rPr>
        <w:lastRenderedPageBreak/>
        <w:t>Fig. S4 shows the case |Δx| = |Δy|. Although the structure is geometrically eccentric, a mirror-symmetry plane remains along the diagonal direction. The example shown corresponds to Δx &gt; 0 and Δy &gt; 0, where the square-pyramid base center is located in the first quadrant of the coordinate system. When the incident polarization is perpendicular to the symmetry axis, destructive interference between opposite-phase SPP modes again occurs near the apex and suppresses nanofocusing.</w:t>
      </w:r>
    </w:p>
    <w:p w14:paraId="746CBDB4" w14:textId="77777777" w:rsidR="00CA3996" w:rsidRDefault="00000000">
      <w:pPr>
        <w:ind w:firstLineChars="200" w:firstLine="420"/>
        <w:rPr>
          <w:rFonts w:ascii="Times New Roman" w:hAnsi="Times New Roman" w:cs="Times New Roman"/>
        </w:rPr>
      </w:pPr>
      <w:r>
        <w:rPr>
          <w:rFonts w:ascii="Times New Roman" w:hAnsi="Times New Roman" w:cs="Times New Roman"/>
        </w:rPr>
        <w:t>Therefore, all mirror-symmetry planes are removed from the probe geometry only when Δx ≠ 0, Δy ≠ 0, and |Δx| ≠ |Δy| are satisfied simultaneously. Under these conditions, destructive interference of SPP modes is suppressed for arbitrary linear-polarization orientations, enabling polarization-insensitive nanofocusing in the ECP.</w:t>
      </w:r>
    </w:p>
    <w:p w14:paraId="0AB69748" w14:textId="77777777" w:rsidR="00CA3996" w:rsidRDefault="00CA3996">
      <w:pPr>
        <w:jc w:val="left"/>
        <w:rPr>
          <w:rFonts w:ascii="Times New Roman" w:hAnsi="Times New Roman" w:cs="Times New Roman"/>
        </w:rPr>
      </w:pPr>
    </w:p>
    <w:p w14:paraId="19D6666C" w14:textId="77777777" w:rsidR="00CA3996" w:rsidRDefault="00000000">
      <w:pPr>
        <w:rPr>
          <w:rFonts w:ascii="Times New Roman" w:hAnsi="Times New Roman" w:cs="Times New Roman"/>
          <w:b/>
          <w:bCs/>
          <w:sz w:val="24"/>
          <w:szCs w:val="32"/>
        </w:rPr>
      </w:pPr>
      <w:r>
        <w:rPr>
          <w:rFonts w:ascii="Times New Roman" w:hAnsi="Times New Roman" w:cs="Times New Roman"/>
          <w:b/>
          <w:bCs/>
          <w:sz w:val="24"/>
          <w:szCs w:val="32"/>
        </w:rPr>
        <w:t>2. Probe Fabrication Process</w:t>
      </w:r>
    </w:p>
    <w:p w14:paraId="5123F8BA" w14:textId="77777777" w:rsidR="00CA3996" w:rsidRDefault="00000000">
      <w:pPr>
        <w:ind w:firstLineChars="200" w:firstLine="420"/>
        <w:rPr>
          <w:rFonts w:ascii="Times New Roman" w:hAnsi="Times New Roman" w:cs="Times New Roman"/>
        </w:rPr>
      </w:pPr>
      <w:r>
        <w:rPr>
          <w:rFonts w:ascii="Times New Roman" w:hAnsi="Times New Roman" w:cs="Times New Roman"/>
        </w:rPr>
        <w:t>To fabricate the ECP with high geometric fidelity and reproducible dimensions, focused-ion-beam (FIB) milling was employed for micro- and nanomachining of the probe</w:t>
      </w:r>
      <w:r>
        <w:rPr>
          <w:rFonts w:ascii="Times New Roman" w:hAnsi="Times New Roman" w:cs="Times New Roman"/>
        </w:rPr>
        <w:fldChar w:fldCharType="begin"/>
      </w:r>
      <w:r>
        <w:rPr>
          <w:rFonts w:ascii="Times New Roman" w:hAnsi="Times New Roman" w:cs="Times New Roman"/>
        </w:rPr>
        <w:instrText xml:space="preserve"> ADDIN ZOTERO_ITEM CSL_CITATION {"citationID":"alMYlomx","properties":{"unsorted":false,"formattedCitation":"\\super 4\\nosupersub{}","plainCitation":"4","noteIndex":0},"citationItems":[{"id":185,"uris":["http://zotero.org/users/12038018/items/K94HATYW"],"itemData":{"id":185,"type":"article-journal","abstract":"One of the major challenges to the widespread adoption of plasmonic and nano-optical devices in real-life applications is the difficulty to mass-fabricate nano-optical antennas in parallel and reproducible fashion, and the capability to precisely place nanoantennas into devices with nanometer-scale precision. In this study, we present a solution to this challenge using the state-of-the-art ultraviolet nanoimprint lithography (UV-NIL) to fabricate functional optical transformers onto the core of an optical fiber in a single step, mimicking the ‘campanile’ near-field probes. Imprinted probes were fabricated using a custom-built imprinter tool with co-axial alignment capability with sub &lt;100 nm position accuracy, followed by a metallization step. Scanning electron micrographs confirm high imprint fidelity and precision with a thin residual layer to facilitate efficient optical coupling between the fiber and the imprinted optical transformer. The imprinted optical transformer probe was used in an actual NSOM measurement performing hyperspectral photoluminescence mapping of standard fluorescent beads. The calibration scans confirmed that imprinted probes enable sub-diffraction limited imaging with a spatial resolution consistent with the gap size. This novel nano-fabrication approach promises a low-cost, high-throughput, and reproducible manufacturing of advanced nano-optical devices.","container-title":"Scientific Reports","DOI":"10.1038/s41598-017-01871-5","ISSN":"2045-2322","issue":"1","journalAbbreviation":"Sci. Rep.","language":"en","license":"2017 The Author(s)","note":"TLDR: This novel nano-fabrication approach promises a low-cost, high-throughput, and reproducible manufacturing of advanced nano-optical devices, and enables sub-diffraction limited imaging with a spatial resolution consistent with the gap size.","page":"1651","publisher":"Nature Publishing Group","source":"www.nature.com","title":"Giuseppe Calafiore, 2017_Campanile near-field probes fabricated by nanoimprint lithography on the facet of an optical fiber","volume":"7","author":[{"family":"Calafiore","given":"Giuseppe"},{"family":"Koshelev","given":"Alexander"},{"family":"Darlington","given":"Thomas P."},{"family":"Borys","given":"Nicholas J."},{"family":"Melli","given":"Mauro"},{"family":"Polyakov","given":"Aleksandr"},{"family":"Cantarella","given":"Giuseppe"},{"family":"Allen","given":"Frances I."},{"family":"Lum","given":"Paul"},{"family":"Wong","given":"Ed"},{"family":"Sassolini","given":"Simone"},{"family":"Weber-Bargioni","given":"Alexander"},{"family":"Schuck","given":"P. James"},{"family":"Cabrini","given":"Stefano"},{"family":"Munechika","given":"Keiko"}],"issued":{"date-parts":[["2017",5,10]]}}}],"schema":"https://github.com/citation-style-language/schema/raw/master/csl-citation.json"}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4</w:t>
      </w:r>
      <w:r>
        <w:rPr>
          <w:rFonts w:ascii="Times New Roman" w:hAnsi="Times New Roman" w:cs="Times New Roman"/>
        </w:rPr>
        <w:fldChar w:fldCharType="end"/>
      </w:r>
      <w:r>
        <w:rPr>
          <w:rFonts w:ascii="Times New Roman" w:hAnsi="Times New Roman" w:cs="Times New Roman"/>
        </w:rPr>
        <w:t>. The experiments were carried out on a Thermo Scientific Helios 5 UX dual-beam system. In this instrument, the electron and ion columns are arranged at 0° and 52°, respectively. The ion source was a Ga source, with an acceleration voltage of 0.5–30 kV and a beam current of 1 pA–65 nA. The electron beam acceleration voltage was 1–30 kV, and the electron-beam resolution reached 0.6 nm at 15 kV.</w:t>
      </w:r>
    </w:p>
    <w:p w14:paraId="6C09D9F3" w14:textId="77777777" w:rsidR="00CA3996" w:rsidRDefault="00000000">
      <w:pPr>
        <w:ind w:firstLineChars="200" w:firstLine="420"/>
        <w:rPr>
          <w:rFonts w:ascii="Times New Roman" w:hAnsi="Times New Roman" w:cs="Times New Roman"/>
        </w:rPr>
      </w:pPr>
      <w:r>
        <w:rPr>
          <w:rFonts w:ascii="Times New Roman" w:hAnsi="Times New Roman" w:cs="Times New Roman"/>
        </w:rPr>
        <w:t>Before FIB processing, the optical fiber was immersed in hydrofluoric acid for wet etching to form a conical taper with an apex angle of approximately 30°. A conductive metal layer was then deposited on the etched fiber surface by electron-beam evaporation to ensure sufficient conductivity for FIB milling.</w:t>
      </w:r>
    </w:p>
    <w:p w14:paraId="50FB2C13" w14:textId="77777777" w:rsidR="00CA3996" w:rsidRDefault="00000000">
      <w:pPr>
        <w:ind w:firstLineChars="200" w:firstLine="420"/>
        <w:rPr>
          <w:rFonts w:ascii="Times New Roman" w:hAnsi="Times New Roman" w:cs="Times New Roman"/>
        </w:rPr>
      </w:pPr>
      <w:r>
        <w:rPr>
          <w:rFonts w:ascii="Times New Roman" w:hAnsi="Times New Roman" w:cs="Times New Roman"/>
        </w:rPr>
        <w:t>Although the final ECP geometry combines a square pyramid with an eccentric platform base, it can be fabricated using a two-step FIB process. During processing, the taper axis of the conical fiber probe was first aligned perpendicular to the ion-beam axis, so that the probe axis lay in the ion-beam imaging plane</w:t>
      </w:r>
      <w:r>
        <w:rPr>
          <w:rFonts w:ascii="Times New Roman" w:hAnsi="Times New Roman" w:cs="Times New Roman"/>
        </w:rPr>
        <w:fldChar w:fldCharType="begin"/>
      </w:r>
      <w:r>
        <w:rPr>
          <w:rFonts w:ascii="Times New Roman" w:hAnsi="Times New Roman" w:cs="Times New Roman"/>
        </w:rPr>
        <w:instrText xml:space="preserve"> ADDIN ZOTERO_ITEM CSL_CITATION {"citationID":"FwoV3l9j","properties":{"unsorted":false,"formattedCitation":"\\super 5\\nosupersub{}","plainCitation":"5","noteIndex":0},"citationItems":[{"id":190,"uris":["http://zotero.org/users/12038018/items/YEWRUUZC"],"itemData":{"id":190,"type":"article-journal","abstract":"Plasmonic waveguides have attracted tremendous interest due to efficiently confining photons on the subwavelength spatial scale to be beating the propagation diffraction limit. Transition metal molybdenum (Mo) exhibits outstanding properties in light trapping and electromagnetic field confining, making it potentially valuable in 1.55 μm plasmonic waveguide applications. However, the reliable fabrication of high-quality Mo plasmonic waveguides is a significant challenge. A real-space micro-imaging study of the surface plasmon on Mo structures is still absent. In this study, we successfully prepared a single-crystalline Mo microrod waveguide structure and fabricated subwavelength gratings on it. The diffraction gratings were designed, optimized, and etched to excite the surface plasmon polariton behaviour of Mo for the first time. The grating-optimized Mo microrod single-crystal reveals highly efficient waveguide performance around near-infrared spectroscopy, exhibiting a long propagation length of 32 μm and a low transmission loss of 0.067 dB μm −1 . The results provide an alternative to advanced materials research and optical device applications of plasmonic waveguide systems.","container-title":"Nanophotonics","DOI":"10.1515/nanoph-2023-0480","ISSN":"2192-8614","issue":"22","journalAbbreviation":"Nanophotonics","language":"en","license":"De Gruyter expressly reserves the right to use all content for commercial text and data mining within the meaning of Section 44b of the German Copyright Act.","page":"4185-4193","publisher":"De Gruyter","source":"www.degruyterbrill.com","title":"[203]A low-loss molybdenum plasmonic waveguide: perfect single-crystal preparation and subwavelength grating optimization","title-short":"A low-loss molybdenum plasmonic waveguide","volume":"12","author":[{"family":"Cui","given":"Tao"},{"family":"Shen","given":"Yan"},{"family":"Cheng","given":"Ao"},{"family":"Zhan","given":"Runze"},{"family":"Zheng","given":"Zebo"},{"family":"Tian","given":"Bo"},{"family":"Shi","given":"Jia"},{"family":"Ke","given":"Yanlin"},{"family":"Shao","given":"Lei"},{"family":"Chen","given":"Huanjun"},{"family":"Deng","given":"Shaozhi"}],"issued":{"date-parts":[["2023",11,1]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5</w:t>
      </w:r>
      <w:r>
        <w:rPr>
          <w:rFonts w:ascii="Times New Roman" w:hAnsi="Times New Roman" w:cs="Times New Roman"/>
        </w:rPr>
        <w:fldChar w:fldCharType="end"/>
      </w:r>
      <w:r>
        <w:rPr>
          <w:rFonts w:ascii="Times New Roman" w:hAnsi="Times New Roman" w:cs="Times New Roman"/>
        </w:rPr>
        <w:t>. Under this configuration, the ion-beam image shows a triangular outline, which corresponds to the front view of the etched conical fiber. A milling pattern was then defined in the ion-beam processing window</w:t>
      </w:r>
      <w:r>
        <w:rPr>
          <w:rFonts w:ascii="Times New Roman" w:hAnsi="Times New Roman" w:cs="Times New Roman"/>
        </w:rPr>
        <w:fldChar w:fldCharType="begin"/>
      </w:r>
      <w:r>
        <w:rPr>
          <w:rFonts w:ascii="Times New Roman" w:hAnsi="Times New Roman" w:cs="Times New Roman"/>
        </w:rPr>
        <w:instrText xml:space="preserve"> ADDIN ZOTERO_ITEM CSL_CITATION {"citationID":"o5XdTWxY","properties":{"unsorted":false,"formattedCitation":"\\super 6\\nosupersub{}","plainCitation":"6","noteIndex":0},"citationItems":[{"id":869,"uris":["http://zotero.org/users/12038018/items/DY5ZDXGA"],"itemData":{"id":869,"type":"article-journal","abstract":"Focused ion beam (FIB) milling is a versatile maskless and resistless patterning technique and has been widely used for the fabrication of inverse plasmonic structures such as nanoholes and nanoslits for various applications. However, due to its subtractive milling nature, it is an impractical method to fabricate isolated plasmonic nanoparticles and assemblies which are more commonly adopted in applications. In this work, we propose and demonstrate an approach to reliably and rapidly deﬁne plasmonic nanoparticles and their assemblies using FIB milling via a simple “sketch and peel” strategy. Systematic experimental investigations and mechanism studies reveal that the high reliability of this fabrication approach is enabled by a conformally formed sidewall coating due to the ion-milling-induced redeposition. Particularly, we demonstrated that this strategy is also applicable to the state-of-the-art helium ion beam milling technology, with which high-ﬁdelity plasmonic dimers with tiny gaps could be directly and rapidly prototyped. Because the proposed approach enables rapid and reliable patterning of arbitrary plasmonic nanostructures that are not feasible to fabricate via conventional FIB milling process, our work provides the FIB milling technology an additional nanopatterning capability and thus could greatly increase its popularity for utilization in fundamental research and device prototyping.","container-title":"ACS Nano","DOI":"10.1021/acsnano.6b06290","ISSN":"1936-0851, 1936-086X","issue":"12","journalAbbreviation":"ACS Nano","language":"en","page":"11228-11236","source":"DOI.org (Crossref)","title":"Yiqin Chen, Kaixi Bi, 2016_Rapid focused ion beam milling based fabrication of plasmonic nanoparticles and assemblies via “sketch and peel” strategy","volume":"10","author":[{"family":"Chen","given":"Yiqin"},{"family":"Bi","given":"Kaixi"},{"family":"Wang","given":"Qianjin"},{"family":"Zheng","given":"Mengjie"},{"family":"Liu","given":"Qing"},{"family":"Han","given":"Yunxin"},{"family":"Yang","given":"Junbo"},{"family":"Chang","given":"Shengli"},{"family":"Zhang","given":"Guanhua"},{"family":"Duan","given":"Huigao"}],"issued":{"date-parts":[["2016",12,27]]}}}],"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6</w:t>
      </w:r>
      <w:r>
        <w:rPr>
          <w:rFonts w:ascii="Times New Roman" w:hAnsi="Times New Roman" w:cs="Times New Roman"/>
        </w:rPr>
        <w:fldChar w:fldCharType="end"/>
      </w:r>
      <w:r>
        <w:rPr>
          <w:rFonts w:ascii="Times New Roman" w:hAnsi="Times New Roman" w:cs="Times New Roman"/>
        </w:rPr>
        <w:t>. One representative design is shown in Fig. S5. The pattern consists of a rectangle and an isosceles triangle. The rectangle fully encloses the triangle, and one side of the rectangle coincides with the base of the triangle. The length of that side is larger than the base length of the isosceles triangle. This design allows the platform base to be formed directly while the square-pyramid section is being milled. During processing, the overlap between the rectangle and the isosceles triangle was left unprocessed, whereas the remaining area was etched. The isosceles-triangle parameters directly define the square-pyramid geometry. The triangle base length corresponds to the square-pyramid base length L, and the triangle height corresponds to the pyramid height H.</w:t>
      </w:r>
    </w:p>
    <w:p w14:paraId="4ED6A4DA" w14:textId="77777777" w:rsidR="00CA3996" w:rsidRDefault="00000000">
      <w:pPr>
        <w:jc w:val="center"/>
        <w:rPr>
          <w:rFonts w:ascii="Times New Roman" w:hAnsi="Times New Roman" w:cs="Times New Roman"/>
        </w:rPr>
      </w:pPr>
      <w:r>
        <w:rPr>
          <w:rFonts w:ascii="Times New Roman" w:hAnsi="Times New Roman" w:cs="Times New Roman"/>
          <w:noProof/>
        </w:rPr>
        <w:drawing>
          <wp:inline distT="0" distB="0" distL="114300" distR="114300" wp14:anchorId="193E7978" wp14:editId="0CC6AB91">
            <wp:extent cx="3239770" cy="2329180"/>
            <wp:effectExtent l="0" t="0" r="11430"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8"/>
                    <a:stretch>
                      <a:fillRect/>
                    </a:stretch>
                  </pic:blipFill>
                  <pic:spPr>
                    <a:xfrm>
                      <a:off x="0" y="0"/>
                      <a:ext cx="3239770" cy="2329180"/>
                    </a:xfrm>
                    <a:prstGeom prst="rect">
                      <a:avLst/>
                    </a:prstGeom>
                    <a:noFill/>
                    <a:ln>
                      <a:noFill/>
                    </a:ln>
                  </pic:spPr>
                </pic:pic>
              </a:graphicData>
            </a:graphic>
          </wp:inline>
        </w:drawing>
      </w:r>
    </w:p>
    <w:p w14:paraId="1B7F11C5" w14:textId="77777777" w:rsidR="00CA3996" w:rsidRDefault="00000000">
      <w:pPr>
        <w:rPr>
          <w:rFonts w:ascii="Times New Roman" w:hAnsi="Times New Roman" w:cs="Times New Roman"/>
          <w:b/>
          <w:bCs/>
        </w:rPr>
      </w:pPr>
      <w:r>
        <w:rPr>
          <w:rFonts w:ascii="Times New Roman" w:hAnsi="Times New Roman" w:cs="Times New Roman"/>
          <w:b/>
          <w:bCs/>
        </w:rPr>
        <w:t>Fig. S5. One representative FIB pattern used for ECP fabrication.</w:t>
      </w:r>
    </w:p>
    <w:p w14:paraId="74D96C7C" w14:textId="77777777" w:rsidR="00CA3996" w:rsidRDefault="00000000">
      <w:pPr>
        <w:ind w:firstLineChars="200" w:firstLine="420"/>
        <w:rPr>
          <w:rFonts w:ascii="Times New Roman" w:hAnsi="Times New Roman" w:cs="Times New Roman"/>
        </w:rPr>
      </w:pPr>
      <w:r>
        <w:rPr>
          <w:rFonts w:ascii="Times New Roman" w:hAnsi="Times New Roman" w:cs="Times New Roman"/>
        </w:rPr>
        <w:lastRenderedPageBreak/>
        <w:t>In the first milling step, the pattern was positioned near the taper apex, with the symmetry axis of the isosceles triangle parallel to, but not coincident with, the taper axis. In this step, the lateral offset between the triangle symmetry axis and the probe axis was Δx. After milling, the portion of the rectangle not overlapping the triangle base was removed, and part of the platform base was formed simultaneously. At the same time, one half of the square-pyramid structure was created. The resulting morphology is similar to a triangular prism resting on the platform base, with an isosceles-triangular longitudinal section and upper and lower surfaces inherited from the original taper.</w:t>
      </w:r>
    </w:p>
    <w:p w14:paraId="5423BA8C" w14:textId="77777777" w:rsidR="00CA3996" w:rsidRDefault="00000000">
      <w:pPr>
        <w:ind w:firstLineChars="200" w:firstLine="420"/>
        <w:rPr>
          <w:rFonts w:ascii="Times New Roman" w:hAnsi="Times New Roman" w:cs="Times New Roman"/>
        </w:rPr>
      </w:pPr>
      <w:r>
        <w:rPr>
          <w:rFonts w:ascii="Times New Roman" w:hAnsi="Times New Roman" w:cs="Times New Roman"/>
        </w:rPr>
        <w:t>The probe was then rotated by 90° about its original axis for the second milling step. The same pattern was applied again. In the ion-beam imaging window, the side of the pattern where the rectangle overlaps the isosceles triangle was aligned with the partial platform base formed in the first step, while the symmetry axis of the triangle remained parallel to, but not coincident with, the probe axis. In this step, the offset between the triangle symmetry axis and the probe axis was Δy. After the two milling steps, the ECP geometry was fully formed. The fabrication scheme is summarized in Fig. S6. The final platform base is perpendicular to the original taper axis, which passes through the center of the platform base. The fabricated square pyramid has the same height and base length as defined by the triangle in the pattern. The platform base is formed at the conical cross section corresponding to the overlap of the rectangle and the isosceles triangle in the FIB pattern. The parameters Δx and Δy correspond to the offsets of the square-pyramid base center relative to the platform-base center along two orthogonal directions and to the lateral displacements of the triangle symmetry axis relative to the taper axis in the two milling steps. The entire fabrication process requires only two FIB milling steps, and the geometric dimensions are readily controlled</w:t>
      </w:r>
      <w:r>
        <w:rPr>
          <w:rFonts w:ascii="Times New Roman" w:hAnsi="Times New Roman" w:cs="Times New Roman"/>
        </w:rPr>
        <w:fldChar w:fldCharType="begin"/>
      </w:r>
      <w:r>
        <w:rPr>
          <w:rFonts w:ascii="Times New Roman" w:hAnsi="Times New Roman" w:cs="Times New Roman"/>
        </w:rPr>
        <w:instrText xml:space="preserve"> ADDIN ZOTERO_ITEM CSL_CITATION {"citationID":"ZHqAMkxF","properties":{"unsorted":false,"formattedCitation":"\\super 7\\nosupersub{}","plainCitation":"7","noteIndex":0},"citationItems":[{"id":859,"uris":["http://zotero.org/users/12038018/items/VLUNA3VY"],"itemData":{"id":859,"type":"article-journal","abstract":"Abstract\n            Since the invention of the atomic force microscope (AFM) three decades ago, there have been numerous advances in its measurement capabilities. Curiously, throughout these developments, the fundamental nature of the force-sensing probe—the key actuating element—has remained largely unchanged. It is produced by long-established microfabrication etching strategies and typically composed of silicon-based materials. Here, we report a new class of photopolymerizable hydrogel nano-probes that are produced by bottom-up fabrication with compressible replica moulding. The hydrogel probes demonstrate excellent capabilities for AFM imaging and force measurement applications while enabling programmable, multifunctional capabilities based on compositionally adjustable mechanical properties and facile encapsulation of various nanomaterials. Taken together, the simple, fast and affordable manufacturing route and multifunctional capabilities of hydrogel AFM nano-probes highlight the potential of soft matter mechanical transducers in nanotechnology applications. The fabrication scheme can also be readily utilized to prepare hydrogel cantilevers, including in parallel arrays, for nanomechanical sensor devices.","container-title":"Nature Communications","DOI":"10.1038/ncomms11566","ISSN":"2041-1723","issue":"1","journalAbbreviation":"Nat. Commun.","language":"en","page":"11566","source":"DOI.org (Crossref)","title":"Jae Seol Lee, Jungki Song, 2016_Multifunctional hydrogel nano-probes for atomic force microscopy | nature communications","volume":"7","author":[{"family":"Lee","given":"Jae Seol"},{"family":"Song","given":"Jungki"},{"family":"Kim","given":"Seong Oh"},{"family":"Kim","given":"Seokbeom"},{"family":"Lee","given":"Wooju"},{"family":"Jackman","given":"Joshua A."},{"family":"Kim","given":"Dongchoul"},{"family":"Cho","given":"Nam-Joon"},{"family":"Lee","given":"Jungchul"}],"issued":{"date-parts":[["2016",5,20]]}}}],"schema":"https://github.com/citation-style-language/schema/raw/master/csl-citation.json"}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7</w:t>
      </w:r>
      <w:r>
        <w:rPr>
          <w:rFonts w:ascii="Times New Roman" w:hAnsi="Times New Roman" w:cs="Times New Roman"/>
        </w:rPr>
        <w:fldChar w:fldCharType="end"/>
      </w:r>
      <w:r>
        <w:rPr>
          <w:rFonts w:ascii="Times New Roman" w:hAnsi="Times New Roman" w:cs="Times New Roman"/>
        </w:rPr>
        <w:t>. Finally, an Au film was deposited on the probe surface to complete the ECP fabrication.</w:t>
      </w:r>
    </w:p>
    <w:p w14:paraId="79B85D1B"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3CB08B47" wp14:editId="5BDC0612">
            <wp:extent cx="4860290" cy="3492500"/>
            <wp:effectExtent l="0" t="0" r="3810" b="0"/>
            <wp:docPr id="1" name="图片 1" descr="1补充材料图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补充材料图_09"/>
                    <pic:cNvPicPr>
                      <a:picLocks noChangeAspect="1"/>
                    </pic:cNvPicPr>
                  </pic:nvPicPr>
                  <pic:blipFill>
                    <a:blip r:embed="rId9"/>
                    <a:srcRect l="6639" t="3806" r="19794" b="2214"/>
                    <a:stretch>
                      <a:fillRect/>
                    </a:stretch>
                  </pic:blipFill>
                  <pic:spPr>
                    <a:xfrm>
                      <a:off x="0" y="0"/>
                      <a:ext cx="4860290" cy="3492500"/>
                    </a:xfrm>
                    <a:prstGeom prst="rect">
                      <a:avLst/>
                    </a:prstGeom>
                  </pic:spPr>
                </pic:pic>
              </a:graphicData>
            </a:graphic>
          </wp:inline>
        </w:drawing>
      </w:r>
    </w:p>
    <w:p w14:paraId="30D8C341" w14:textId="77777777" w:rsidR="00CA3996" w:rsidRDefault="00000000">
      <w:pPr>
        <w:rPr>
          <w:rFonts w:ascii="Times New Roman" w:hAnsi="Times New Roman" w:cs="Times New Roman"/>
          <w:b/>
          <w:bCs/>
        </w:rPr>
      </w:pPr>
      <w:r>
        <w:rPr>
          <w:rFonts w:ascii="Times New Roman" w:hAnsi="Times New Roman" w:cs="Times New Roman"/>
          <w:b/>
          <w:bCs/>
        </w:rPr>
        <w:t>Fig. S6. Schematic of the ECP fabrication process.</w:t>
      </w:r>
    </w:p>
    <w:p w14:paraId="06C76491" w14:textId="77777777" w:rsidR="00CA3996" w:rsidRDefault="00CA3996">
      <w:pPr>
        <w:rPr>
          <w:rFonts w:ascii="Times New Roman" w:hAnsi="Times New Roman" w:cs="Times New Roman"/>
          <w:b/>
          <w:bCs/>
        </w:rPr>
      </w:pPr>
    </w:p>
    <w:p w14:paraId="2A69BAE3" w14:textId="77777777" w:rsidR="00CA3996" w:rsidRDefault="00000000">
      <w:pPr>
        <w:ind w:firstLineChars="200" w:firstLine="420"/>
        <w:rPr>
          <w:rFonts w:ascii="Times New Roman" w:hAnsi="Times New Roman" w:cs="Times New Roman"/>
        </w:rPr>
      </w:pPr>
      <w:r>
        <w:rPr>
          <w:rFonts w:ascii="Times New Roman" w:hAnsi="Times New Roman" w:cs="Times New Roman"/>
        </w:rPr>
        <w:t xml:space="preserve">Fig. S7 shows the actual fabrication process observed in the ion-beam imaging window. Before milling, the probe appears as a triangular profile corresponding to the front view of the conical fiber after hydrofluoric-acid etching and conductive-layer deposition. A pattern was then defined for the initial milling step. For practical reasons, the actual pattern was not a strict rectangle, but the unprocessed central region remained an isosceles triangle. This triangular region corresponds to the cross-sectional geometry of the square pyramid. Consistent with the schematic </w:t>
      </w:r>
      <w:r>
        <w:rPr>
          <w:rFonts w:ascii="Times New Roman" w:hAnsi="Times New Roman" w:cs="Times New Roman"/>
        </w:rPr>
        <w:lastRenderedPageBreak/>
        <w:t>in Fig. S6, the first milling step produced part of the platform base and a transitional structure resembling a triangular prism. The probe was then rotated by 90° about its axis for the second milling step. The size of the isosceles triangle was kept unchanged, and its symmetry axis remained parallel to, but not coincident with, the probe axis, thereby realizing the two-dimensional offset between the square-pyramid base center and the platform-base center. After the second milling step, the complete ECP geometry was obtained.</w:t>
      </w:r>
    </w:p>
    <w:p w14:paraId="35335063" w14:textId="77777777" w:rsidR="00CA3996" w:rsidRDefault="00CA3996">
      <w:pPr>
        <w:ind w:firstLineChars="200" w:firstLine="420"/>
        <w:rPr>
          <w:rFonts w:ascii="Times New Roman" w:hAnsi="Times New Roman" w:cs="Times New Roman"/>
        </w:rPr>
      </w:pPr>
    </w:p>
    <w:p w14:paraId="0C9FA91B"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22E1D43B" wp14:editId="4C97A04B">
            <wp:extent cx="5226685" cy="4388485"/>
            <wp:effectExtent l="0" t="0" r="5715" b="5715"/>
            <wp:docPr id="8" name="图片 8" descr="1补充材料图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补充材料图_12"/>
                    <pic:cNvPicPr>
                      <a:picLocks noChangeAspect="1"/>
                    </pic:cNvPicPr>
                  </pic:nvPicPr>
                  <pic:blipFill>
                    <a:blip r:embed="rId10"/>
                    <a:srcRect l="4385" t="1723" r="4128" b="4390"/>
                    <a:stretch>
                      <a:fillRect/>
                    </a:stretch>
                  </pic:blipFill>
                  <pic:spPr>
                    <a:xfrm>
                      <a:off x="0" y="0"/>
                      <a:ext cx="5226685" cy="4388485"/>
                    </a:xfrm>
                    <a:prstGeom prst="rect">
                      <a:avLst/>
                    </a:prstGeom>
                  </pic:spPr>
                </pic:pic>
              </a:graphicData>
            </a:graphic>
          </wp:inline>
        </w:drawing>
      </w:r>
    </w:p>
    <w:p w14:paraId="64271AB1" w14:textId="77777777" w:rsidR="00CA3996" w:rsidRDefault="00000000">
      <w:pPr>
        <w:rPr>
          <w:rFonts w:ascii="Times New Roman" w:hAnsi="Times New Roman" w:cs="Times New Roman"/>
          <w:b/>
          <w:bCs/>
        </w:rPr>
      </w:pPr>
      <w:r>
        <w:rPr>
          <w:rFonts w:ascii="Times New Roman" w:hAnsi="Times New Roman" w:cs="Times New Roman"/>
          <w:b/>
          <w:bCs/>
        </w:rPr>
        <w:t>Fig. S7. Actual fabrication process of the ECP observed in the ion-beam imaging window. The white dashed line indicates the taper axis of the conical fiber probe.</w:t>
      </w:r>
    </w:p>
    <w:p w14:paraId="4B37E6BF" w14:textId="77777777" w:rsidR="00CA3996" w:rsidRDefault="00CA3996">
      <w:pPr>
        <w:rPr>
          <w:rFonts w:ascii="Times New Roman" w:hAnsi="Times New Roman" w:cs="Times New Roman"/>
          <w:b/>
          <w:bCs/>
        </w:rPr>
      </w:pPr>
    </w:p>
    <w:p w14:paraId="3A9BFD30"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6FED344F" wp14:editId="79FCBD72">
            <wp:extent cx="5156200" cy="1922145"/>
            <wp:effectExtent l="0" t="0" r="0" b="8255"/>
            <wp:docPr id="10" name="图片 10" descr="1补充材料图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补充材料图_13"/>
                    <pic:cNvPicPr>
                      <a:picLocks noChangeAspect="1"/>
                    </pic:cNvPicPr>
                  </pic:nvPicPr>
                  <pic:blipFill>
                    <a:blip r:embed="rId11"/>
                    <a:srcRect l="576" t="2470" r="597" b="1396"/>
                    <a:stretch>
                      <a:fillRect/>
                    </a:stretch>
                  </pic:blipFill>
                  <pic:spPr>
                    <a:xfrm>
                      <a:off x="0" y="0"/>
                      <a:ext cx="5156200" cy="1922145"/>
                    </a:xfrm>
                    <a:prstGeom prst="rect">
                      <a:avLst/>
                    </a:prstGeom>
                  </pic:spPr>
                </pic:pic>
              </a:graphicData>
            </a:graphic>
          </wp:inline>
        </w:drawing>
      </w:r>
    </w:p>
    <w:p w14:paraId="0D4CDF13" w14:textId="77777777" w:rsidR="00CA3996" w:rsidRDefault="00000000">
      <w:pPr>
        <w:rPr>
          <w:rFonts w:ascii="Times New Roman" w:hAnsi="Times New Roman" w:cs="Times New Roman"/>
          <w:b/>
          <w:bCs/>
        </w:rPr>
      </w:pPr>
      <w:r>
        <w:rPr>
          <w:rFonts w:ascii="Times New Roman" w:hAnsi="Times New Roman" w:cs="Times New Roman"/>
          <w:b/>
          <w:bCs/>
        </w:rPr>
        <w:t>Fig. S8. Actual fabrication process of the ECP observed in the electron-beam imaging window. The white dashed line indicates the taper axis of the conical fiber probe.</w:t>
      </w:r>
    </w:p>
    <w:p w14:paraId="59169E10" w14:textId="77777777" w:rsidR="00CA3996" w:rsidRDefault="00000000">
      <w:pPr>
        <w:ind w:firstLineChars="200" w:firstLine="420"/>
        <w:rPr>
          <w:rFonts w:ascii="Times New Roman" w:hAnsi="Times New Roman" w:cs="Times New Roman"/>
        </w:rPr>
      </w:pPr>
      <w:r>
        <w:rPr>
          <w:rFonts w:ascii="Times New Roman" w:hAnsi="Times New Roman" w:cs="Times New Roman"/>
        </w:rPr>
        <w:lastRenderedPageBreak/>
        <w:t>Fig. S8 shows the actual fabrication process observed in the electron-beam imaging window, including the states of the conical fiber probe before milling, after the first milling step, and after the second milling step. Because the electron and ion columns of the FIB system are separated by 52°, the image in the electron-beam window is rotated by 52° about the probe axis relative to the corresponding image in the ion-beam window. The final square-pyramid axis is clearly displaced from the original probe axis. After the two-step FIB milling process, Au deposition completed the ECP fabrication. The SEM images of the final fabricated ECP are shown in Fig. 1g</w:t>
      </w:r>
      <w:r>
        <w:rPr>
          <w:rFonts w:ascii="Times New Roman" w:hAnsi="Times New Roman" w:cs="Times New Roman" w:hint="eastAsia"/>
        </w:rPr>
        <w:t>,</w:t>
      </w:r>
      <w:r>
        <w:rPr>
          <w:rFonts w:ascii="Times New Roman" w:hAnsi="Times New Roman" w:cs="Times New Roman"/>
        </w:rPr>
        <w:t xml:space="preserve"> h.</w:t>
      </w:r>
    </w:p>
    <w:p w14:paraId="53BAB490" w14:textId="77777777" w:rsidR="00CA3996" w:rsidRDefault="00CA3996">
      <w:pPr>
        <w:rPr>
          <w:rFonts w:ascii="Times New Roman" w:hAnsi="Times New Roman" w:cs="Times New Roman"/>
        </w:rPr>
      </w:pPr>
    </w:p>
    <w:p w14:paraId="3CADCF9B" w14:textId="77777777" w:rsidR="00CA3996" w:rsidRDefault="00000000">
      <w:pPr>
        <w:rPr>
          <w:rFonts w:ascii="Times New Roman" w:hAnsi="Times New Roman" w:cs="Times New Roman"/>
          <w:b/>
          <w:bCs/>
          <w:sz w:val="24"/>
          <w:szCs w:val="32"/>
        </w:rPr>
      </w:pPr>
      <w:r>
        <w:rPr>
          <w:rFonts w:ascii="Times New Roman" w:hAnsi="Times New Roman" w:cs="Times New Roman"/>
          <w:b/>
          <w:bCs/>
          <w:sz w:val="24"/>
          <w:szCs w:val="32"/>
        </w:rPr>
        <w:t>3. Geometric-Parameter Simulation Optimization of the ECP</w:t>
      </w:r>
    </w:p>
    <w:p w14:paraId="7302383C" w14:textId="77777777" w:rsidR="00CA3996" w:rsidRDefault="00000000">
      <w:pPr>
        <w:ind w:firstLineChars="200" w:firstLine="420"/>
        <w:rPr>
          <w:rFonts w:ascii="Times New Roman" w:hAnsi="Times New Roman" w:cs="Times New Roman"/>
        </w:rPr>
      </w:pPr>
      <w:r>
        <w:rPr>
          <w:rFonts w:ascii="Times New Roman" w:hAnsi="Times New Roman" w:cs="Times New Roman"/>
        </w:rPr>
        <w:t>We used finite-difference time-domain (FDTD) simulations to analyze SPP propagation and nanofocusing in the ECP and to optimize the geometric parameters</w:t>
      </w:r>
      <w:r>
        <w:rPr>
          <w:rFonts w:ascii="Times New Roman" w:hAnsi="Times New Roman" w:cs="Times New Roman"/>
        </w:rPr>
        <w:fldChar w:fldCharType="begin"/>
      </w:r>
      <w:r>
        <w:rPr>
          <w:rFonts w:ascii="Times New Roman" w:hAnsi="Times New Roman" w:cs="Times New Roman"/>
        </w:rPr>
        <w:instrText xml:space="preserve"> ADDIN ZOTERO_ITEM CSL_CITATION {"citationID":"55als4hB","properties":{"unsorted":false,"formattedCitation":"\\super 8\\nosupersub{}","plainCitation":"8","noteIndex":0},"citationItems":[{"id":775,"uris":["http://zotero.org/users/12038018/items/LR9BSGGA"],"itemData":{"id":775,"type":"article-journal","container-title":"Nature","DOI":"10.1038/s41586-022-05619-8","ISSN":"0028-0836, 1476-4687","issue":"7949","journalAbbreviation":"Nature","language":"en","page":"688-693","source":"DOI.org (Crossref)","title":"Wenyu Zhao, Shaoxin Wang, 2023_Observation of hydrodynamic plasmons and energy waves in graphene","volume":"614","author":[{"family":"Zhao","given":"Wenyu"},{"family":"Wang","given":"Shaoxin"},{"family":"Chen","given":"Sudi"},{"family":"Zhang","given":"Zuocheng"},{"family":"Watanabe","given":"Kenji"},{"family":"Taniguchi","given":"Takashi"},{"family":"Zettl","given":"Alex"},{"family":"Wang","given":"Feng"}],"issued":{"date-parts":[["2023",2,23]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8</w:t>
      </w:r>
      <w:r>
        <w:rPr>
          <w:rFonts w:ascii="Times New Roman" w:hAnsi="Times New Roman" w:cs="Times New Roman"/>
        </w:rPr>
        <w:fldChar w:fldCharType="end"/>
      </w:r>
      <w:r>
        <w:rPr>
          <w:rFonts w:ascii="Times New Roman" w:hAnsi="Times New Roman" w:cs="Times New Roman"/>
        </w:rPr>
        <w:t>. The platform-base radius was fixed at R=500 nm. In the initial simulations, the square-pyramid base length was set to L=300 nm and the pyramid height to H=500 nm, corresponding to L/H=3/5.</w:t>
      </w:r>
    </w:p>
    <w:p w14:paraId="37344837" w14:textId="77777777" w:rsidR="00CA3996" w:rsidRDefault="00CA3996">
      <w:pPr>
        <w:ind w:firstLineChars="200" w:firstLine="420"/>
        <w:rPr>
          <w:rFonts w:ascii="Times New Roman" w:hAnsi="Times New Roman" w:cs="Times New Roman"/>
        </w:rPr>
      </w:pPr>
    </w:p>
    <w:p w14:paraId="6BC3278A"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6FFCBD44" wp14:editId="4DF5C779">
            <wp:extent cx="4328160" cy="4140200"/>
            <wp:effectExtent l="0" t="0" r="2540" b="0"/>
            <wp:docPr id="15" name="图片 15" descr="1补充材料图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补充材料图_20"/>
                    <pic:cNvPicPr>
                      <a:picLocks noChangeAspect="1"/>
                    </pic:cNvPicPr>
                  </pic:nvPicPr>
                  <pic:blipFill>
                    <a:blip r:embed="rId12"/>
                    <a:stretch>
                      <a:fillRect/>
                    </a:stretch>
                  </pic:blipFill>
                  <pic:spPr>
                    <a:xfrm>
                      <a:off x="0" y="0"/>
                      <a:ext cx="4328160" cy="4140200"/>
                    </a:xfrm>
                    <a:prstGeom prst="rect">
                      <a:avLst/>
                    </a:prstGeom>
                  </pic:spPr>
                </pic:pic>
              </a:graphicData>
            </a:graphic>
          </wp:inline>
        </w:drawing>
      </w:r>
    </w:p>
    <w:p w14:paraId="38D0D6DD" w14:textId="77777777" w:rsidR="00CA3996" w:rsidRDefault="00000000">
      <w:pPr>
        <w:rPr>
          <w:rFonts w:ascii="Times New Roman" w:hAnsi="Times New Roman" w:cs="Times New Roman"/>
          <w:b/>
          <w:bCs/>
        </w:rPr>
      </w:pPr>
      <w:r>
        <w:rPr>
          <w:rFonts w:ascii="Times New Roman" w:hAnsi="Times New Roman" w:cs="Times New Roman"/>
          <w:b/>
          <w:bCs/>
        </w:rPr>
        <w:t>Fig. S9</w:t>
      </w:r>
      <w:r>
        <w:rPr>
          <w:rFonts w:ascii="Times New Roman" w:hAnsi="Times New Roman" w:cs="Times New Roman" w:hint="eastAsia"/>
          <w:b/>
          <w:bCs/>
        </w:rPr>
        <w:t>.</w:t>
      </w:r>
      <w:r>
        <w:rPr>
          <w:rFonts w:ascii="Times New Roman" w:hAnsi="Times New Roman" w:cs="Times New Roman"/>
          <w:b/>
          <w:bCs/>
        </w:rPr>
        <w:t xml:space="preserve"> Schematic diagram of the movement range of the vertices of the square pyramid base in the ECP. The upper</w:t>
      </w:r>
      <w:r>
        <w:rPr>
          <w:rFonts w:ascii="Times New Roman" w:hAnsi="Times New Roman" w:cs="Times New Roman" w:hint="eastAsia"/>
          <w:b/>
          <w:bCs/>
        </w:rPr>
        <w:t>-</w:t>
      </w:r>
      <w:r>
        <w:rPr>
          <w:rFonts w:ascii="Times New Roman" w:hAnsi="Times New Roman" w:cs="Times New Roman"/>
          <w:b/>
          <w:bCs/>
        </w:rPr>
        <w:t>right vertex of the square pyramid base is located on the circumference of the platform base.</w:t>
      </w:r>
    </w:p>
    <w:p w14:paraId="3ECFAE55" w14:textId="77777777" w:rsidR="00CA3996" w:rsidRDefault="00CA3996">
      <w:pPr>
        <w:rPr>
          <w:rFonts w:ascii="Times New Roman" w:hAnsi="Times New Roman" w:cs="Times New Roman"/>
          <w:b/>
          <w:bCs/>
        </w:rPr>
      </w:pPr>
    </w:p>
    <w:p w14:paraId="405FC8BF" w14:textId="77777777" w:rsidR="00CA3996" w:rsidRDefault="00000000">
      <w:pPr>
        <w:ind w:firstLineChars="200" w:firstLine="420"/>
        <w:rPr>
          <w:rFonts w:ascii="Times New Roman" w:hAnsi="Times New Roman" w:cs="Times New Roman"/>
        </w:rPr>
      </w:pPr>
      <w:r>
        <w:rPr>
          <w:rFonts w:ascii="Times New Roman" w:hAnsi="Times New Roman" w:cs="Times New Roman"/>
        </w:rPr>
        <w:t>Fig. S9 illustrates the accessible region of the square-pyramid vertices. The center of the square-pyramid base is denoted by (Δx,Δy). When the square pyramid reaches its limiting position, its upper-right vertex lies on the circumference of the platform base. Because the base is square, the coordinates of this vertex are (Δx+L/2,</w:t>
      </w:r>
      <w:r>
        <w:rPr>
          <w:rFonts w:ascii="Times New Roman" w:hAnsi="Times New Roman" w:cs="Times New Roman" w:hint="eastAsia"/>
        </w:rPr>
        <w:t xml:space="preserve"> </w:t>
      </w:r>
      <w:r>
        <w:rPr>
          <w:rFonts w:ascii="Times New Roman" w:hAnsi="Times New Roman" w:cs="Times New Roman"/>
        </w:rPr>
        <w:t>Δy+L/2), which satisfies</w:t>
      </w:r>
      <w:r>
        <w:rPr>
          <w:rFonts w:ascii="Times New Roman" w:hAnsi="Times New Roman" w:cs="Times New Roman" w:hint="eastAsia"/>
        </w:rPr>
        <w:t xml:space="preserve"> </w:t>
      </w:r>
      <m:oMath>
        <m:sSup>
          <m:sSupPr>
            <m:ctrlPr>
              <w:rPr>
                <w:rFonts w:ascii="Cambria Math" w:hAnsi="Cambria Math" w:cs="Times New Roman"/>
                <w:i/>
              </w:rPr>
            </m:ctrlPr>
          </m:sSupPr>
          <m:e>
            <m:r>
              <m:rPr>
                <m:nor/>
              </m:rPr>
              <w:rPr>
                <w:rFonts w:ascii="Times New Roman" w:hAnsi="Times New Roman" w:cs="Times New Roman"/>
              </w:rPr>
              <m:t>(Δ</m:t>
            </m:r>
            <m:r>
              <m:rPr>
                <m:nor/>
              </m:rPr>
              <w:rPr>
                <w:rFonts w:ascii="Times New Roman" w:hAnsi="Times New Roman" w:cs="Times New Roman"/>
                <w:i/>
              </w:rPr>
              <m:t>x</m:t>
            </m:r>
            <m:r>
              <m:rPr>
                <m:nor/>
              </m:rPr>
              <w:rPr>
                <w:rFonts w:ascii="Times New Roman" w:hAnsi="Times New Roman" w:cs="Times New Roman"/>
              </w:rPr>
              <m:t>+</m:t>
            </m:r>
            <m:f>
              <m:fPr>
                <m:ctrlPr>
                  <w:rPr>
                    <w:rFonts w:ascii="Cambria Math" w:hAnsi="Cambria Math" w:cs="Times New Roman"/>
                    <w:i/>
                  </w:rPr>
                </m:ctrlPr>
              </m:fPr>
              <m:num>
                <m:r>
                  <m:rPr>
                    <m:nor/>
                  </m:rPr>
                  <w:rPr>
                    <w:rFonts w:ascii="Times New Roman" w:hAnsi="Times New Roman" w:cs="Times New Roman"/>
                    <w:i/>
                  </w:rPr>
                  <m:t>L</m:t>
                </m:r>
              </m:num>
              <m:den>
                <m:r>
                  <m:rPr>
                    <m:nor/>
                  </m:rPr>
                  <w:rPr>
                    <w:rFonts w:ascii="Times New Roman" w:hAnsi="Times New Roman" w:cs="Times New Roman"/>
                  </w:rPr>
                  <m:t>2</m:t>
                </m:r>
              </m:den>
            </m:f>
            <m:r>
              <m:rPr>
                <m:nor/>
              </m:rPr>
              <w:rPr>
                <w:rFonts w:ascii="Times New Roman" w:hAnsi="Times New Roman" w:cs="Times New Roman"/>
              </w:rPr>
              <m:t>)</m:t>
            </m:r>
          </m:e>
          <m:sup>
            <m:r>
              <m:rPr>
                <m:nor/>
              </m:rPr>
              <w:rPr>
                <w:rFonts w:ascii="Times New Roman" w:hAnsi="Times New Roman" w:cs="Times New Roman"/>
              </w:rPr>
              <m:t>2</m:t>
            </m:r>
          </m:sup>
        </m:sSup>
        <m:r>
          <m:rPr>
            <m:nor/>
          </m:rPr>
          <w:rPr>
            <w:rFonts w:ascii="Cambria Math" w:hAnsi="Times New Roman" w:cs="Times New Roman" w:hint="eastAsia"/>
          </w:rPr>
          <m:t xml:space="preserve"> </m:t>
        </m:r>
        <m:r>
          <m:rPr>
            <m:nor/>
          </m:rPr>
          <w:rPr>
            <w:rFonts w:ascii="Times New Roman" w:hAnsi="Times New Roman" w:cs="Times New Roman"/>
          </w:rPr>
          <m:t>+</m:t>
        </m:r>
        <m:r>
          <m:rPr>
            <m:nor/>
          </m:rPr>
          <w:rPr>
            <w:rFonts w:ascii="Cambria Math" w:hAnsi="Times New Roman" w:cs="Times New Roman" w:hint="eastAsia"/>
          </w:rPr>
          <m:t xml:space="preserve"> </m:t>
        </m:r>
        <m:sSup>
          <m:sSupPr>
            <m:ctrlPr>
              <w:rPr>
                <w:rFonts w:ascii="Cambria Math" w:hAnsi="Cambria Math" w:cs="Times New Roman"/>
                <w:i/>
              </w:rPr>
            </m:ctrlPr>
          </m:sSupPr>
          <m:e>
            <m:r>
              <m:rPr>
                <m:nor/>
              </m:rPr>
              <w:rPr>
                <w:rFonts w:ascii="Times New Roman" w:hAnsi="Times New Roman" w:cs="Times New Roman"/>
              </w:rPr>
              <m:t>(Δ</m:t>
            </m:r>
            <m:r>
              <m:rPr>
                <m:nor/>
              </m:rPr>
              <w:rPr>
                <w:rFonts w:ascii="Times New Roman" w:hAnsi="Times New Roman" w:cs="Times New Roman"/>
                <w:i/>
              </w:rPr>
              <m:t>y</m:t>
            </m:r>
            <m:r>
              <m:rPr>
                <m:nor/>
              </m:rPr>
              <w:rPr>
                <w:rFonts w:ascii="Times New Roman" w:hAnsi="Times New Roman" w:cs="Times New Roman"/>
              </w:rPr>
              <m:t>+</m:t>
            </m:r>
            <m:f>
              <m:fPr>
                <m:ctrlPr>
                  <w:rPr>
                    <w:rFonts w:ascii="Cambria Math" w:hAnsi="Cambria Math" w:cs="Times New Roman"/>
                    <w:i/>
                  </w:rPr>
                </m:ctrlPr>
              </m:fPr>
              <m:num>
                <m:r>
                  <m:rPr>
                    <m:nor/>
                  </m:rPr>
                  <w:rPr>
                    <w:rFonts w:ascii="Times New Roman" w:hAnsi="Times New Roman" w:cs="Times New Roman"/>
                    <w:i/>
                  </w:rPr>
                  <m:t>L</m:t>
                </m:r>
              </m:num>
              <m:den>
                <m:r>
                  <m:rPr>
                    <m:nor/>
                  </m:rPr>
                  <w:rPr>
                    <w:rFonts w:ascii="Times New Roman" w:hAnsi="Times New Roman" w:cs="Times New Roman"/>
                  </w:rPr>
                  <m:t>2</m:t>
                </m:r>
              </m:den>
            </m:f>
            <m:r>
              <m:rPr>
                <m:nor/>
              </m:rPr>
              <w:rPr>
                <w:rFonts w:ascii="Times New Roman" w:hAnsi="Times New Roman" w:cs="Times New Roman"/>
              </w:rPr>
              <m:t>)</m:t>
            </m:r>
          </m:e>
          <m:sup>
            <m:r>
              <m:rPr>
                <m:nor/>
              </m:rPr>
              <w:rPr>
                <w:rFonts w:ascii="Times New Roman" w:hAnsi="Times New Roman" w:cs="Times New Roman"/>
              </w:rPr>
              <m:t>2</m:t>
            </m:r>
          </m:sup>
        </m:sSup>
        <m:r>
          <m:rPr>
            <m:nor/>
          </m:rPr>
          <w:rPr>
            <w:rFonts w:ascii="Cambria Math" w:hAnsi="Times New Roman" w:cs="Times New Roman" w:hint="eastAsia"/>
          </w:rPr>
          <m:t xml:space="preserve"> = </m:t>
        </m:r>
        <m:sSup>
          <m:sSupPr>
            <m:ctrlPr>
              <w:rPr>
                <w:rFonts w:ascii="Cambria Math" w:hAnsi="Cambria Math" w:cs="Times New Roman"/>
                <w:i/>
              </w:rPr>
            </m:ctrlPr>
          </m:sSupPr>
          <m:e>
            <m:r>
              <m:rPr>
                <m:nor/>
              </m:rPr>
              <w:rPr>
                <w:rFonts w:ascii="Times New Roman" w:hAnsi="Times New Roman" w:cs="Times New Roman"/>
                <w:i/>
              </w:rPr>
              <m:t>R</m:t>
            </m:r>
          </m:e>
          <m:sup>
            <m:r>
              <m:rPr>
                <m:nor/>
              </m:rPr>
              <w:rPr>
                <w:rFonts w:ascii="Times New Roman" w:hAnsi="Times New Roman" w:cs="Times New Roman"/>
              </w:rPr>
              <m:t>2</m:t>
            </m:r>
          </m:sup>
        </m:sSup>
      </m:oMath>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Therefore, the offsets must satisfy the constraint condition:</w:t>
      </w:r>
    </w:p>
    <w:p w14:paraId="35A5275F" w14:textId="77777777" w:rsidR="00CA3996" w:rsidRDefault="00000000">
      <w:pPr>
        <w:jc w:val="right"/>
        <w:rPr>
          <w:rFonts w:ascii="Times New Roman" w:hAnsi="Times New Roman" w:cs="Times New Roman"/>
        </w:rPr>
      </w:pPr>
      <m:oMath>
        <m:sSup>
          <m:sSupPr>
            <m:ctrlPr>
              <w:rPr>
                <w:rFonts w:ascii="Cambria Math" w:hAnsi="Cambria Math" w:cs="Times New Roman"/>
                <w:i/>
              </w:rPr>
            </m:ctrlPr>
          </m:sSupPr>
          <m:e>
            <m:r>
              <m:rPr>
                <m:nor/>
              </m:rPr>
              <w:rPr>
                <w:rFonts w:ascii="Times New Roman" w:hAnsi="Times New Roman" w:cs="Times New Roman"/>
              </w:rPr>
              <m:t>(Δ</m:t>
            </m:r>
            <m:r>
              <m:rPr>
                <m:nor/>
              </m:rPr>
              <w:rPr>
                <w:rFonts w:ascii="Times New Roman" w:hAnsi="Times New Roman" w:cs="Times New Roman"/>
                <w:i/>
              </w:rPr>
              <m:t>x</m:t>
            </m:r>
            <m:r>
              <m:rPr>
                <m:nor/>
              </m:rPr>
              <w:rPr>
                <w:rFonts w:ascii="Times New Roman" w:hAnsi="Times New Roman" w:cs="Times New Roman"/>
              </w:rPr>
              <m:t>+</m:t>
            </m:r>
            <m:f>
              <m:fPr>
                <m:ctrlPr>
                  <w:rPr>
                    <w:rFonts w:ascii="Cambria Math" w:hAnsi="Cambria Math" w:cs="Times New Roman"/>
                    <w:i/>
                  </w:rPr>
                </m:ctrlPr>
              </m:fPr>
              <m:num>
                <m:r>
                  <m:rPr>
                    <m:nor/>
                  </m:rPr>
                  <w:rPr>
                    <w:rFonts w:ascii="Times New Roman" w:hAnsi="Times New Roman" w:cs="Times New Roman"/>
                    <w:i/>
                  </w:rPr>
                  <m:t>L</m:t>
                </m:r>
              </m:num>
              <m:den>
                <m:r>
                  <m:rPr>
                    <m:nor/>
                  </m:rPr>
                  <w:rPr>
                    <w:rFonts w:ascii="Times New Roman" w:hAnsi="Times New Roman" w:cs="Times New Roman"/>
                  </w:rPr>
                  <m:t>2</m:t>
                </m:r>
              </m:den>
            </m:f>
            <m:r>
              <m:rPr>
                <m:nor/>
              </m:rPr>
              <w:rPr>
                <w:rFonts w:ascii="Times New Roman" w:hAnsi="Times New Roman" w:cs="Times New Roman"/>
              </w:rPr>
              <m:t>)</m:t>
            </m:r>
          </m:e>
          <m:sup>
            <m:r>
              <m:rPr>
                <m:nor/>
              </m:rPr>
              <w:rPr>
                <w:rFonts w:ascii="Times New Roman" w:hAnsi="Times New Roman" w:cs="Times New Roman"/>
              </w:rPr>
              <m:t>2</m:t>
            </m:r>
          </m:sup>
        </m:sSup>
        <m:r>
          <m:rPr>
            <m:nor/>
          </m:rPr>
          <w:rPr>
            <w:rFonts w:ascii="Cambria Math" w:hAnsi="Times New Roman" w:cs="Times New Roman" w:hint="eastAsia"/>
          </w:rPr>
          <m:t xml:space="preserve"> </m:t>
        </m:r>
        <m:r>
          <m:rPr>
            <m:nor/>
          </m:rPr>
          <w:rPr>
            <w:rFonts w:ascii="Times New Roman" w:hAnsi="Times New Roman" w:cs="Times New Roman"/>
          </w:rPr>
          <m:t>+</m:t>
        </m:r>
        <m:r>
          <m:rPr>
            <m:nor/>
          </m:rPr>
          <w:rPr>
            <w:rFonts w:ascii="Cambria Math" w:hAnsi="Times New Roman" w:cs="Times New Roman" w:hint="eastAsia"/>
          </w:rPr>
          <m:t xml:space="preserve"> </m:t>
        </m:r>
        <m:sSup>
          <m:sSupPr>
            <m:ctrlPr>
              <w:rPr>
                <w:rFonts w:ascii="Cambria Math" w:hAnsi="Cambria Math" w:cs="Times New Roman"/>
                <w:i/>
              </w:rPr>
            </m:ctrlPr>
          </m:sSupPr>
          <m:e>
            <m:r>
              <m:rPr>
                <m:nor/>
              </m:rPr>
              <w:rPr>
                <w:rFonts w:ascii="Times New Roman" w:hAnsi="Times New Roman" w:cs="Times New Roman"/>
              </w:rPr>
              <m:t>(Δ</m:t>
            </m:r>
            <m:r>
              <m:rPr>
                <m:nor/>
              </m:rPr>
              <w:rPr>
                <w:rFonts w:ascii="Times New Roman" w:hAnsi="Times New Roman" w:cs="Times New Roman"/>
                <w:i/>
              </w:rPr>
              <m:t>y</m:t>
            </m:r>
            <m:r>
              <m:rPr>
                <m:nor/>
              </m:rPr>
              <w:rPr>
                <w:rFonts w:ascii="Times New Roman" w:hAnsi="Times New Roman" w:cs="Times New Roman"/>
              </w:rPr>
              <m:t>+</m:t>
            </m:r>
            <m:f>
              <m:fPr>
                <m:ctrlPr>
                  <w:rPr>
                    <w:rFonts w:ascii="Cambria Math" w:hAnsi="Cambria Math" w:cs="Times New Roman"/>
                    <w:i/>
                  </w:rPr>
                </m:ctrlPr>
              </m:fPr>
              <m:num>
                <m:r>
                  <m:rPr>
                    <m:nor/>
                  </m:rPr>
                  <w:rPr>
                    <w:rFonts w:ascii="Times New Roman" w:hAnsi="Times New Roman" w:cs="Times New Roman"/>
                    <w:i/>
                  </w:rPr>
                  <m:t>L</m:t>
                </m:r>
              </m:num>
              <m:den>
                <m:r>
                  <m:rPr>
                    <m:nor/>
                  </m:rPr>
                  <w:rPr>
                    <w:rFonts w:ascii="Times New Roman" w:hAnsi="Times New Roman" w:cs="Times New Roman"/>
                  </w:rPr>
                  <m:t>2</m:t>
                </m:r>
              </m:den>
            </m:f>
            <m:r>
              <m:rPr>
                <m:nor/>
              </m:rPr>
              <w:rPr>
                <w:rFonts w:ascii="Times New Roman" w:hAnsi="Times New Roman" w:cs="Times New Roman"/>
              </w:rPr>
              <m:t>)</m:t>
            </m:r>
          </m:e>
          <m:sup>
            <m:r>
              <m:rPr>
                <m:nor/>
              </m:rPr>
              <w:rPr>
                <w:rFonts w:ascii="Times New Roman" w:hAnsi="Times New Roman" w:cs="Times New Roman"/>
              </w:rPr>
              <m:t>2</m:t>
            </m:r>
          </m:sup>
        </m:sSup>
        <m:r>
          <m:rPr>
            <m:nor/>
          </m:rPr>
          <w:rPr>
            <w:rFonts w:ascii="Cambria Math" w:hAnsi="Times New Roman" w:cs="Times New Roman" w:hint="eastAsia"/>
          </w:rPr>
          <m:t xml:space="preserve"> </m:t>
        </m:r>
        <m:r>
          <m:rPr>
            <m:nor/>
          </m:rPr>
          <w:rPr>
            <w:rFonts w:ascii="Times New Roman" w:hAnsi="Times New Roman" w:cs="Times New Roman"/>
          </w:rPr>
          <m:t>≤</m:t>
        </m:r>
        <m:r>
          <m:rPr>
            <m:nor/>
          </m:rPr>
          <w:rPr>
            <w:rFonts w:ascii="Cambria Math" w:hAnsi="Times New Roman" w:cs="Times New Roman" w:hint="eastAsia"/>
          </w:rPr>
          <m:t xml:space="preserve"> </m:t>
        </m:r>
        <m:sSup>
          <m:sSupPr>
            <m:ctrlPr>
              <w:rPr>
                <w:rFonts w:ascii="Cambria Math" w:hAnsi="Cambria Math" w:cs="Times New Roman"/>
                <w:i/>
              </w:rPr>
            </m:ctrlPr>
          </m:sSupPr>
          <m:e>
            <m:r>
              <m:rPr>
                <m:nor/>
              </m:rPr>
              <w:rPr>
                <w:rFonts w:ascii="Times New Roman" w:hAnsi="Times New Roman" w:cs="Times New Roman"/>
                <w:i/>
              </w:rPr>
              <m:t>R</m:t>
            </m:r>
          </m:e>
          <m:sup>
            <m:r>
              <m:rPr>
                <m:nor/>
              </m:rPr>
              <w:rPr>
                <w:rFonts w:ascii="Times New Roman" w:hAnsi="Times New Roman" w:cs="Times New Roman"/>
              </w:rPr>
              <m:t>2</m:t>
            </m:r>
          </m:sup>
        </m:sSup>
      </m:oMath>
      <w:r>
        <w:rPr>
          <w:rFonts w:ascii="Times New Roman" w:hAnsi="Times New Roman" w:cs="Times New Roman" w:hint="eastAsia"/>
        </w:rPr>
        <w:t xml:space="preserve">                                   (S1)</w:t>
      </w:r>
    </w:p>
    <w:p w14:paraId="1BE43524" w14:textId="77777777" w:rsidR="00CA3996" w:rsidRDefault="00000000">
      <w:pPr>
        <w:ind w:firstLineChars="200" w:firstLine="420"/>
        <w:rPr>
          <w:rFonts w:ascii="Times New Roman" w:hAnsi="Times New Roman" w:cs="Times New Roman"/>
        </w:rPr>
      </w:pPr>
      <w:r>
        <w:rPr>
          <w:rFonts w:ascii="Times New Roman" w:hAnsi="Times New Roman" w:cs="Times New Roman" w:hint="eastAsia"/>
        </w:rPr>
        <w:lastRenderedPageBreak/>
        <w:t xml:space="preserve">In the initial simulations, L=300 nm and R=500 nm, so Eq. (S1) becomes </w:t>
      </w:r>
      <m:oMath>
        <m:sSup>
          <m:sSupPr>
            <m:ctrlPr>
              <w:rPr>
                <w:rFonts w:ascii="Cambria Math" w:hAnsi="Cambria Math" w:cs="Times New Roman"/>
                <w:i/>
              </w:rPr>
            </m:ctrlPr>
          </m:sSupPr>
          <m:e>
            <m:r>
              <m:rPr>
                <m:nor/>
              </m:rPr>
              <w:rPr>
                <w:rFonts w:ascii="Times New Roman" w:hAnsi="Times New Roman" w:cs="Times New Roman"/>
              </w:rPr>
              <m:t>(Δ</m:t>
            </m:r>
            <m:r>
              <m:rPr>
                <m:nor/>
              </m:rPr>
              <w:rPr>
                <w:rFonts w:ascii="Times New Roman" w:hAnsi="Times New Roman" w:cs="Times New Roman"/>
                <w:i/>
              </w:rPr>
              <m:t>x</m:t>
            </m:r>
            <m:r>
              <m:rPr>
                <m:nor/>
              </m:rPr>
              <w:rPr>
                <w:rFonts w:ascii="Times New Roman" w:hAnsi="Times New Roman" w:cs="Times New Roman"/>
              </w:rPr>
              <m:t>+</m:t>
            </m:r>
            <m:r>
              <m:rPr>
                <m:nor/>
              </m:rPr>
              <w:rPr>
                <w:rFonts w:ascii="Cambria Math" w:hAnsi="Cambria Math" w:cs="Times New Roman" w:hint="eastAsia"/>
                <w:i/>
              </w:rPr>
              <m:t>150</m:t>
            </m:r>
            <m:r>
              <m:rPr>
                <m:nor/>
              </m:rPr>
              <w:rPr>
                <w:rFonts w:ascii="Times New Roman" w:hAnsi="Times New Roman" w:cs="Times New Roman"/>
              </w:rPr>
              <m:t>)</m:t>
            </m:r>
          </m:e>
          <m:sup>
            <m:r>
              <m:rPr>
                <m:nor/>
              </m:rPr>
              <w:rPr>
                <w:rFonts w:ascii="Times New Roman" w:hAnsi="Times New Roman" w:cs="Times New Roman"/>
              </w:rPr>
              <m:t>2</m:t>
            </m:r>
          </m:sup>
        </m:sSup>
        <m:r>
          <m:rPr>
            <m:nor/>
          </m:rPr>
          <w:rPr>
            <w:rFonts w:ascii="Cambria Math" w:hAnsi="Times New Roman" w:cs="Times New Roman" w:hint="eastAsia"/>
          </w:rPr>
          <m:t xml:space="preserve"> </m:t>
        </m:r>
        <m:r>
          <m:rPr>
            <m:nor/>
          </m:rPr>
          <w:rPr>
            <w:rFonts w:ascii="Times New Roman" w:hAnsi="Times New Roman" w:cs="Times New Roman"/>
          </w:rPr>
          <m:t>+</m:t>
        </m:r>
        <m:r>
          <m:rPr>
            <m:nor/>
          </m:rPr>
          <w:rPr>
            <w:rFonts w:ascii="Cambria Math" w:hAnsi="Times New Roman" w:cs="Times New Roman" w:hint="eastAsia"/>
          </w:rPr>
          <m:t xml:space="preserve"> </m:t>
        </m:r>
        <m:sSup>
          <m:sSupPr>
            <m:ctrlPr>
              <w:rPr>
                <w:rFonts w:ascii="Cambria Math" w:hAnsi="Cambria Math" w:cs="Times New Roman"/>
                <w:i/>
              </w:rPr>
            </m:ctrlPr>
          </m:sSupPr>
          <m:e>
            <m:r>
              <m:rPr>
                <m:nor/>
              </m:rPr>
              <w:rPr>
                <w:rFonts w:ascii="Times New Roman" w:hAnsi="Times New Roman" w:cs="Times New Roman"/>
              </w:rPr>
              <m:t>(Δ</m:t>
            </m:r>
            <m:r>
              <m:rPr>
                <m:nor/>
              </m:rPr>
              <w:rPr>
                <w:rFonts w:ascii="Times New Roman" w:hAnsi="Times New Roman" w:cs="Times New Roman"/>
                <w:i/>
              </w:rPr>
              <m:t>y</m:t>
            </m:r>
            <m:r>
              <m:rPr>
                <m:nor/>
              </m:rPr>
              <w:rPr>
                <w:rFonts w:ascii="Times New Roman" w:hAnsi="Times New Roman" w:cs="Times New Roman"/>
              </w:rPr>
              <m:t>+</m:t>
            </m:r>
            <m:r>
              <m:rPr>
                <m:nor/>
              </m:rPr>
              <w:rPr>
                <w:rFonts w:ascii="Cambria Math" w:hAnsi="Cambria Math" w:cs="Times New Roman" w:hint="eastAsia"/>
                <w:i/>
              </w:rPr>
              <m:t>150</m:t>
            </m:r>
            <m:r>
              <m:rPr>
                <m:nor/>
              </m:rPr>
              <w:rPr>
                <w:rFonts w:ascii="Times New Roman" w:hAnsi="Times New Roman" w:cs="Times New Roman"/>
              </w:rPr>
              <m:t>)</m:t>
            </m:r>
          </m:e>
          <m:sup>
            <m:r>
              <m:rPr>
                <m:nor/>
              </m:rPr>
              <w:rPr>
                <w:rFonts w:ascii="Times New Roman" w:hAnsi="Times New Roman" w:cs="Times New Roman"/>
              </w:rPr>
              <m:t>2</m:t>
            </m:r>
          </m:sup>
        </m:sSup>
        <m:r>
          <m:rPr>
            <m:nor/>
          </m:rPr>
          <w:rPr>
            <w:rFonts w:ascii="Cambria Math" w:hAnsi="Times New Roman" w:cs="Times New Roman" w:hint="eastAsia"/>
          </w:rPr>
          <m:t xml:space="preserve"> </m:t>
        </m:r>
        <m:r>
          <m:rPr>
            <m:nor/>
          </m:rPr>
          <w:rPr>
            <w:rFonts w:ascii="Times New Roman" w:hAnsi="Times New Roman" w:cs="Times New Roman"/>
          </w:rPr>
          <m:t>≤</m:t>
        </m:r>
        <m:r>
          <m:rPr>
            <m:nor/>
          </m:rPr>
          <w:rPr>
            <w:rFonts w:ascii="Cambria Math" w:hAnsi="Times New Roman" w:cs="Times New Roman" w:hint="eastAsia"/>
          </w:rPr>
          <m:t xml:space="preserve"> </m:t>
        </m:r>
        <m:r>
          <w:rPr>
            <w:rFonts w:ascii="Cambria Math" w:hAnsi="Cambria Math" w:cs="Times New Roman"/>
          </w:rPr>
          <m:t>250000</m:t>
        </m:r>
      </m:oMath>
      <w:r>
        <w:rPr>
          <w:rFonts w:ascii="Times New Roman" w:hAnsi="Times New Roman" w:cs="Times New Roman" w:hint="eastAsia"/>
        </w:rPr>
        <w:t xml:space="preserve">. </w:t>
      </w:r>
      <w:r>
        <w:rPr>
          <w:rFonts w:ascii="Times New Roman" w:hAnsi="Times New Roman" w:cs="Times New Roman"/>
        </w:rPr>
        <w:t>Because only the first quadrant was considered, both Δx and Δy are non-negative. The admissible ranges of Δx and Δy along the 21 characteristic rays in Fig. 1d are listed in Tables S10 and S11.</w:t>
      </w:r>
    </w:p>
    <w:p w14:paraId="1CD76073" w14:textId="77777777" w:rsidR="00CA3996" w:rsidRDefault="00CA3996">
      <w:pPr>
        <w:rPr>
          <w:rFonts w:ascii="Times New Roman" w:hAnsi="Times New Roman" w:cs="Times New Roman"/>
        </w:rPr>
      </w:pPr>
    </w:p>
    <w:p w14:paraId="0D9BE25D" w14:textId="77777777" w:rsidR="00CA3996" w:rsidRDefault="00000000">
      <w:pPr>
        <w:jc w:val="center"/>
        <w:rPr>
          <w:rFonts w:ascii="Times New Roman" w:hAnsi="Times New Roman" w:cs="Times New Roman"/>
          <w:b/>
          <w:bCs/>
        </w:rPr>
      </w:pPr>
      <w:r>
        <w:rPr>
          <w:rFonts w:ascii="Times New Roman" w:hAnsi="Times New Roman" w:cs="Times New Roman"/>
          <w:b/>
          <w:bCs/>
        </w:rPr>
        <w:t>Table S10. Range of Δx when Δx is the independent variable</w:t>
      </w:r>
    </w:p>
    <w:tbl>
      <w:tblPr>
        <w:tblStyle w:val="a9"/>
        <w:tblW w:w="0" w:type="auto"/>
        <w:tblLayout w:type="fixed"/>
        <w:tblLook w:val="04A0" w:firstRow="1" w:lastRow="0" w:firstColumn="1" w:lastColumn="0" w:noHBand="0" w:noVBand="1"/>
      </w:tblPr>
      <w:tblGrid>
        <w:gridCol w:w="1284"/>
        <w:gridCol w:w="1206"/>
        <w:gridCol w:w="1206"/>
        <w:gridCol w:w="1206"/>
        <w:gridCol w:w="1206"/>
        <w:gridCol w:w="1206"/>
        <w:gridCol w:w="1208"/>
      </w:tblGrid>
      <w:tr w:rsidR="00CA3996" w14:paraId="2BA17B28" w14:textId="77777777">
        <w:tc>
          <w:tcPr>
            <w:tcW w:w="1284" w:type="dxa"/>
            <w:tcBorders>
              <w:top w:val="single" w:sz="12" w:space="0" w:color="000000"/>
              <w:left w:val="nil"/>
              <w:bottom w:val="single" w:sz="4" w:space="0" w:color="000000"/>
              <w:right w:val="nil"/>
              <w:tl2br w:val="nil"/>
            </w:tcBorders>
            <w:shd w:val="clear" w:color="auto" w:fill="FFFFFF"/>
          </w:tcPr>
          <w:p w14:paraId="3047C14F" w14:textId="77777777" w:rsidR="00CA3996" w:rsidRDefault="00000000">
            <w:pPr>
              <w:jc w:val="center"/>
              <w:rPr>
                <w:rFonts w:ascii="Times New Roman" w:hAnsi="Times New Roman" w:cs="Times New Roman"/>
                <w:b/>
                <w:bCs/>
                <w:i/>
                <w:iCs/>
                <w:szCs w:val="21"/>
              </w:rPr>
            </w:pPr>
            <w:r>
              <w:rPr>
                <w:rFonts w:ascii="Times New Roman" w:hAnsi="Times New Roman" w:cs="Times New Roman"/>
                <w:b/>
                <w:bCs/>
                <w:i/>
                <w:iCs/>
                <w:szCs w:val="21"/>
              </w:rPr>
              <w:t>Equation</w:t>
            </w:r>
          </w:p>
        </w:tc>
        <w:tc>
          <w:tcPr>
            <w:tcW w:w="1206" w:type="dxa"/>
            <w:tcBorders>
              <w:top w:val="single" w:sz="12" w:space="0" w:color="000000"/>
              <w:left w:val="nil"/>
              <w:bottom w:val="single" w:sz="4" w:space="0" w:color="000000"/>
              <w:right w:val="nil"/>
            </w:tcBorders>
            <w:shd w:val="clear" w:color="auto" w:fill="FFFFFF"/>
            <w:vAlign w:val="center"/>
          </w:tcPr>
          <w:p w14:paraId="4BCFBE07" w14:textId="77777777" w:rsidR="00CA3996" w:rsidRDefault="00000000">
            <w:pPr>
              <w:jc w:val="center"/>
              <w:rPr>
                <w:rFonts w:ascii="Times New Roman" w:hAnsi="Times New Roman" w:cs="Times New Roman"/>
                <w:szCs w:val="21"/>
              </w:rPr>
            </w:pPr>
            <w:r>
              <w:rPr>
                <w:rFonts w:ascii="Times New Roman" w:hAnsi="Times New Roman" w:cs="Times New Roman"/>
                <w:szCs w:val="21"/>
              </w:rPr>
              <w:t>y = 0</w:t>
            </w:r>
          </w:p>
        </w:tc>
        <w:tc>
          <w:tcPr>
            <w:tcW w:w="1206" w:type="dxa"/>
            <w:tcBorders>
              <w:top w:val="single" w:sz="12" w:space="0" w:color="000000"/>
              <w:left w:val="nil"/>
              <w:bottom w:val="single" w:sz="4" w:space="0" w:color="000000"/>
              <w:right w:val="nil"/>
            </w:tcBorders>
            <w:shd w:val="clear" w:color="auto" w:fill="FFFFFF"/>
            <w:vAlign w:val="center"/>
          </w:tcPr>
          <w:p w14:paraId="7BB9F392"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x/10</w:t>
            </w:r>
          </w:p>
        </w:tc>
        <w:tc>
          <w:tcPr>
            <w:tcW w:w="1206" w:type="dxa"/>
            <w:tcBorders>
              <w:top w:val="single" w:sz="12" w:space="0" w:color="000000"/>
              <w:left w:val="nil"/>
              <w:bottom w:val="single" w:sz="4" w:space="0" w:color="000000"/>
              <w:right w:val="nil"/>
            </w:tcBorders>
            <w:shd w:val="clear" w:color="auto" w:fill="FFFFFF"/>
            <w:vAlign w:val="center"/>
          </w:tcPr>
          <w:p w14:paraId="27C230DC"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2x/10</w:t>
            </w:r>
          </w:p>
        </w:tc>
        <w:tc>
          <w:tcPr>
            <w:tcW w:w="1206" w:type="dxa"/>
            <w:tcBorders>
              <w:top w:val="single" w:sz="12" w:space="0" w:color="000000"/>
              <w:left w:val="nil"/>
              <w:bottom w:val="single" w:sz="4" w:space="0" w:color="000000"/>
              <w:right w:val="nil"/>
            </w:tcBorders>
            <w:shd w:val="clear" w:color="auto" w:fill="FFFFFF"/>
            <w:vAlign w:val="center"/>
          </w:tcPr>
          <w:p w14:paraId="5FD93579"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3x/10</w:t>
            </w:r>
          </w:p>
        </w:tc>
        <w:tc>
          <w:tcPr>
            <w:tcW w:w="1206" w:type="dxa"/>
            <w:tcBorders>
              <w:top w:val="single" w:sz="12" w:space="0" w:color="000000"/>
              <w:left w:val="nil"/>
              <w:bottom w:val="single" w:sz="4" w:space="0" w:color="000000"/>
              <w:right w:val="nil"/>
            </w:tcBorders>
            <w:shd w:val="clear" w:color="auto" w:fill="FFFFFF"/>
            <w:vAlign w:val="center"/>
          </w:tcPr>
          <w:p w14:paraId="2AE53CB9"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4x/10</w:t>
            </w:r>
          </w:p>
        </w:tc>
        <w:tc>
          <w:tcPr>
            <w:tcW w:w="1208" w:type="dxa"/>
            <w:tcBorders>
              <w:top w:val="single" w:sz="12" w:space="0" w:color="000000"/>
              <w:left w:val="nil"/>
              <w:bottom w:val="single" w:sz="4" w:space="0" w:color="000000"/>
              <w:right w:val="nil"/>
            </w:tcBorders>
            <w:shd w:val="clear" w:color="auto" w:fill="FFFFFF"/>
            <w:vAlign w:val="center"/>
          </w:tcPr>
          <w:p w14:paraId="37574FE9"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5x/10</w:t>
            </w:r>
          </w:p>
        </w:tc>
      </w:tr>
      <w:tr w:rsidR="00CA3996" w14:paraId="6AB8E2AF" w14:textId="77777777">
        <w:tc>
          <w:tcPr>
            <w:tcW w:w="1284" w:type="dxa"/>
            <w:tcBorders>
              <w:top w:val="single" w:sz="4" w:space="0" w:color="000000"/>
              <w:left w:val="nil"/>
              <w:bottom w:val="single" w:sz="12" w:space="0" w:color="000000"/>
              <w:right w:val="nil"/>
            </w:tcBorders>
            <w:shd w:val="clear" w:color="auto" w:fill="FFFFFF"/>
          </w:tcPr>
          <w:p w14:paraId="6CFE7B61" w14:textId="77777777" w:rsidR="00CA3996" w:rsidRDefault="00000000">
            <w:pPr>
              <w:jc w:val="center"/>
              <w:rPr>
                <w:rFonts w:ascii="Times New Roman" w:hAnsi="Times New Roman" w:cs="Times New Roman"/>
                <w:b/>
                <w:bCs/>
                <w:i/>
                <w:iCs/>
                <w:szCs w:val="21"/>
              </w:rPr>
            </w:pPr>
            <w:r>
              <w:rPr>
                <w:rFonts w:ascii="Times New Roman" w:hAnsi="Times New Roman" w:cs="Times New Roman"/>
                <w:b/>
                <w:bCs/>
                <w:i/>
                <w:iCs/>
                <w:szCs w:val="21"/>
              </w:rPr>
              <w:t>Δx value range</w:t>
            </w:r>
          </w:p>
        </w:tc>
        <w:tc>
          <w:tcPr>
            <w:tcW w:w="1206" w:type="dxa"/>
            <w:tcBorders>
              <w:top w:val="single" w:sz="4" w:space="0" w:color="000000"/>
              <w:left w:val="nil"/>
              <w:bottom w:val="single" w:sz="12" w:space="0" w:color="000000"/>
              <w:right w:val="nil"/>
            </w:tcBorders>
            <w:shd w:val="clear" w:color="auto" w:fill="FFFFFF"/>
            <w:vAlign w:val="center"/>
          </w:tcPr>
          <w:p w14:paraId="79D02DDF" w14:textId="77777777" w:rsidR="00CA3996" w:rsidRDefault="00000000">
            <w:pPr>
              <w:jc w:val="center"/>
              <w:rPr>
                <w:rFonts w:ascii="Times New Roman" w:hAnsi="Times New Roman" w:cs="Times New Roman"/>
                <w:szCs w:val="21"/>
              </w:rPr>
            </w:pPr>
            <w:r>
              <w:rPr>
                <w:rFonts w:ascii="Times New Roman" w:hAnsi="Times New Roman" w:cs="Times New Roman"/>
                <w:szCs w:val="21"/>
              </w:rPr>
              <w:t>Δx ≤ 327.0</w:t>
            </w:r>
          </w:p>
        </w:tc>
        <w:tc>
          <w:tcPr>
            <w:tcW w:w="1206" w:type="dxa"/>
            <w:tcBorders>
              <w:top w:val="single" w:sz="4" w:space="0" w:color="000000"/>
              <w:left w:val="nil"/>
              <w:bottom w:val="single" w:sz="12" w:space="0" w:color="000000"/>
              <w:right w:val="nil"/>
            </w:tcBorders>
            <w:shd w:val="clear" w:color="auto" w:fill="FFFFFF"/>
            <w:vAlign w:val="center"/>
          </w:tcPr>
          <w:p w14:paraId="427CCB1C"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 ≤ 315.9</w:t>
            </w:r>
          </w:p>
        </w:tc>
        <w:tc>
          <w:tcPr>
            <w:tcW w:w="1206" w:type="dxa"/>
            <w:tcBorders>
              <w:top w:val="single" w:sz="4" w:space="0" w:color="000000"/>
              <w:left w:val="nil"/>
              <w:bottom w:val="single" w:sz="12" w:space="0" w:color="000000"/>
              <w:right w:val="nil"/>
            </w:tcBorders>
            <w:shd w:val="clear" w:color="auto" w:fill="FFFFFF"/>
            <w:vAlign w:val="center"/>
          </w:tcPr>
          <w:p w14:paraId="4888B7D4"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w:t>
            </w:r>
            <w:r>
              <w:rPr>
                <w:rFonts w:ascii="Times New Roman" w:hAnsi="Times New Roman" w:cs="Times New Roman" w:hint="eastAsia"/>
                <w:color w:val="000000"/>
                <w:szCs w:val="21"/>
              </w:rPr>
              <w:t xml:space="preserve"> </w:t>
            </w:r>
            <w:r>
              <w:rPr>
                <w:rFonts w:ascii="Times New Roman" w:hAnsi="Times New Roman" w:cs="Times New Roman"/>
                <w:color w:val="000000"/>
                <w:szCs w:val="21"/>
              </w:rPr>
              <w:t>≤</w:t>
            </w:r>
            <w:r>
              <w:rPr>
                <w:rFonts w:ascii="Times New Roman" w:hAnsi="Times New Roman" w:cs="Times New Roman" w:hint="eastAsia"/>
                <w:color w:val="000000"/>
                <w:szCs w:val="21"/>
              </w:rPr>
              <w:t xml:space="preserve"> </w:t>
            </w:r>
            <w:r>
              <w:rPr>
                <w:rFonts w:ascii="Times New Roman" w:hAnsi="Times New Roman" w:cs="Times New Roman"/>
                <w:color w:val="000000"/>
                <w:szCs w:val="21"/>
              </w:rPr>
              <w:t>303.5</w:t>
            </w:r>
          </w:p>
        </w:tc>
        <w:tc>
          <w:tcPr>
            <w:tcW w:w="1206" w:type="dxa"/>
            <w:tcBorders>
              <w:top w:val="single" w:sz="4" w:space="0" w:color="000000"/>
              <w:left w:val="nil"/>
              <w:bottom w:val="single" w:sz="12" w:space="0" w:color="000000"/>
              <w:right w:val="nil"/>
            </w:tcBorders>
            <w:shd w:val="clear" w:color="auto" w:fill="FFFFFF"/>
            <w:vAlign w:val="center"/>
          </w:tcPr>
          <w:p w14:paraId="400124DF"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w:t>
            </w:r>
            <w:r>
              <w:rPr>
                <w:rFonts w:ascii="Times New Roman" w:hAnsi="Times New Roman" w:cs="Times New Roman" w:hint="eastAsia"/>
                <w:color w:val="000000"/>
                <w:szCs w:val="21"/>
              </w:rPr>
              <w:t xml:space="preserve"> </w:t>
            </w:r>
            <w:r>
              <w:rPr>
                <w:rFonts w:ascii="Times New Roman" w:hAnsi="Times New Roman" w:cs="Times New Roman"/>
                <w:color w:val="000000"/>
                <w:szCs w:val="21"/>
              </w:rPr>
              <w:t>≤</w:t>
            </w:r>
            <w:r>
              <w:rPr>
                <w:rFonts w:ascii="Times New Roman" w:hAnsi="Times New Roman" w:cs="Times New Roman" w:hint="eastAsia"/>
                <w:color w:val="000000"/>
                <w:szCs w:val="21"/>
              </w:rPr>
              <w:t xml:space="preserve"> </w:t>
            </w:r>
            <w:r>
              <w:rPr>
                <w:rFonts w:ascii="Times New Roman" w:hAnsi="Times New Roman" w:cs="Times New Roman"/>
                <w:color w:val="000000"/>
                <w:szCs w:val="21"/>
              </w:rPr>
              <w:t>290.2</w:t>
            </w:r>
          </w:p>
        </w:tc>
        <w:tc>
          <w:tcPr>
            <w:tcW w:w="1206" w:type="dxa"/>
            <w:tcBorders>
              <w:top w:val="single" w:sz="4" w:space="0" w:color="000000"/>
              <w:left w:val="nil"/>
              <w:bottom w:val="single" w:sz="12" w:space="0" w:color="000000"/>
              <w:right w:val="nil"/>
            </w:tcBorders>
            <w:shd w:val="clear" w:color="auto" w:fill="FFFFFF"/>
            <w:vAlign w:val="center"/>
          </w:tcPr>
          <w:p w14:paraId="06F04539"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w:t>
            </w:r>
            <w:r>
              <w:rPr>
                <w:rFonts w:ascii="Times New Roman" w:hAnsi="Times New Roman" w:cs="Times New Roman" w:hint="eastAsia"/>
                <w:color w:val="000000"/>
                <w:szCs w:val="21"/>
              </w:rPr>
              <w:t xml:space="preserve"> </w:t>
            </w:r>
            <w:r>
              <w:rPr>
                <w:rFonts w:ascii="Times New Roman" w:hAnsi="Times New Roman" w:cs="Times New Roman"/>
                <w:color w:val="000000"/>
                <w:szCs w:val="21"/>
              </w:rPr>
              <w:t>≤</w:t>
            </w:r>
            <w:r>
              <w:rPr>
                <w:rFonts w:ascii="Times New Roman" w:hAnsi="Times New Roman" w:cs="Times New Roman" w:hint="eastAsia"/>
                <w:color w:val="000000"/>
                <w:szCs w:val="21"/>
              </w:rPr>
              <w:t xml:space="preserve"> </w:t>
            </w:r>
            <w:r>
              <w:rPr>
                <w:rFonts w:ascii="Times New Roman" w:hAnsi="Times New Roman" w:cs="Times New Roman"/>
                <w:color w:val="000000"/>
                <w:szCs w:val="21"/>
              </w:rPr>
              <w:t>276.7</w:t>
            </w:r>
          </w:p>
        </w:tc>
        <w:tc>
          <w:tcPr>
            <w:tcW w:w="1208" w:type="dxa"/>
            <w:tcBorders>
              <w:top w:val="single" w:sz="4" w:space="0" w:color="000000"/>
              <w:left w:val="nil"/>
              <w:bottom w:val="single" w:sz="12" w:space="0" w:color="000000"/>
              <w:right w:val="nil"/>
            </w:tcBorders>
            <w:shd w:val="clear" w:color="auto" w:fill="FFFFFF"/>
            <w:vAlign w:val="center"/>
          </w:tcPr>
          <w:p w14:paraId="4A9C56C0"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w:t>
            </w:r>
            <w:r>
              <w:rPr>
                <w:rFonts w:ascii="Times New Roman" w:hAnsi="Times New Roman" w:cs="Times New Roman" w:hint="eastAsia"/>
                <w:color w:val="000000"/>
                <w:szCs w:val="21"/>
              </w:rPr>
              <w:t xml:space="preserve"> </w:t>
            </w:r>
            <w:r>
              <w:rPr>
                <w:rFonts w:ascii="Times New Roman" w:hAnsi="Times New Roman" w:cs="Times New Roman"/>
                <w:color w:val="000000"/>
                <w:szCs w:val="21"/>
              </w:rPr>
              <w:t>≤</w:t>
            </w:r>
            <w:r>
              <w:rPr>
                <w:rFonts w:ascii="Times New Roman" w:hAnsi="Times New Roman" w:cs="Times New Roman" w:hint="eastAsia"/>
                <w:color w:val="000000"/>
                <w:szCs w:val="21"/>
              </w:rPr>
              <w:t xml:space="preserve"> </w:t>
            </w:r>
            <w:r>
              <w:rPr>
                <w:rFonts w:ascii="Times New Roman" w:hAnsi="Times New Roman" w:cs="Times New Roman"/>
                <w:color w:val="000000"/>
                <w:szCs w:val="21"/>
              </w:rPr>
              <w:t>263.2</w:t>
            </w:r>
          </w:p>
        </w:tc>
      </w:tr>
      <w:tr w:rsidR="00CA3996" w14:paraId="006C4C75" w14:textId="77777777">
        <w:trPr>
          <w:gridAfter w:val="1"/>
          <w:wAfter w:w="1208" w:type="dxa"/>
        </w:trPr>
        <w:tc>
          <w:tcPr>
            <w:tcW w:w="1284" w:type="dxa"/>
            <w:tcBorders>
              <w:top w:val="single" w:sz="12" w:space="0" w:color="000000"/>
              <w:left w:val="nil"/>
              <w:bottom w:val="single" w:sz="4" w:space="0" w:color="000000"/>
              <w:right w:val="nil"/>
              <w:tl2br w:val="nil"/>
            </w:tcBorders>
            <w:shd w:val="clear" w:color="auto" w:fill="FFFFFF"/>
          </w:tcPr>
          <w:p w14:paraId="51DD32BB" w14:textId="77777777" w:rsidR="00CA3996" w:rsidRDefault="00000000">
            <w:pPr>
              <w:jc w:val="center"/>
              <w:rPr>
                <w:rFonts w:ascii="Times New Roman" w:hAnsi="Times New Roman" w:cs="Times New Roman"/>
                <w:b/>
                <w:bCs/>
                <w:i/>
                <w:iCs/>
                <w:color w:val="000000"/>
                <w:szCs w:val="21"/>
              </w:rPr>
            </w:pPr>
            <w:r>
              <w:rPr>
                <w:rFonts w:ascii="Times New Roman" w:hAnsi="Times New Roman" w:cs="Times New Roman"/>
                <w:b/>
                <w:bCs/>
                <w:i/>
                <w:iCs/>
                <w:szCs w:val="21"/>
              </w:rPr>
              <w:t>Equation</w:t>
            </w:r>
          </w:p>
        </w:tc>
        <w:tc>
          <w:tcPr>
            <w:tcW w:w="1206" w:type="dxa"/>
            <w:tcBorders>
              <w:top w:val="single" w:sz="12" w:space="0" w:color="000000"/>
              <w:left w:val="nil"/>
              <w:bottom w:val="single" w:sz="4" w:space="0" w:color="000000"/>
              <w:right w:val="nil"/>
            </w:tcBorders>
            <w:shd w:val="clear" w:color="auto" w:fill="FFFFFF"/>
            <w:vAlign w:val="center"/>
          </w:tcPr>
          <w:p w14:paraId="2DF02400"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6x/10</w:t>
            </w:r>
          </w:p>
        </w:tc>
        <w:tc>
          <w:tcPr>
            <w:tcW w:w="1206" w:type="dxa"/>
            <w:tcBorders>
              <w:top w:val="single" w:sz="12" w:space="0" w:color="000000"/>
              <w:left w:val="nil"/>
              <w:bottom w:val="single" w:sz="4" w:space="0" w:color="000000"/>
              <w:right w:val="nil"/>
            </w:tcBorders>
            <w:shd w:val="clear" w:color="auto" w:fill="FFFFFF"/>
            <w:vAlign w:val="center"/>
          </w:tcPr>
          <w:p w14:paraId="70A1D556"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7x/10</w:t>
            </w:r>
          </w:p>
        </w:tc>
        <w:tc>
          <w:tcPr>
            <w:tcW w:w="1206" w:type="dxa"/>
            <w:tcBorders>
              <w:top w:val="single" w:sz="12" w:space="0" w:color="000000"/>
              <w:left w:val="nil"/>
              <w:bottom w:val="single" w:sz="4" w:space="0" w:color="000000"/>
              <w:right w:val="nil"/>
            </w:tcBorders>
            <w:shd w:val="clear" w:color="auto" w:fill="FFFFFF"/>
            <w:vAlign w:val="center"/>
          </w:tcPr>
          <w:p w14:paraId="0B822D12"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8x/10</w:t>
            </w:r>
          </w:p>
        </w:tc>
        <w:tc>
          <w:tcPr>
            <w:tcW w:w="1206" w:type="dxa"/>
            <w:tcBorders>
              <w:top w:val="single" w:sz="12" w:space="0" w:color="000000"/>
              <w:left w:val="nil"/>
              <w:bottom w:val="single" w:sz="4" w:space="0" w:color="000000"/>
              <w:right w:val="nil"/>
            </w:tcBorders>
            <w:shd w:val="clear" w:color="auto" w:fill="FFFFFF"/>
            <w:vAlign w:val="center"/>
          </w:tcPr>
          <w:p w14:paraId="1C07C383"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9x/10</w:t>
            </w:r>
          </w:p>
        </w:tc>
        <w:tc>
          <w:tcPr>
            <w:tcW w:w="1206" w:type="dxa"/>
            <w:tcBorders>
              <w:top w:val="single" w:sz="12" w:space="0" w:color="000000"/>
              <w:left w:val="nil"/>
              <w:bottom w:val="single" w:sz="4" w:space="0" w:color="000000"/>
              <w:right w:val="nil"/>
            </w:tcBorders>
            <w:shd w:val="clear" w:color="auto" w:fill="FFFFFF"/>
            <w:vAlign w:val="center"/>
          </w:tcPr>
          <w:p w14:paraId="70E4465D" w14:textId="77777777" w:rsidR="00CA3996" w:rsidRDefault="00000000">
            <w:pPr>
              <w:jc w:val="center"/>
              <w:rPr>
                <w:rFonts w:ascii="Times New Roman" w:hAnsi="Times New Roman" w:cs="Times New Roman"/>
                <w:color w:val="000000"/>
                <w:szCs w:val="21"/>
              </w:rPr>
            </w:pPr>
            <w:r>
              <w:rPr>
                <w:rFonts w:ascii="Times New Roman" w:hAnsi="Times New Roman" w:cs="Times New Roman"/>
                <w:color w:val="000000"/>
                <w:szCs w:val="21"/>
              </w:rPr>
              <w:t>y = x</w:t>
            </w:r>
          </w:p>
        </w:tc>
      </w:tr>
      <w:tr w:rsidR="00CA3996" w14:paraId="2C3C1D82" w14:textId="77777777">
        <w:trPr>
          <w:gridAfter w:val="1"/>
          <w:wAfter w:w="1208" w:type="dxa"/>
        </w:trPr>
        <w:tc>
          <w:tcPr>
            <w:tcW w:w="1284" w:type="dxa"/>
            <w:tcBorders>
              <w:top w:val="single" w:sz="4" w:space="0" w:color="000000"/>
              <w:left w:val="nil"/>
              <w:bottom w:val="single" w:sz="12" w:space="0" w:color="000000"/>
              <w:right w:val="nil"/>
            </w:tcBorders>
            <w:shd w:val="clear" w:color="auto" w:fill="FFFFFF"/>
          </w:tcPr>
          <w:p w14:paraId="55BDE2EB" w14:textId="77777777" w:rsidR="00CA3996" w:rsidRDefault="00000000">
            <w:pPr>
              <w:jc w:val="center"/>
              <w:rPr>
                <w:rFonts w:ascii="Times New Roman" w:hAnsi="Times New Roman" w:cs="Times New Roman"/>
                <w:b/>
                <w:bCs/>
                <w:i/>
                <w:iCs/>
                <w:color w:val="000000"/>
                <w:szCs w:val="21"/>
              </w:rPr>
            </w:pPr>
            <w:r>
              <w:rPr>
                <w:rFonts w:ascii="Times New Roman" w:hAnsi="Times New Roman" w:cs="Times New Roman"/>
                <w:b/>
                <w:bCs/>
                <w:i/>
                <w:iCs/>
                <w:szCs w:val="21"/>
              </w:rPr>
              <w:t>Δx value range</w:t>
            </w:r>
          </w:p>
        </w:tc>
        <w:tc>
          <w:tcPr>
            <w:tcW w:w="1206" w:type="dxa"/>
            <w:tcBorders>
              <w:top w:val="single" w:sz="4" w:space="0" w:color="000000"/>
              <w:left w:val="nil"/>
              <w:bottom w:val="single" w:sz="12" w:space="0" w:color="000000"/>
              <w:right w:val="nil"/>
            </w:tcBorders>
            <w:shd w:val="clear" w:color="auto" w:fill="FFFFFF"/>
            <w:vAlign w:val="center"/>
          </w:tcPr>
          <w:p w14:paraId="70B736F9"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 ≤ 250.0</w:t>
            </w:r>
          </w:p>
        </w:tc>
        <w:tc>
          <w:tcPr>
            <w:tcW w:w="1206" w:type="dxa"/>
            <w:tcBorders>
              <w:top w:val="single" w:sz="4" w:space="0" w:color="000000"/>
              <w:left w:val="nil"/>
              <w:bottom w:val="single" w:sz="12" w:space="0" w:color="000000"/>
              <w:right w:val="nil"/>
            </w:tcBorders>
            <w:shd w:val="clear" w:color="auto" w:fill="FFFFFF"/>
            <w:vAlign w:val="center"/>
          </w:tcPr>
          <w:p w14:paraId="3FC4DF73"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 ≤ 237.3</w:t>
            </w:r>
          </w:p>
        </w:tc>
        <w:tc>
          <w:tcPr>
            <w:tcW w:w="1206" w:type="dxa"/>
            <w:tcBorders>
              <w:top w:val="single" w:sz="4" w:space="0" w:color="000000"/>
              <w:left w:val="nil"/>
              <w:bottom w:val="single" w:sz="12" w:space="0" w:color="000000"/>
              <w:right w:val="nil"/>
            </w:tcBorders>
            <w:shd w:val="clear" w:color="auto" w:fill="FFFFFF"/>
            <w:vAlign w:val="center"/>
          </w:tcPr>
          <w:p w14:paraId="7EBD1551"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 ≤ 225.4</w:t>
            </w:r>
          </w:p>
        </w:tc>
        <w:tc>
          <w:tcPr>
            <w:tcW w:w="1206" w:type="dxa"/>
            <w:tcBorders>
              <w:top w:val="single" w:sz="4" w:space="0" w:color="000000"/>
              <w:left w:val="nil"/>
              <w:bottom w:val="single" w:sz="12" w:space="0" w:color="000000"/>
              <w:right w:val="nil"/>
            </w:tcBorders>
            <w:shd w:val="clear" w:color="auto" w:fill="FFFFFF"/>
            <w:vAlign w:val="center"/>
          </w:tcPr>
          <w:p w14:paraId="36E7BCC3"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 ≤ 214.1</w:t>
            </w:r>
          </w:p>
        </w:tc>
        <w:tc>
          <w:tcPr>
            <w:tcW w:w="1206" w:type="dxa"/>
            <w:tcBorders>
              <w:top w:val="single" w:sz="4" w:space="0" w:color="000000"/>
              <w:left w:val="nil"/>
              <w:bottom w:val="single" w:sz="12" w:space="0" w:color="000000"/>
              <w:right w:val="nil"/>
            </w:tcBorders>
            <w:shd w:val="clear" w:color="auto" w:fill="FFFFFF"/>
            <w:vAlign w:val="center"/>
          </w:tcPr>
          <w:p w14:paraId="734153E3" w14:textId="77777777" w:rsidR="00CA3996" w:rsidRDefault="00000000">
            <w:pPr>
              <w:jc w:val="center"/>
              <w:rPr>
                <w:rFonts w:ascii="Times New Roman" w:hAnsi="Times New Roman" w:cs="Times New Roman"/>
                <w:color w:val="000000"/>
                <w:szCs w:val="21"/>
              </w:rPr>
            </w:pPr>
            <w:r>
              <w:rPr>
                <w:rFonts w:ascii="Times New Roman" w:hAnsi="Times New Roman" w:cs="Times New Roman"/>
                <w:szCs w:val="21"/>
              </w:rPr>
              <w:t>Δ</w:t>
            </w:r>
            <w:r>
              <w:rPr>
                <w:rFonts w:ascii="Times New Roman" w:hAnsi="Times New Roman" w:cs="Times New Roman"/>
                <w:color w:val="000000"/>
                <w:szCs w:val="21"/>
              </w:rPr>
              <w:t>x ≤ 203.6</w:t>
            </w:r>
          </w:p>
        </w:tc>
      </w:tr>
    </w:tbl>
    <w:p w14:paraId="1944C963" w14:textId="77777777" w:rsidR="00CA3996" w:rsidRDefault="00CA3996">
      <w:pPr>
        <w:jc w:val="center"/>
        <w:rPr>
          <w:rFonts w:ascii="Times New Roman" w:hAnsi="Times New Roman" w:cs="Times New Roman"/>
          <w:b/>
          <w:bCs/>
        </w:rPr>
      </w:pPr>
    </w:p>
    <w:p w14:paraId="7EEEA78A" w14:textId="77777777" w:rsidR="00CA3996" w:rsidRDefault="00000000">
      <w:pPr>
        <w:jc w:val="center"/>
        <w:rPr>
          <w:rFonts w:ascii="Times New Roman" w:hAnsi="Times New Roman" w:cs="Times New Roman"/>
          <w:b/>
          <w:bCs/>
        </w:rPr>
      </w:pPr>
      <w:r>
        <w:rPr>
          <w:rFonts w:ascii="Times New Roman" w:hAnsi="Times New Roman" w:cs="Times New Roman"/>
          <w:b/>
          <w:bCs/>
        </w:rPr>
        <w:t>Table S11. Range of Δy when Δy is the independent variable</w:t>
      </w:r>
    </w:p>
    <w:tbl>
      <w:tblPr>
        <w:tblStyle w:val="a9"/>
        <w:tblW w:w="0" w:type="auto"/>
        <w:tblLayout w:type="fixed"/>
        <w:tblLook w:val="04A0" w:firstRow="1" w:lastRow="0" w:firstColumn="1" w:lastColumn="0" w:noHBand="0" w:noVBand="1"/>
      </w:tblPr>
      <w:tblGrid>
        <w:gridCol w:w="1284"/>
        <w:gridCol w:w="1206"/>
        <w:gridCol w:w="1206"/>
        <w:gridCol w:w="1206"/>
        <w:gridCol w:w="1206"/>
        <w:gridCol w:w="1206"/>
        <w:gridCol w:w="1208"/>
      </w:tblGrid>
      <w:tr w:rsidR="00CA3996" w14:paraId="77BCFBB2" w14:textId="77777777">
        <w:tc>
          <w:tcPr>
            <w:tcW w:w="1284" w:type="dxa"/>
            <w:tcBorders>
              <w:top w:val="single" w:sz="12" w:space="0" w:color="000000"/>
              <w:left w:val="nil"/>
              <w:bottom w:val="single" w:sz="4" w:space="0" w:color="000000"/>
              <w:right w:val="nil"/>
              <w:tl2br w:val="nil"/>
            </w:tcBorders>
            <w:shd w:val="clear" w:color="auto" w:fill="FFFFFF"/>
          </w:tcPr>
          <w:p w14:paraId="249E4B67" w14:textId="77777777" w:rsidR="00CA3996" w:rsidRDefault="00000000">
            <w:pPr>
              <w:jc w:val="center"/>
              <w:rPr>
                <w:rFonts w:ascii="Times New Roman" w:hAnsi="Times New Roman" w:cs="Times New Roman"/>
                <w:b/>
                <w:bCs/>
                <w:i/>
                <w:iCs/>
                <w:szCs w:val="21"/>
              </w:rPr>
            </w:pPr>
            <w:r>
              <w:rPr>
                <w:rFonts w:ascii="Times New Roman" w:hAnsi="Times New Roman" w:cs="Times New Roman"/>
                <w:b/>
                <w:bCs/>
                <w:i/>
                <w:iCs/>
                <w:szCs w:val="21"/>
              </w:rPr>
              <w:t>Equation</w:t>
            </w:r>
          </w:p>
        </w:tc>
        <w:tc>
          <w:tcPr>
            <w:tcW w:w="1206" w:type="dxa"/>
            <w:tcBorders>
              <w:top w:val="single" w:sz="12" w:space="0" w:color="000000"/>
              <w:left w:val="nil"/>
              <w:bottom w:val="single" w:sz="4" w:space="0" w:color="000000"/>
              <w:right w:val="nil"/>
            </w:tcBorders>
            <w:shd w:val="clear" w:color="auto" w:fill="FFFFFF"/>
            <w:vAlign w:val="center"/>
          </w:tcPr>
          <w:p w14:paraId="67BF620B" w14:textId="77777777" w:rsidR="00CA3996" w:rsidRDefault="00000000">
            <w:pPr>
              <w:jc w:val="center"/>
              <w:rPr>
                <w:rFonts w:ascii="Times New Roman" w:hAnsi="Times New Roman" w:cs="Times New Roman"/>
                <w:szCs w:val="21"/>
              </w:rPr>
            </w:pPr>
            <w:r>
              <w:rPr>
                <w:rFonts w:ascii="Times New Roman" w:hAnsi="Times New Roman" w:cs="Times New Roman"/>
                <w:szCs w:val="21"/>
              </w:rPr>
              <w:t>x = 9y/10</w:t>
            </w:r>
          </w:p>
        </w:tc>
        <w:tc>
          <w:tcPr>
            <w:tcW w:w="1206" w:type="dxa"/>
            <w:tcBorders>
              <w:top w:val="single" w:sz="12" w:space="0" w:color="000000"/>
              <w:left w:val="nil"/>
              <w:bottom w:val="single" w:sz="4" w:space="0" w:color="000000"/>
              <w:right w:val="nil"/>
            </w:tcBorders>
            <w:shd w:val="clear" w:color="auto" w:fill="FFFFFF"/>
            <w:vAlign w:val="center"/>
          </w:tcPr>
          <w:p w14:paraId="34211F9B" w14:textId="77777777" w:rsidR="00CA3996" w:rsidRDefault="00000000">
            <w:pPr>
              <w:jc w:val="center"/>
              <w:rPr>
                <w:rFonts w:ascii="Times New Roman" w:hAnsi="Times New Roman" w:cs="Times New Roman"/>
                <w:szCs w:val="21"/>
              </w:rPr>
            </w:pPr>
            <w:r>
              <w:rPr>
                <w:rFonts w:ascii="Times New Roman" w:hAnsi="Times New Roman" w:cs="Times New Roman"/>
                <w:szCs w:val="21"/>
              </w:rPr>
              <w:t>x = 8y/10</w:t>
            </w:r>
          </w:p>
        </w:tc>
        <w:tc>
          <w:tcPr>
            <w:tcW w:w="1206" w:type="dxa"/>
            <w:tcBorders>
              <w:top w:val="single" w:sz="12" w:space="0" w:color="000000"/>
              <w:left w:val="nil"/>
              <w:bottom w:val="single" w:sz="4" w:space="0" w:color="000000"/>
              <w:right w:val="nil"/>
            </w:tcBorders>
            <w:shd w:val="clear" w:color="auto" w:fill="FFFFFF"/>
            <w:vAlign w:val="center"/>
          </w:tcPr>
          <w:p w14:paraId="75C64E74" w14:textId="77777777" w:rsidR="00CA3996" w:rsidRDefault="00000000">
            <w:pPr>
              <w:jc w:val="center"/>
              <w:rPr>
                <w:rFonts w:ascii="Times New Roman" w:hAnsi="Times New Roman" w:cs="Times New Roman"/>
                <w:szCs w:val="21"/>
              </w:rPr>
            </w:pPr>
            <w:r>
              <w:rPr>
                <w:rFonts w:ascii="Times New Roman" w:hAnsi="Times New Roman" w:cs="Times New Roman"/>
                <w:szCs w:val="21"/>
              </w:rPr>
              <w:t>x = 7y/10</w:t>
            </w:r>
          </w:p>
        </w:tc>
        <w:tc>
          <w:tcPr>
            <w:tcW w:w="1206" w:type="dxa"/>
            <w:tcBorders>
              <w:top w:val="single" w:sz="12" w:space="0" w:color="000000"/>
              <w:left w:val="nil"/>
              <w:bottom w:val="single" w:sz="4" w:space="0" w:color="000000"/>
              <w:right w:val="nil"/>
            </w:tcBorders>
            <w:shd w:val="clear" w:color="auto" w:fill="FFFFFF"/>
            <w:vAlign w:val="center"/>
          </w:tcPr>
          <w:p w14:paraId="53BCAD7A" w14:textId="77777777" w:rsidR="00CA3996" w:rsidRDefault="00000000">
            <w:pPr>
              <w:jc w:val="center"/>
              <w:rPr>
                <w:rFonts w:ascii="Times New Roman" w:hAnsi="Times New Roman" w:cs="Times New Roman"/>
                <w:szCs w:val="21"/>
              </w:rPr>
            </w:pPr>
            <w:r>
              <w:rPr>
                <w:rFonts w:ascii="Times New Roman" w:hAnsi="Times New Roman" w:cs="Times New Roman"/>
                <w:szCs w:val="21"/>
              </w:rPr>
              <w:t>x = 6y/10</w:t>
            </w:r>
          </w:p>
        </w:tc>
        <w:tc>
          <w:tcPr>
            <w:tcW w:w="1206" w:type="dxa"/>
            <w:tcBorders>
              <w:top w:val="single" w:sz="12" w:space="0" w:color="000000"/>
              <w:left w:val="nil"/>
              <w:bottom w:val="single" w:sz="4" w:space="0" w:color="000000"/>
              <w:right w:val="nil"/>
            </w:tcBorders>
            <w:shd w:val="clear" w:color="auto" w:fill="FFFFFF"/>
            <w:vAlign w:val="center"/>
          </w:tcPr>
          <w:p w14:paraId="08580C8C" w14:textId="77777777" w:rsidR="00CA3996" w:rsidRDefault="00000000">
            <w:pPr>
              <w:jc w:val="center"/>
              <w:rPr>
                <w:rFonts w:ascii="Times New Roman" w:hAnsi="Times New Roman" w:cs="Times New Roman"/>
                <w:szCs w:val="21"/>
              </w:rPr>
            </w:pPr>
            <w:r>
              <w:rPr>
                <w:rFonts w:ascii="Times New Roman" w:hAnsi="Times New Roman" w:cs="Times New Roman"/>
                <w:szCs w:val="21"/>
              </w:rPr>
              <w:t>x = 5y/10</w:t>
            </w:r>
          </w:p>
        </w:tc>
        <w:tc>
          <w:tcPr>
            <w:tcW w:w="1208" w:type="dxa"/>
            <w:tcBorders>
              <w:top w:val="single" w:sz="12" w:space="0" w:color="000000"/>
              <w:left w:val="nil"/>
              <w:bottom w:val="single" w:sz="4" w:space="0" w:color="000000"/>
              <w:right w:val="nil"/>
            </w:tcBorders>
            <w:shd w:val="clear" w:color="auto" w:fill="FFFFFF"/>
            <w:vAlign w:val="center"/>
          </w:tcPr>
          <w:p w14:paraId="34E60790" w14:textId="77777777" w:rsidR="00CA3996" w:rsidRDefault="00000000">
            <w:pPr>
              <w:jc w:val="center"/>
              <w:rPr>
                <w:rFonts w:ascii="Times New Roman" w:hAnsi="Times New Roman" w:cs="Times New Roman"/>
                <w:szCs w:val="21"/>
              </w:rPr>
            </w:pPr>
            <w:r>
              <w:rPr>
                <w:rFonts w:ascii="Times New Roman" w:hAnsi="Times New Roman" w:cs="Times New Roman"/>
                <w:szCs w:val="21"/>
              </w:rPr>
              <w:t>x = 4y/10</w:t>
            </w:r>
          </w:p>
        </w:tc>
      </w:tr>
      <w:tr w:rsidR="00CA3996" w14:paraId="454E3348" w14:textId="77777777">
        <w:tc>
          <w:tcPr>
            <w:tcW w:w="1284" w:type="dxa"/>
            <w:tcBorders>
              <w:top w:val="single" w:sz="4" w:space="0" w:color="000000"/>
              <w:left w:val="nil"/>
              <w:bottom w:val="single" w:sz="12" w:space="0" w:color="000000"/>
              <w:right w:val="nil"/>
            </w:tcBorders>
            <w:shd w:val="clear" w:color="auto" w:fill="FFFFFF"/>
          </w:tcPr>
          <w:p w14:paraId="2810DA72" w14:textId="77777777" w:rsidR="00CA3996" w:rsidRDefault="00000000">
            <w:pPr>
              <w:jc w:val="center"/>
              <w:rPr>
                <w:rFonts w:ascii="Times New Roman" w:hAnsi="Times New Roman" w:cs="Times New Roman"/>
                <w:b/>
                <w:bCs/>
                <w:i/>
                <w:iCs/>
                <w:szCs w:val="21"/>
              </w:rPr>
            </w:pPr>
            <w:r>
              <w:rPr>
                <w:rFonts w:ascii="Times New Roman" w:hAnsi="Times New Roman" w:cs="Times New Roman"/>
                <w:b/>
                <w:bCs/>
                <w:i/>
                <w:iCs/>
                <w:szCs w:val="21"/>
              </w:rPr>
              <w:t>Δy value range</w:t>
            </w:r>
          </w:p>
        </w:tc>
        <w:tc>
          <w:tcPr>
            <w:tcW w:w="1206" w:type="dxa"/>
            <w:tcBorders>
              <w:top w:val="single" w:sz="4" w:space="0" w:color="000000"/>
              <w:left w:val="nil"/>
              <w:bottom w:val="single" w:sz="12" w:space="0" w:color="000000"/>
              <w:right w:val="nil"/>
            </w:tcBorders>
            <w:shd w:val="clear" w:color="auto" w:fill="FFFFFF"/>
            <w:vAlign w:val="center"/>
          </w:tcPr>
          <w:p w14:paraId="299907C7"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214.1</w:t>
            </w:r>
          </w:p>
        </w:tc>
        <w:tc>
          <w:tcPr>
            <w:tcW w:w="1206" w:type="dxa"/>
            <w:tcBorders>
              <w:top w:val="single" w:sz="4" w:space="0" w:color="000000"/>
              <w:left w:val="nil"/>
              <w:bottom w:val="single" w:sz="12" w:space="0" w:color="000000"/>
              <w:right w:val="nil"/>
            </w:tcBorders>
            <w:shd w:val="clear" w:color="auto" w:fill="FFFFFF"/>
            <w:vAlign w:val="center"/>
          </w:tcPr>
          <w:p w14:paraId="6ECC3841"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225.4</w:t>
            </w:r>
          </w:p>
        </w:tc>
        <w:tc>
          <w:tcPr>
            <w:tcW w:w="1206" w:type="dxa"/>
            <w:tcBorders>
              <w:top w:val="single" w:sz="4" w:space="0" w:color="000000"/>
              <w:left w:val="nil"/>
              <w:bottom w:val="single" w:sz="12" w:space="0" w:color="000000"/>
              <w:right w:val="nil"/>
            </w:tcBorders>
            <w:shd w:val="clear" w:color="auto" w:fill="FFFFFF"/>
            <w:vAlign w:val="center"/>
          </w:tcPr>
          <w:p w14:paraId="2B970316"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237.3</w:t>
            </w:r>
          </w:p>
        </w:tc>
        <w:tc>
          <w:tcPr>
            <w:tcW w:w="1206" w:type="dxa"/>
            <w:tcBorders>
              <w:top w:val="single" w:sz="4" w:space="0" w:color="000000"/>
              <w:left w:val="nil"/>
              <w:bottom w:val="single" w:sz="12" w:space="0" w:color="000000"/>
              <w:right w:val="nil"/>
            </w:tcBorders>
            <w:shd w:val="clear" w:color="auto" w:fill="FFFFFF"/>
            <w:vAlign w:val="center"/>
          </w:tcPr>
          <w:p w14:paraId="5B5E2501"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250.0</w:t>
            </w:r>
          </w:p>
        </w:tc>
        <w:tc>
          <w:tcPr>
            <w:tcW w:w="1206" w:type="dxa"/>
            <w:tcBorders>
              <w:top w:val="single" w:sz="4" w:space="0" w:color="000000"/>
              <w:left w:val="nil"/>
              <w:bottom w:val="single" w:sz="12" w:space="0" w:color="000000"/>
              <w:right w:val="nil"/>
            </w:tcBorders>
            <w:shd w:val="clear" w:color="auto" w:fill="FFFFFF"/>
            <w:vAlign w:val="center"/>
          </w:tcPr>
          <w:p w14:paraId="45BE722D"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263.2</w:t>
            </w:r>
          </w:p>
        </w:tc>
        <w:tc>
          <w:tcPr>
            <w:tcW w:w="1208" w:type="dxa"/>
            <w:tcBorders>
              <w:top w:val="single" w:sz="4" w:space="0" w:color="000000"/>
              <w:left w:val="nil"/>
              <w:bottom w:val="single" w:sz="12" w:space="0" w:color="000000"/>
              <w:right w:val="nil"/>
            </w:tcBorders>
            <w:shd w:val="clear" w:color="auto" w:fill="FFFFFF"/>
            <w:vAlign w:val="center"/>
          </w:tcPr>
          <w:p w14:paraId="362F07E2"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276.7</w:t>
            </w:r>
          </w:p>
        </w:tc>
      </w:tr>
      <w:tr w:rsidR="00CA3996" w14:paraId="5E1F817F" w14:textId="77777777">
        <w:trPr>
          <w:gridAfter w:val="2"/>
          <w:wAfter w:w="2414" w:type="dxa"/>
        </w:trPr>
        <w:tc>
          <w:tcPr>
            <w:tcW w:w="1284" w:type="dxa"/>
            <w:tcBorders>
              <w:top w:val="single" w:sz="12" w:space="0" w:color="000000"/>
              <w:left w:val="nil"/>
              <w:bottom w:val="single" w:sz="4" w:space="0" w:color="000000"/>
              <w:right w:val="nil"/>
              <w:tl2br w:val="nil"/>
            </w:tcBorders>
            <w:shd w:val="clear" w:color="auto" w:fill="FFFFFF"/>
          </w:tcPr>
          <w:p w14:paraId="64122440" w14:textId="77777777" w:rsidR="00CA3996" w:rsidRDefault="00000000">
            <w:pPr>
              <w:jc w:val="center"/>
              <w:rPr>
                <w:rFonts w:ascii="Times New Roman" w:hAnsi="Times New Roman" w:cs="Times New Roman"/>
                <w:b/>
                <w:bCs/>
                <w:i/>
                <w:iCs/>
                <w:szCs w:val="21"/>
              </w:rPr>
            </w:pPr>
            <w:r>
              <w:rPr>
                <w:rFonts w:ascii="Times New Roman" w:hAnsi="Times New Roman" w:cs="Times New Roman"/>
                <w:b/>
                <w:bCs/>
                <w:i/>
                <w:iCs/>
                <w:szCs w:val="21"/>
              </w:rPr>
              <w:t>Equation</w:t>
            </w:r>
          </w:p>
        </w:tc>
        <w:tc>
          <w:tcPr>
            <w:tcW w:w="1206" w:type="dxa"/>
            <w:tcBorders>
              <w:top w:val="single" w:sz="12" w:space="0" w:color="000000"/>
              <w:left w:val="nil"/>
              <w:bottom w:val="single" w:sz="4" w:space="0" w:color="000000"/>
              <w:right w:val="nil"/>
            </w:tcBorders>
            <w:shd w:val="clear" w:color="auto" w:fill="FFFFFF"/>
            <w:vAlign w:val="center"/>
          </w:tcPr>
          <w:p w14:paraId="270595F3" w14:textId="77777777" w:rsidR="00CA3996" w:rsidRDefault="00000000">
            <w:pPr>
              <w:jc w:val="center"/>
              <w:rPr>
                <w:rFonts w:ascii="Times New Roman" w:hAnsi="Times New Roman" w:cs="Times New Roman"/>
                <w:szCs w:val="21"/>
              </w:rPr>
            </w:pPr>
            <w:r>
              <w:rPr>
                <w:rFonts w:ascii="Times New Roman" w:hAnsi="Times New Roman" w:cs="Times New Roman"/>
                <w:szCs w:val="21"/>
              </w:rPr>
              <w:t>x = 3y/10</w:t>
            </w:r>
          </w:p>
        </w:tc>
        <w:tc>
          <w:tcPr>
            <w:tcW w:w="1206" w:type="dxa"/>
            <w:tcBorders>
              <w:top w:val="single" w:sz="12" w:space="0" w:color="000000"/>
              <w:left w:val="nil"/>
              <w:bottom w:val="single" w:sz="4" w:space="0" w:color="000000"/>
              <w:right w:val="nil"/>
            </w:tcBorders>
            <w:shd w:val="clear" w:color="auto" w:fill="FFFFFF"/>
            <w:vAlign w:val="center"/>
          </w:tcPr>
          <w:p w14:paraId="1C5657EE" w14:textId="77777777" w:rsidR="00CA3996" w:rsidRDefault="00000000">
            <w:pPr>
              <w:jc w:val="center"/>
              <w:rPr>
                <w:rFonts w:ascii="Times New Roman" w:hAnsi="Times New Roman" w:cs="Times New Roman"/>
                <w:szCs w:val="21"/>
              </w:rPr>
            </w:pPr>
            <w:r>
              <w:rPr>
                <w:rFonts w:ascii="Times New Roman" w:hAnsi="Times New Roman" w:cs="Times New Roman"/>
                <w:szCs w:val="21"/>
              </w:rPr>
              <w:t>x = 2y/10</w:t>
            </w:r>
          </w:p>
        </w:tc>
        <w:tc>
          <w:tcPr>
            <w:tcW w:w="1206" w:type="dxa"/>
            <w:tcBorders>
              <w:top w:val="single" w:sz="12" w:space="0" w:color="000000"/>
              <w:left w:val="nil"/>
              <w:bottom w:val="single" w:sz="4" w:space="0" w:color="000000"/>
              <w:right w:val="nil"/>
            </w:tcBorders>
            <w:shd w:val="clear" w:color="auto" w:fill="FFFFFF"/>
            <w:vAlign w:val="center"/>
          </w:tcPr>
          <w:p w14:paraId="37781855" w14:textId="77777777" w:rsidR="00CA3996" w:rsidRDefault="00000000">
            <w:pPr>
              <w:jc w:val="center"/>
              <w:rPr>
                <w:rFonts w:ascii="Times New Roman" w:hAnsi="Times New Roman" w:cs="Times New Roman"/>
                <w:szCs w:val="21"/>
              </w:rPr>
            </w:pPr>
            <w:r>
              <w:rPr>
                <w:rFonts w:ascii="Times New Roman" w:hAnsi="Times New Roman" w:cs="Times New Roman"/>
                <w:szCs w:val="21"/>
              </w:rPr>
              <w:t>x = 1y/10</w:t>
            </w:r>
          </w:p>
        </w:tc>
        <w:tc>
          <w:tcPr>
            <w:tcW w:w="1206" w:type="dxa"/>
            <w:tcBorders>
              <w:top w:val="single" w:sz="12" w:space="0" w:color="000000"/>
              <w:left w:val="nil"/>
              <w:bottom w:val="single" w:sz="4" w:space="0" w:color="000000"/>
              <w:right w:val="nil"/>
            </w:tcBorders>
            <w:shd w:val="clear" w:color="auto" w:fill="FFFFFF"/>
            <w:vAlign w:val="center"/>
          </w:tcPr>
          <w:p w14:paraId="154A4AAD" w14:textId="77777777" w:rsidR="00CA3996" w:rsidRDefault="00000000">
            <w:pPr>
              <w:jc w:val="center"/>
              <w:rPr>
                <w:rFonts w:ascii="Times New Roman" w:hAnsi="Times New Roman" w:cs="Times New Roman"/>
                <w:szCs w:val="21"/>
              </w:rPr>
            </w:pPr>
            <w:r>
              <w:rPr>
                <w:rFonts w:ascii="Times New Roman" w:hAnsi="Times New Roman" w:cs="Times New Roman"/>
                <w:szCs w:val="21"/>
              </w:rPr>
              <w:t>x = 0</w:t>
            </w:r>
          </w:p>
        </w:tc>
      </w:tr>
      <w:tr w:rsidR="00CA3996" w14:paraId="0CA350CD" w14:textId="77777777">
        <w:trPr>
          <w:gridAfter w:val="2"/>
          <w:wAfter w:w="2414" w:type="dxa"/>
        </w:trPr>
        <w:tc>
          <w:tcPr>
            <w:tcW w:w="1284" w:type="dxa"/>
            <w:tcBorders>
              <w:top w:val="single" w:sz="4" w:space="0" w:color="000000"/>
              <w:left w:val="nil"/>
              <w:bottom w:val="single" w:sz="12" w:space="0" w:color="000000"/>
              <w:right w:val="nil"/>
            </w:tcBorders>
            <w:shd w:val="clear" w:color="auto" w:fill="FFFFFF"/>
          </w:tcPr>
          <w:p w14:paraId="79B7DD3E" w14:textId="77777777" w:rsidR="00CA3996" w:rsidRDefault="00000000">
            <w:pPr>
              <w:jc w:val="center"/>
              <w:rPr>
                <w:rFonts w:ascii="Times New Roman" w:hAnsi="Times New Roman" w:cs="Times New Roman"/>
                <w:b/>
                <w:bCs/>
                <w:i/>
                <w:iCs/>
                <w:szCs w:val="21"/>
              </w:rPr>
            </w:pPr>
            <w:r>
              <w:rPr>
                <w:rFonts w:ascii="Times New Roman" w:hAnsi="Times New Roman" w:cs="Times New Roman"/>
                <w:b/>
                <w:bCs/>
                <w:i/>
                <w:iCs/>
                <w:szCs w:val="21"/>
              </w:rPr>
              <w:t>Δy value range</w:t>
            </w:r>
          </w:p>
        </w:tc>
        <w:tc>
          <w:tcPr>
            <w:tcW w:w="1206" w:type="dxa"/>
            <w:tcBorders>
              <w:top w:val="single" w:sz="4" w:space="0" w:color="000000"/>
              <w:left w:val="nil"/>
              <w:bottom w:val="single" w:sz="12" w:space="0" w:color="000000"/>
              <w:right w:val="nil"/>
            </w:tcBorders>
            <w:shd w:val="clear" w:color="auto" w:fill="FFFFFF"/>
            <w:vAlign w:val="center"/>
          </w:tcPr>
          <w:p w14:paraId="1DAF9A3F"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290.2</w:t>
            </w:r>
          </w:p>
        </w:tc>
        <w:tc>
          <w:tcPr>
            <w:tcW w:w="1206" w:type="dxa"/>
            <w:tcBorders>
              <w:top w:val="single" w:sz="4" w:space="0" w:color="000000"/>
              <w:left w:val="nil"/>
              <w:bottom w:val="single" w:sz="12" w:space="0" w:color="000000"/>
              <w:right w:val="nil"/>
            </w:tcBorders>
            <w:shd w:val="clear" w:color="auto" w:fill="FFFFFF"/>
            <w:vAlign w:val="center"/>
          </w:tcPr>
          <w:p w14:paraId="74BD2D23"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303.5</w:t>
            </w:r>
          </w:p>
        </w:tc>
        <w:tc>
          <w:tcPr>
            <w:tcW w:w="1206" w:type="dxa"/>
            <w:tcBorders>
              <w:top w:val="single" w:sz="4" w:space="0" w:color="000000"/>
              <w:left w:val="nil"/>
              <w:bottom w:val="single" w:sz="12" w:space="0" w:color="000000"/>
              <w:right w:val="nil"/>
            </w:tcBorders>
            <w:shd w:val="clear" w:color="auto" w:fill="FFFFFF"/>
            <w:vAlign w:val="center"/>
          </w:tcPr>
          <w:p w14:paraId="18799825"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y ≤ 315.9</w:t>
            </w:r>
          </w:p>
        </w:tc>
        <w:tc>
          <w:tcPr>
            <w:tcW w:w="1206" w:type="dxa"/>
            <w:tcBorders>
              <w:top w:val="single" w:sz="4" w:space="0" w:color="000000"/>
              <w:left w:val="nil"/>
              <w:bottom w:val="single" w:sz="12" w:space="0" w:color="000000"/>
              <w:right w:val="nil"/>
            </w:tcBorders>
            <w:shd w:val="clear" w:color="auto" w:fill="FFFFFF"/>
            <w:vAlign w:val="center"/>
          </w:tcPr>
          <w:p w14:paraId="0BCE83CF" w14:textId="77777777" w:rsidR="00CA3996" w:rsidRDefault="00000000">
            <w:pPr>
              <w:jc w:val="center"/>
              <w:rPr>
                <w:rFonts w:ascii="Times New Roman" w:hAnsi="Times New Roman" w:cs="Times New Roman"/>
                <w:szCs w:val="21"/>
              </w:rPr>
            </w:pPr>
            <w:r>
              <w:rPr>
                <w:rFonts w:ascii="Times New Roman" w:hAnsi="Times New Roman" w:cs="Times New Roman"/>
                <w:szCs w:val="21"/>
              </w:rPr>
              <w:t>Δ</w:t>
            </w:r>
            <w:r>
              <w:rPr>
                <w:rFonts w:ascii="Times New Roman" w:hAnsi="Times New Roman" w:cs="Times New Roman"/>
                <w:color w:val="000000"/>
                <w:szCs w:val="21"/>
              </w:rPr>
              <w:t xml:space="preserve">y ≤ </w:t>
            </w:r>
            <w:r>
              <w:rPr>
                <w:rFonts w:ascii="Times New Roman" w:hAnsi="Times New Roman" w:cs="Times New Roman"/>
                <w:szCs w:val="21"/>
              </w:rPr>
              <w:t>327.0</w:t>
            </w:r>
          </w:p>
        </w:tc>
      </w:tr>
    </w:tbl>
    <w:p w14:paraId="705F8F94" w14:textId="77777777" w:rsidR="00CA3996" w:rsidRDefault="00CA3996">
      <w:pPr>
        <w:rPr>
          <w:rFonts w:ascii="Times New Roman" w:hAnsi="Times New Roman" w:cs="Times New Roman"/>
        </w:rPr>
      </w:pPr>
    </w:p>
    <w:p w14:paraId="1D140911" w14:textId="77777777" w:rsidR="00CA3996" w:rsidRDefault="00000000">
      <w:pPr>
        <w:ind w:firstLineChars="200" w:firstLine="420"/>
        <w:rPr>
          <w:rFonts w:ascii="Times New Roman" w:hAnsi="Times New Roman" w:cs="Times New Roman"/>
        </w:rPr>
      </w:pPr>
      <w:r>
        <w:rPr>
          <w:rFonts w:ascii="Times New Roman" w:hAnsi="Times New Roman" w:cs="Times New Roman"/>
        </w:rPr>
        <w:t>The sweeps corresponding to the 11 Δx-dependent rays are shown in Fig. S12. For each ray, the minimum value of the independent variable Δx was 20 nm, and the sweep step was 20 nm.</w:t>
      </w:r>
    </w:p>
    <w:p w14:paraId="24ACA506" w14:textId="77777777" w:rsidR="00CA3996" w:rsidRDefault="00CA3996">
      <w:pPr>
        <w:rPr>
          <w:rFonts w:ascii="Times New Roman" w:hAnsi="Times New Roman" w:cs="Times New Roman"/>
        </w:rPr>
      </w:pPr>
    </w:p>
    <w:p w14:paraId="0E439479"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68F24AD7" wp14:editId="322E0ACC">
            <wp:extent cx="4709160" cy="3135630"/>
            <wp:effectExtent l="0" t="0" r="2540" b="1270"/>
            <wp:docPr id="4" name="图片 4" descr="1补充材料图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补充材料图_24"/>
                    <pic:cNvPicPr>
                      <a:picLocks noChangeAspect="1"/>
                    </pic:cNvPicPr>
                  </pic:nvPicPr>
                  <pic:blipFill>
                    <a:blip r:embed="rId13"/>
                    <a:srcRect l="5095" r="10417"/>
                    <a:stretch>
                      <a:fillRect/>
                    </a:stretch>
                  </pic:blipFill>
                  <pic:spPr>
                    <a:xfrm>
                      <a:off x="0" y="0"/>
                      <a:ext cx="4709160" cy="3135630"/>
                    </a:xfrm>
                    <a:prstGeom prst="rect">
                      <a:avLst/>
                    </a:prstGeom>
                  </pic:spPr>
                </pic:pic>
              </a:graphicData>
            </a:graphic>
          </wp:inline>
        </w:drawing>
      </w:r>
    </w:p>
    <w:p w14:paraId="51A3AFC3" w14:textId="77777777" w:rsidR="00CA3996" w:rsidRDefault="00000000">
      <w:pPr>
        <w:rPr>
          <w:rFonts w:ascii="Times New Roman" w:hAnsi="Times New Roman" w:cs="Times New Roman"/>
          <w:b/>
          <w:bCs/>
        </w:rPr>
      </w:pPr>
      <w:r>
        <w:rPr>
          <w:rFonts w:ascii="Times New Roman" w:hAnsi="Times New Roman" w:cs="Times New Roman"/>
          <w:b/>
          <w:bCs/>
        </w:rPr>
        <w:t>Fig. S12. Parametric sweep results for the 11 characteristic rays with Δx as the independent variable.</w:t>
      </w:r>
    </w:p>
    <w:p w14:paraId="0F9AA276" w14:textId="77777777" w:rsidR="00CA3996" w:rsidRDefault="00CA3996">
      <w:pPr>
        <w:rPr>
          <w:rFonts w:ascii="Times New Roman" w:hAnsi="Times New Roman" w:cs="Times New Roman"/>
        </w:rPr>
      </w:pPr>
    </w:p>
    <w:p w14:paraId="3A573B72" w14:textId="77777777" w:rsidR="00CA3996" w:rsidRDefault="00000000">
      <w:pPr>
        <w:ind w:firstLineChars="200" w:firstLine="420"/>
        <w:rPr>
          <w:rFonts w:ascii="Times New Roman" w:hAnsi="Times New Roman" w:cs="Times New Roman"/>
        </w:rPr>
      </w:pPr>
      <w:r>
        <w:rPr>
          <w:rFonts w:ascii="Times New Roman" w:hAnsi="Times New Roman" w:cs="Times New Roman"/>
        </w:rPr>
        <w:t>The sweeps corresponding to the 10 Δy-dependent rays are shown in Fig. S13. For each ray, the minimum value of the independent variable Δy was 20 nm, and the sweep step was 20 nm.</w:t>
      </w:r>
    </w:p>
    <w:p w14:paraId="3F904F31" w14:textId="77777777" w:rsidR="00CA3996" w:rsidRDefault="00000000">
      <w:pPr>
        <w:jc w:val="cente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2B611525" wp14:editId="4674E889">
            <wp:extent cx="4784725" cy="3060065"/>
            <wp:effectExtent l="0" t="0" r="3175" b="635"/>
            <wp:docPr id="6" name="图片 6" descr="1补充材料图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补充材料图_25"/>
                    <pic:cNvPicPr>
                      <a:picLocks noChangeAspect="1"/>
                    </pic:cNvPicPr>
                  </pic:nvPicPr>
                  <pic:blipFill>
                    <a:blip r:embed="rId14"/>
                    <a:srcRect l="7061" r="7154" b="2470"/>
                    <a:stretch>
                      <a:fillRect/>
                    </a:stretch>
                  </pic:blipFill>
                  <pic:spPr>
                    <a:xfrm>
                      <a:off x="0" y="0"/>
                      <a:ext cx="4784725" cy="3060065"/>
                    </a:xfrm>
                    <a:prstGeom prst="rect">
                      <a:avLst/>
                    </a:prstGeom>
                  </pic:spPr>
                </pic:pic>
              </a:graphicData>
            </a:graphic>
          </wp:inline>
        </w:drawing>
      </w:r>
    </w:p>
    <w:p w14:paraId="1E3AEF48" w14:textId="77777777" w:rsidR="00CA3996" w:rsidRDefault="00000000">
      <w:pPr>
        <w:rPr>
          <w:rFonts w:ascii="Times New Roman" w:hAnsi="Times New Roman" w:cs="Times New Roman"/>
          <w:b/>
          <w:bCs/>
        </w:rPr>
      </w:pPr>
      <w:r>
        <w:rPr>
          <w:rFonts w:ascii="Times New Roman" w:hAnsi="Times New Roman" w:cs="Times New Roman"/>
          <w:b/>
          <w:bCs/>
        </w:rPr>
        <w:t>Fig. S13. Parametric sweep results for the 10 characteristic rays with Δy as the independent variable.</w:t>
      </w:r>
    </w:p>
    <w:p w14:paraId="55FA66E2" w14:textId="77777777" w:rsidR="00CA3996" w:rsidRDefault="00CA3996">
      <w:pPr>
        <w:rPr>
          <w:rFonts w:ascii="Times New Roman" w:hAnsi="Times New Roman" w:cs="Times New Roman"/>
          <w:b/>
          <w:bCs/>
        </w:rPr>
      </w:pPr>
    </w:p>
    <w:p w14:paraId="0249E21E" w14:textId="77777777" w:rsidR="00CA3996" w:rsidRDefault="00000000">
      <w:pPr>
        <w:ind w:firstLineChars="200" w:firstLine="420"/>
        <w:rPr>
          <w:rFonts w:ascii="Times New Roman" w:hAnsi="Times New Roman" w:cs="Times New Roman"/>
        </w:rPr>
      </w:pPr>
      <w:r>
        <w:rPr>
          <w:rFonts w:ascii="Times New Roman" w:hAnsi="Times New Roman" w:cs="Times New Roman"/>
        </w:rPr>
        <w:t>The maximum field-amplitude enhancement on each of the 21 characteristic rays was then collected and compared, as shown in Fig. S14. The largest response occurs when the square-pyramid base center lies on the ray y=0.2x. According to Table S10, the admissible range of Δx on this ray is Δx</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303.5 nm. Accordingly, Δx was swept from 20 to 300 nm in 20 nm steps, yielding the optimum offsets Δx = 140 nm and Δy = 28 nm. All subsequent optimizations were performed using this offset position.</w:t>
      </w:r>
    </w:p>
    <w:p w14:paraId="67744F98" w14:textId="77777777" w:rsidR="00CA3996" w:rsidRDefault="00CA3996">
      <w:pPr>
        <w:rPr>
          <w:rFonts w:ascii="Times New Roman" w:hAnsi="Times New Roman" w:cs="Times New Roman"/>
        </w:rPr>
      </w:pPr>
    </w:p>
    <w:p w14:paraId="741E6AFC" w14:textId="77777777" w:rsidR="00CA3996" w:rsidRDefault="00000000">
      <w:pPr>
        <w:jc w:val="center"/>
        <w:rPr>
          <w:rFonts w:ascii="Times New Roman" w:hAnsi="Times New Roman" w:cs="Times New Roman"/>
        </w:rPr>
      </w:pPr>
      <w:r>
        <w:rPr>
          <w:rFonts w:ascii="Times New Roman" w:hAnsi="Times New Roman" w:cs="Times New Roman"/>
          <w:noProof/>
        </w:rPr>
        <w:drawing>
          <wp:inline distT="0" distB="0" distL="114300" distR="114300" wp14:anchorId="0E099D2D" wp14:editId="21DF6CD0">
            <wp:extent cx="4860290" cy="2653665"/>
            <wp:effectExtent l="0" t="0" r="3810" b="635"/>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5"/>
                    <a:stretch>
                      <a:fillRect/>
                    </a:stretch>
                  </pic:blipFill>
                  <pic:spPr>
                    <a:xfrm>
                      <a:off x="0" y="0"/>
                      <a:ext cx="4860290" cy="2653665"/>
                    </a:xfrm>
                    <a:prstGeom prst="rect">
                      <a:avLst/>
                    </a:prstGeom>
                    <a:noFill/>
                    <a:ln>
                      <a:noFill/>
                    </a:ln>
                  </pic:spPr>
                </pic:pic>
              </a:graphicData>
            </a:graphic>
          </wp:inline>
        </w:drawing>
      </w:r>
    </w:p>
    <w:p w14:paraId="4DFB448D" w14:textId="77777777" w:rsidR="00CA3996" w:rsidRDefault="00000000">
      <w:pPr>
        <w:rPr>
          <w:rFonts w:ascii="Times New Roman" w:hAnsi="Times New Roman" w:cs="Times New Roman"/>
          <w:b/>
          <w:bCs/>
        </w:rPr>
      </w:pPr>
      <w:r>
        <w:rPr>
          <w:rFonts w:ascii="Times New Roman" w:hAnsi="Times New Roman" w:cs="Times New Roman"/>
          <w:b/>
          <w:bCs/>
        </w:rPr>
        <w:t>Fig. S14. Statistics of the maximum field-amplitude enhancement on the 21 characteristic rays. The left panel shows the numbering of the 21 rays, and the right panel shows the corresponding maximum enhancement values.</w:t>
      </w:r>
    </w:p>
    <w:p w14:paraId="3B81AA91" w14:textId="77777777" w:rsidR="00CA3996" w:rsidRDefault="00CA3996">
      <w:pPr>
        <w:rPr>
          <w:rFonts w:ascii="Times New Roman" w:hAnsi="Times New Roman" w:cs="Times New Roman"/>
        </w:rPr>
      </w:pPr>
    </w:p>
    <w:p w14:paraId="7879523E" w14:textId="77777777" w:rsidR="00CA3996" w:rsidRDefault="00000000">
      <w:pPr>
        <w:ind w:firstLineChars="200" w:firstLine="420"/>
        <w:rPr>
          <w:rFonts w:ascii="Times New Roman" w:hAnsi="Times New Roman" w:cs="Times New Roman"/>
        </w:rPr>
      </w:pPr>
      <w:r>
        <w:rPr>
          <w:rFonts w:ascii="Times New Roman" w:hAnsi="Times New Roman" w:cs="Times New Roman"/>
        </w:rPr>
        <w:t>With the optimal offset fixed, we then optimized the key geometric parameters of the square pyramid</w:t>
      </w:r>
      <w:r>
        <w:rPr>
          <w:rFonts w:ascii="Times New Roman" w:hAnsi="Times New Roman" w:cs="Times New Roman"/>
        </w:rPr>
        <w:fldChar w:fldCharType="begin"/>
      </w:r>
      <w:r>
        <w:rPr>
          <w:rFonts w:ascii="Times New Roman" w:hAnsi="Times New Roman" w:cs="Times New Roman"/>
        </w:rPr>
        <w:instrText xml:space="preserve"> ADDIN ZOTERO_ITEM CSL_CITATION {"citationID":"9hgFAB6t","properties":{"unsorted":false,"formattedCitation":"\\super 9\\nosupersub{}","plainCitation":"9","noteIndex":0},"citationItems":[{"id":246,"uris":["http://zotero.org/users/12038018/items/MIN6QNU4"],"itemData":{"id":246,"type":"article-journal","abstract":"We build a 3D printing spiral conical tapered gold tip directly on the end face of an optical fiber as an efficient fluorescence enhancement device via the two-photon polymerization direct laser writing technology and magnetron sputtering technique. At an optimized geometry achieved via three-dimensional finite-difference time-domain numerical simulations, the gold tip allows the incident light coming from the optical fiber to efficiently excite the surface-plasmon polariton at the outer surface and trigger bright fluorescence of Rodamine dye molecules. The experimental results show that when the incident green laser light at 532 nm has an intensity of 0.5 μW, the fluorescence enhancement factor by the spiral tapered gold tip bound to fiber is about 38 times greater than the reference sample of the flat-cleaved gold film coated fiber. This 3D nanostructured gold-tip bound optical fiber may provide a promising way to improve detection sensitivity in fluorescence-based sensing platforms.","container-title":"APL Photonics","DOI":"10.1063/5.0086128","ISSN":"2378-0967","issue":"4","journalAbbreviation":"APL Photonics","language":"en","page":"46107","source":"DOI.org (Crossref)","title":"Li Long, 2022_Plasmonic enhanced fluorescence via 3D printing spiral conical tapered gold tip bound to optical fiber","volume":"7","author":[{"family":"Long","given":"Li"},{"family":"Deng","given":"Qiurong"},{"family":"Huang","given":"Rongtao"},{"family":"Li","given":"Zhi-Yuan"}],"issued":{"date-parts":[["2022",4,1]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9</w:t>
      </w:r>
      <w:r>
        <w:rPr>
          <w:rFonts w:ascii="Times New Roman" w:hAnsi="Times New Roman" w:cs="Times New Roman"/>
        </w:rPr>
        <w:fldChar w:fldCharType="end"/>
      </w:r>
      <w:r>
        <w:rPr>
          <w:rFonts w:ascii="Times New Roman" w:hAnsi="Times New Roman" w:cs="Times New Roman"/>
        </w:rPr>
        <w:t xml:space="preserve">. First, Δx=140 nm and Δy=28 nm were fixed, and L/H=3/5 was retained. Substituting Δx=140 nm, Δy=28 nm, R=500 nm, </w:t>
      </w:r>
      <w:r>
        <w:rPr>
          <w:rFonts w:ascii="Times New Roman" w:hAnsi="Times New Roman" w:cs="Times New Roman"/>
        </w:rPr>
        <w:lastRenderedPageBreak/>
        <w:t>and L=3H/5 into Eq. (S1) gives</w:t>
      </w:r>
      <w:r>
        <w:rPr>
          <w:rFonts w:ascii="Times New Roman" w:hAnsi="Times New Roman" w:cs="Times New Roman" w:hint="eastAsia"/>
        </w:rPr>
        <w:t xml:space="preserve"> 0</w:t>
      </w:r>
      <w:r>
        <w:rPr>
          <w:rFonts w:ascii="Times New Roman" w:hAnsi="Times New Roman" w:cs="Times New Roman" w:hint="eastAsia"/>
        </w:rPr>
        <w:t>≤</w:t>
      </w:r>
      <w:r>
        <w:rPr>
          <w:rFonts w:ascii="Times New Roman" w:hAnsi="Times New Roman" w:cs="Times New Roman" w:hint="eastAsia"/>
        </w:rPr>
        <w:t>H</w:t>
      </w:r>
      <w:r>
        <w:rPr>
          <w:rFonts w:ascii="Times New Roman" w:hAnsi="Times New Roman" w:cs="Times New Roman" w:hint="eastAsia"/>
        </w:rPr>
        <w:t>≤</w:t>
      </w:r>
      <w:r>
        <w:rPr>
          <w:rFonts w:ascii="Times New Roman" w:hAnsi="Times New Roman" w:cs="Times New Roman" w:hint="eastAsia"/>
        </w:rPr>
        <w:t xml:space="preserve">883.6 nm. </w:t>
      </w:r>
      <w:r>
        <w:rPr>
          <w:rFonts w:ascii="Times New Roman" w:hAnsi="Times New Roman" w:cs="Times New Roman"/>
        </w:rPr>
        <w:t>To account for fabrication feasibility, the sweep of H was performed from 100 to 850 nm in 50 nm steps. As shown in Fig. 2b, the electric-field amplitude reaches its maximum at H=650 nm.</w:t>
      </w:r>
      <w:r>
        <w:rPr>
          <w:rFonts w:ascii="Times New Roman" w:hAnsi="Times New Roman" w:cs="Times New Roman" w:hint="eastAsia"/>
        </w:rPr>
        <w:t xml:space="preserve"> </w:t>
      </w:r>
      <w:r>
        <w:rPr>
          <w:rFonts w:ascii="Times New Roman" w:hAnsi="Times New Roman" w:cs="Times New Roman"/>
        </w:rPr>
        <w:t>Next, the ratio L/H was optimized. With Δx=140 nm, Δy=28 nm, and H=650 nm fixed, Eq. (S1) yields</w:t>
      </w:r>
      <w:r>
        <w:rPr>
          <w:rFonts w:ascii="Times New Roman" w:hAnsi="Times New Roman" w:cs="Times New Roman" w:hint="eastAsia"/>
        </w:rPr>
        <w:t xml:space="preserve"> 0</w:t>
      </w:r>
      <w:r>
        <w:rPr>
          <w:rFonts w:ascii="Times New Roman" w:hAnsi="Times New Roman" w:cs="Times New Roman" w:hint="eastAsia"/>
        </w:rPr>
        <w:t>≤</w:t>
      </w:r>
      <w:r>
        <w:rPr>
          <w:rFonts w:ascii="Times New Roman" w:hAnsi="Times New Roman" w:cs="Times New Roman" w:hint="eastAsia"/>
        </w:rPr>
        <w:t>L</w:t>
      </w:r>
      <w:r>
        <w:rPr>
          <w:rFonts w:ascii="Times New Roman" w:hAnsi="Times New Roman" w:cs="Times New Roman" w:hint="eastAsia"/>
        </w:rPr>
        <w:t>≤</w:t>
      </w:r>
      <w:r>
        <w:rPr>
          <w:rFonts w:ascii="Times New Roman" w:hAnsi="Times New Roman" w:cs="Times New Roman" w:hint="eastAsia"/>
        </w:rPr>
        <w:t xml:space="preserve">530.2 nm. </w:t>
      </w:r>
      <w:r>
        <w:rPr>
          <w:rFonts w:ascii="Times New Roman" w:hAnsi="Times New Roman" w:cs="Times New Roman"/>
        </w:rPr>
        <w:t>Considering practical fabrication, L was swept from 130 to 520 nm, corresponding to L/H from 1/5 to 4/5, with a step size of 1/45. The maximum field amplitude occurs at L/H=23/45, as shown in Fig. 2c.</w:t>
      </w:r>
    </w:p>
    <w:p w14:paraId="6154FEFF" w14:textId="77777777" w:rsidR="00CA3996" w:rsidRDefault="00000000">
      <w:pPr>
        <w:ind w:firstLineChars="200" w:firstLine="420"/>
        <w:rPr>
          <w:rFonts w:ascii="Times New Roman" w:hAnsi="Times New Roman" w:cs="Times New Roman"/>
        </w:rPr>
      </w:pPr>
      <w:r>
        <w:rPr>
          <w:rFonts w:ascii="Times New Roman" w:hAnsi="Times New Roman" w:cs="Times New Roman"/>
        </w:rPr>
        <w:t xml:space="preserve">Finally, with the optimized geometry fixed, the Au-film thickness T was swept from 50 to 300 nm in 10 nm steps. A film that is too thin suppresses efficient SPP excitation, whereas an excessively thick film increases fabrication </w:t>
      </w:r>
      <w:r>
        <w:rPr>
          <w:rFonts w:ascii="Times New Roman" w:hAnsi="Times New Roman" w:cs="Times New Roman" w:hint="eastAsia"/>
        </w:rPr>
        <w:t>cost</w:t>
      </w:r>
      <w:r>
        <w:rPr>
          <w:rFonts w:ascii="Times New Roman" w:hAnsi="Times New Roman" w:cs="Times New Roman"/>
        </w:rPr>
        <w:t>. The results are summarized in Fig. 2d.</w:t>
      </w:r>
    </w:p>
    <w:p w14:paraId="14C75AD3" w14:textId="77777777" w:rsidR="00CA3996" w:rsidRDefault="00CA3996">
      <w:pPr>
        <w:rPr>
          <w:rFonts w:ascii="Times New Roman" w:hAnsi="Times New Roman" w:cs="Times New Roman"/>
        </w:rPr>
      </w:pPr>
    </w:p>
    <w:p w14:paraId="3EF4107E" w14:textId="77777777" w:rsidR="00CA3996" w:rsidRDefault="00000000">
      <w:pPr>
        <w:jc w:val="center"/>
        <w:rPr>
          <w:rFonts w:ascii="Times New Roman" w:hAnsi="Times New Roman" w:cs="Times New Roman"/>
        </w:rPr>
      </w:pPr>
      <w:r>
        <w:rPr>
          <w:rFonts w:ascii="Times New Roman" w:hAnsi="Times New Roman" w:cs="Times New Roman"/>
          <w:noProof/>
        </w:rPr>
        <w:drawing>
          <wp:inline distT="0" distB="0" distL="114300" distR="114300" wp14:anchorId="135E3A83" wp14:editId="20F769FD">
            <wp:extent cx="5399405" cy="4455795"/>
            <wp:effectExtent l="0" t="0" r="10795" b="1905"/>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6"/>
                    <a:stretch>
                      <a:fillRect/>
                    </a:stretch>
                  </pic:blipFill>
                  <pic:spPr>
                    <a:xfrm>
                      <a:off x="0" y="0"/>
                      <a:ext cx="5400000" cy="4455795"/>
                    </a:xfrm>
                    <a:prstGeom prst="rect">
                      <a:avLst/>
                    </a:prstGeom>
                    <a:noFill/>
                    <a:ln>
                      <a:noFill/>
                    </a:ln>
                  </pic:spPr>
                </pic:pic>
              </a:graphicData>
            </a:graphic>
          </wp:inline>
        </w:drawing>
      </w:r>
    </w:p>
    <w:p w14:paraId="34298253" w14:textId="77777777" w:rsidR="00CA3996" w:rsidRDefault="00000000">
      <w:pPr>
        <w:rPr>
          <w:rFonts w:ascii="Times New Roman" w:hAnsi="Times New Roman" w:cs="Times New Roman"/>
          <w:b/>
          <w:bCs/>
        </w:rPr>
      </w:pPr>
      <w:r>
        <w:rPr>
          <w:rFonts w:ascii="Times New Roman" w:hAnsi="Times New Roman" w:cs="Times New Roman"/>
          <w:b/>
          <w:bCs/>
        </w:rPr>
        <w:t>Fig. S15. Comparison of the phase distributions and field-amplitude profiles at the apex of the ECP and RSPP under the optimal parameters. (a) Phase distribution in the xy plane at the RSPP apex under the optimal parameters. (b) Field-amplitude profile along the x direction at the RSPP apex. (c) Phase distribution in the xy plane at the ECP apex under the optimal parameters. (d) Field-amplitude profile along the x direction at the ECP apex and the corresponding fit.</w:t>
      </w:r>
    </w:p>
    <w:p w14:paraId="377967BF" w14:textId="77777777" w:rsidR="00CA3996" w:rsidRDefault="00CA3996">
      <w:pPr>
        <w:rPr>
          <w:rFonts w:ascii="Times New Roman" w:hAnsi="Times New Roman" w:cs="Times New Roman"/>
          <w:b/>
          <w:bCs/>
        </w:rPr>
      </w:pPr>
    </w:p>
    <w:p w14:paraId="478DC9B3" w14:textId="77777777" w:rsidR="00CA3996" w:rsidRDefault="00000000">
      <w:pPr>
        <w:ind w:firstLineChars="200" w:firstLine="420"/>
        <w:rPr>
          <w:rFonts w:ascii="Times New Roman" w:hAnsi="Times New Roman" w:cs="Times New Roman"/>
        </w:rPr>
      </w:pPr>
      <w:r>
        <w:rPr>
          <w:rFonts w:ascii="Times New Roman" w:hAnsi="Times New Roman" w:cs="Times New Roman"/>
        </w:rPr>
        <w:t xml:space="preserve">To clarify the focusing mechanism, we compared the phase distributions and field-amplitude profiles at the apex of the ECP and a regular square-pyramid probe (RSPP) under the optimal parameters. The results are shown in Fig. S15. For the RSPP, the fully axisymmetric geometry produces an inherent π phase difference between the SPPs excited on both sides of the central axis under linearly polarized excitation (Fig. 2f). As the SPPs propagate toward the apex, they undergo complete destructive interference. At the apex, the xy plane still maintains a π phase difference, and the field-amplitude profile is extremely weak, making it impossible to achieve effective focusing (Fig. S15a, b). </w:t>
      </w:r>
      <w:r>
        <w:rPr>
          <w:rFonts w:ascii="Times New Roman" w:hAnsi="Times New Roman" w:cs="Times New Roman"/>
        </w:rPr>
        <w:lastRenderedPageBreak/>
        <w:t>In contrast, the eccentric geometry of the ECP removes mirror symmetry in the apex region (Fig. S15c). SPPs propagate along the square-pyramid waveguide without mutual cancellation and form a highly localized focal spot at the apex. The focal-spot FWHM is 3.5 nm (Fig. S15d), consistent with the combined action of the eccentric geometry and the Fabry–Pérot response supported by the platform base</w:t>
      </w:r>
      <w:r>
        <w:rPr>
          <w:rFonts w:ascii="Times New Roman" w:hAnsi="Times New Roman" w:cs="Times New Roman"/>
        </w:rPr>
        <w:fldChar w:fldCharType="begin"/>
      </w:r>
      <w:r>
        <w:rPr>
          <w:rFonts w:ascii="Times New Roman" w:hAnsi="Times New Roman" w:cs="Times New Roman"/>
        </w:rPr>
        <w:instrText xml:space="preserve"> ADDIN ZOTERO_ITEM CSL_CITATION {"citationID":"8M0p6ZxV","properties":{"unsorted":false,"formattedCitation":"\\super 10\\uc0\\u8211{}12\\nosupersub{}","plainCitation":"10–12","noteIndex":0},"citationItems":[{"id":261,"uris":["http://zotero.org/users/12038018/items/F4A4LHDJ"],"itemData":{"id":261,"type":"article-journal","abstract":"The emerging stretchable photonics field faces challenges, like the robust integration of optical elements into elastic matrices or the generation of large optomechanical effects. Here, the first stretchable plasmonic-enhanced and wrinkled Fabry–Pérot (FP) cavities are demonstrated, which are composed of self-embedded arrays of Au nanostructures at controlled depths into elastomer films. The novel self-embedding process is triggered by the Au nanostructures’ catalytic activity, which locally increases the polymer curing rate, thereby inducing a mechanical stress that simultaneously pulls the Au nanostructures into the polymer and forms a wrinkled skin layer. This geometry yields unprecedented optomechanical effects produced by the coupling of the broad plasmonic modes of the Au nanostructures and the FP modes, which are modulated by the wrinkled optical cavity. As a result, film stretching induces drastic changes in both the spectral position and intensity of the plasmonic-enhanced FP resonances due to the simultaneous cavity thickness reduction and cavity wrinkle flattening, thus increasing the cavity finesse. These optomechanical effects are exploited to demonstrate new strain-sensing approaches, achieving a strain detection limit of 0.006%, i.e., 16-fold lower than current optical strain-detection schemes.","container-title":"Advanced Materials","DOI":"10.1002/adma.202106731","ISSN":"1521-4095","issue":"7","journalAbbreviation":"Adv. Mater.","language":"en","license":"© 2022 Wiley-VCH GmbH","note":"_eprint: https://advanced.onlinelibrary.wiley.com/doi/pdf/10.1002/adma.202106731\nTLDR: The first stretchable plasmonic enhanced and wrinkled Fabry-Perot cavities are demonstrated, which are composed of self-embedded arrays of Au nanostructures at controlled depths into elastomer films, achieving a strain detection limit of 0.006%, i.e., 16-fold lower than current optical strain detection schemes.","page":"2106731","source":"Wiley Online Library","title":"Pau Güell-Grau, 2022_Elastic plasmonic-enhanced fabry–pérot cavities with ultrasensitive stretching tunability","volume":"34","author":[{"family":"Güell-Grau","given":"Pau"},{"family":"Pi","given":"Francesc"},{"family":"Villa","given":"Rosa"},{"family":"Eskilson","given":"Olof"},{"family":"Aili","given":"Daniel"},{"family":"Nogués","given":"Josep"},{"family":"Sepúlveda","given":"Borja"},{"family":"Alvarez","given":"Mar"}],"issued":{"date-parts":[["2022"]]}}},{"id":188,"uris":["http://zotero.org/users/12038018/items/7MX3JZBR"],"itemData":{"id":188,"type":"article-journal","container-title":"Nano Letters","DOI":"10.1021/acs.nanolett.9b00558","ISSN":"1530-6984, 1530-6992","issue":"6","journalAbbreviation":"Nano Lett.","language":"en","license":"http://pubs.acs.org/page/policy/authorchoice_ccby_termsofuse.html","note":"TLDR: It is shown that spectral features of a plasmonic STM junction can be manipulated by nanofabrication of Au tips using focused ion beam, paving the way for near-field imaging and spectroscopy with a high degree of accuracy.","page":"3597-3602","publisher":"American Chemical Society (ACS)","source":"Crossref","title":"Hannes Böckmann, 2019_Near-field manipulation in a scanning tunneling microscope junction with plasmonic fabry-pérot tips","volume":"19","author":[{"family":"Böckmann","given":"Hannes"},{"family":"Liu","given":"Shuyi"},{"family":"Müller","given":"Melanie"},{"family":"Hammud","given":"Adnan"},{"family":"Wolf","given":"Martin"},{"family":"Kumagai","given":"Takashi"}],"issued":{"date-parts":[["2019",6,12]]}}},{"id":191,"uris":["http://zotero.org/users/12038018/items/5NARPXPA"],"itemData":{"id":191,"type":"article-journal","container-title":"Nano Research","DOI":"10.1007/s12274-022-5297-z","ISSN":"1998-0124, 1998-0000","issue":"5","journalAbbreviation":"Nano Res.","language":"en","license":"https://www.springernature.com/gp/researchers/text-and-data-mining","page":"7545-7549","publisher":"Tsinghua University Press","source":"Crossref","title":"Wang Fei, 2023_A flat-based plasmonic fiber probe for nanoimaging","volume":"16","author":[{"family":"Wang","given":"Fei"},{"family":"Li","given":"Shaobo"},{"family":"Zhao","given":"Shuhao"},{"family":"Zhang","given":"Ze"},{"family":"Ji","given":"Peirui"},{"family":"Xia","given":"Chengsheng"},{"family":"Cheng","given":"Biyao"},{"family":"Zhang","given":"Guofeng"},{"family":"Yang","given":"Shuming"}],"issued":{"date-parts":[["2023",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10–12</w:t>
      </w:r>
      <w:r>
        <w:rPr>
          <w:rFonts w:ascii="Times New Roman" w:hAnsi="Times New Roman" w:cs="Times New Roman"/>
        </w:rPr>
        <w:fldChar w:fldCharType="end"/>
      </w:r>
      <w:r>
        <w:rPr>
          <w:rFonts w:ascii="Times New Roman" w:hAnsi="Times New Roman" w:cs="Times New Roman"/>
        </w:rPr>
        <w:t>. These results support the design rationale of the ECP and are consistent with the proposed nanofocusing mechanism.</w:t>
      </w:r>
    </w:p>
    <w:p w14:paraId="257FC487" w14:textId="77777777" w:rsidR="00CA3996" w:rsidRDefault="00CA3996">
      <w:pPr>
        <w:rPr>
          <w:rFonts w:ascii="Times New Roman" w:hAnsi="Times New Roman" w:cs="Times New Roman"/>
          <w:b/>
          <w:bCs/>
        </w:rPr>
      </w:pPr>
    </w:p>
    <w:p w14:paraId="31A3231F" w14:textId="77777777" w:rsidR="00CA3996" w:rsidRDefault="00000000">
      <w:pPr>
        <w:rPr>
          <w:rFonts w:ascii="Times New Roman" w:hAnsi="Times New Roman" w:cs="Times New Roman"/>
          <w:b/>
          <w:bCs/>
          <w:sz w:val="24"/>
          <w:szCs w:val="32"/>
        </w:rPr>
      </w:pPr>
      <w:r>
        <w:rPr>
          <w:rFonts w:ascii="Times New Roman" w:hAnsi="Times New Roman" w:cs="Times New Roman"/>
          <w:b/>
          <w:bCs/>
          <w:sz w:val="24"/>
          <w:szCs w:val="32"/>
        </w:rPr>
        <w:t>4. Experimental Verification of ECP Nanofocusing</w:t>
      </w:r>
    </w:p>
    <w:p w14:paraId="5A8718F4" w14:textId="77777777" w:rsidR="00CA3996" w:rsidRDefault="00000000">
      <w:pPr>
        <w:jc w:val="center"/>
        <w:rPr>
          <w:rFonts w:ascii="Times New Roman" w:hAnsi="Times New Roman" w:cs="Times New Roman"/>
          <w:b/>
          <w:bCs/>
        </w:rPr>
      </w:pPr>
      <w:r>
        <w:rPr>
          <w:rFonts w:ascii="Times New Roman" w:hAnsi="Times New Roman" w:cs="Times New Roman"/>
          <w:b/>
          <w:bCs/>
        </w:rPr>
        <w:t>Table S16. Parameters of the 630-HP single-mode fiber</w:t>
      </w:r>
    </w:p>
    <w:tbl>
      <w:tblPr>
        <w:tblStyle w:val="a9"/>
        <w:tblW w:w="0" w:type="auto"/>
        <w:tblInd w:w="111" w:type="dxa"/>
        <w:tblLook w:val="04A0" w:firstRow="1" w:lastRow="0" w:firstColumn="1" w:lastColumn="0" w:noHBand="0" w:noVBand="1"/>
      </w:tblPr>
      <w:tblGrid>
        <w:gridCol w:w="3216"/>
        <w:gridCol w:w="3205"/>
        <w:gridCol w:w="3208"/>
      </w:tblGrid>
      <w:tr w:rsidR="00CA3996" w14:paraId="1D54AD63" w14:textId="77777777">
        <w:tc>
          <w:tcPr>
            <w:tcW w:w="3246" w:type="dxa"/>
            <w:tcBorders>
              <w:top w:val="nil"/>
              <w:left w:val="nil"/>
              <w:bottom w:val="nil"/>
              <w:right w:val="nil"/>
            </w:tcBorders>
            <w:shd w:val="clear" w:color="auto" w:fill="30C0B4" w:themeFill="accent5"/>
          </w:tcPr>
          <w:p w14:paraId="0BD5276E" w14:textId="77777777" w:rsidR="00CA3996" w:rsidRDefault="00000000">
            <w:pPr>
              <w:jc w:val="center"/>
              <w:rPr>
                <w:rFonts w:ascii="Times New Roman" w:hAnsi="Times New Roman" w:cs="Times New Roman"/>
                <w:b/>
                <w:bCs/>
                <w:color w:val="FFFFFF"/>
              </w:rPr>
            </w:pPr>
            <w:r>
              <w:rPr>
                <w:rFonts w:ascii="Times New Roman" w:hAnsi="Times New Roman" w:cs="Times New Roman" w:hint="eastAsia"/>
                <w:b/>
                <w:bCs/>
                <w:color w:val="FFFFFF"/>
              </w:rPr>
              <w:t>P</w:t>
            </w:r>
            <w:r>
              <w:rPr>
                <w:rFonts w:ascii="Times New Roman" w:hAnsi="Times New Roman" w:cs="Times New Roman"/>
                <w:b/>
                <w:bCs/>
                <w:color w:val="FFFFFF"/>
              </w:rPr>
              <w:t>arameters</w:t>
            </w:r>
          </w:p>
        </w:tc>
        <w:tc>
          <w:tcPr>
            <w:tcW w:w="3246" w:type="dxa"/>
            <w:tcBorders>
              <w:top w:val="nil"/>
              <w:left w:val="nil"/>
              <w:bottom w:val="nil"/>
              <w:right w:val="nil"/>
            </w:tcBorders>
            <w:shd w:val="clear" w:color="auto" w:fill="30C0B4" w:themeFill="accent5"/>
          </w:tcPr>
          <w:p w14:paraId="0B5651D3" w14:textId="77777777" w:rsidR="00CA3996" w:rsidRDefault="00000000">
            <w:pPr>
              <w:jc w:val="center"/>
              <w:rPr>
                <w:rFonts w:ascii="Times New Roman" w:hAnsi="Times New Roman" w:cs="Times New Roman"/>
                <w:b/>
                <w:bCs/>
                <w:color w:val="FFFFFF"/>
              </w:rPr>
            </w:pPr>
            <w:r>
              <w:rPr>
                <w:rFonts w:ascii="Times New Roman" w:hAnsi="Times New Roman" w:cs="Times New Roman" w:hint="eastAsia"/>
                <w:b/>
                <w:bCs/>
                <w:color w:val="FFFFFF"/>
              </w:rPr>
              <w:t>U</w:t>
            </w:r>
            <w:r>
              <w:rPr>
                <w:rFonts w:ascii="Times New Roman" w:hAnsi="Times New Roman" w:cs="Times New Roman"/>
                <w:b/>
                <w:bCs/>
                <w:color w:val="FFFFFF"/>
              </w:rPr>
              <w:t>nit</w:t>
            </w:r>
          </w:p>
        </w:tc>
        <w:tc>
          <w:tcPr>
            <w:tcW w:w="3247" w:type="dxa"/>
            <w:tcBorders>
              <w:top w:val="nil"/>
              <w:left w:val="nil"/>
              <w:bottom w:val="nil"/>
              <w:right w:val="nil"/>
            </w:tcBorders>
            <w:shd w:val="clear" w:color="auto" w:fill="30C0B4" w:themeFill="accent5"/>
          </w:tcPr>
          <w:p w14:paraId="098DBB3C" w14:textId="77777777" w:rsidR="00CA3996" w:rsidRDefault="00000000">
            <w:pPr>
              <w:jc w:val="center"/>
              <w:rPr>
                <w:rFonts w:ascii="Times New Roman" w:hAnsi="Times New Roman" w:cs="Times New Roman"/>
                <w:b/>
                <w:bCs/>
                <w:color w:val="FFFFFF"/>
              </w:rPr>
            </w:pPr>
            <w:r>
              <w:rPr>
                <w:rFonts w:ascii="Times New Roman" w:hAnsi="Times New Roman" w:cs="Times New Roman" w:hint="eastAsia"/>
                <w:b/>
                <w:bCs/>
                <w:color w:val="FFFFFF"/>
              </w:rPr>
              <w:t>Value</w:t>
            </w:r>
          </w:p>
        </w:tc>
      </w:tr>
      <w:tr w:rsidR="00CA3996" w14:paraId="629A8B6B" w14:textId="77777777">
        <w:tc>
          <w:tcPr>
            <w:tcW w:w="3246" w:type="dxa"/>
            <w:tcBorders>
              <w:top w:val="nil"/>
              <w:left w:val="nil"/>
              <w:bottom w:val="nil"/>
              <w:right w:val="nil"/>
            </w:tcBorders>
            <w:shd w:val="clear" w:color="auto" w:fill="FFFFFF"/>
          </w:tcPr>
          <w:p w14:paraId="548C7878"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Operating Wavelength</w:t>
            </w:r>
          </w:p>
        </w:tc>
        <w:tc>
          <w:tcPr>
            <w:tcW w:w="3246" w:type="dxa"/>
            <w:tcBorders>
              <w:top w:val="nil"/>
              <w:left w:val="nil"/>
              <w:bottom w:val="nil"/>
              <w:right w:val="nil"/>
            </w:tcBorders>
            <w:shd w:val="clear" w:color="auto" w:fill="FFFFFF"/>
          </w:tcPr>
          <w:p w14:paraId="2BF674B4"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nm</w:t>
            </w:r>
          </w:p>
        </w:tc>
        <w:tc>
          <w:tcPr>
            <w:tcW w:w="3247" w:type="dxa"/>
            <w:tcBorders>
              <w:top w:val="nil"/>
              <w:left w:val="nil"/>
              <w:bottom w:val="nil"/>
              <w:right w:val="nil"/>
            </w:tcBorders>
            <w:shd w:val="clear" w:color="auto" w:fill="FFFFFF"/>
          </w:tcPr>
          <w:p w14:paraId="28E7E074" w14:textId="713D0AE7" w:rsidR="00CA3996" w:rsidRDefault="00000000">
            <w:pPr>
              <w:jc w:val="center"/>
              <w:rPr>
                <w:rFonts w:ascii="Times New Roman" w:hAnsi="Times New Roman" w:cs="Times New Roman"/>
                <w:bCs/>
                <w:color w:val="000000"/>
              </w:rPr>
            </w:pPr>
            <w:r>
              <w:rPr>
                <w:rFonts w:ascii="Times New Roman" w:hAnsi="Times New Roman" w:cs="Times New Roman"/>
                <w:bCs/>
                <w:color w:val="000000"/>
              </w:rPr>
              <w:t>600</w:t>
            </w:r>
            <w:r w:rsidR="006877E8">
              <w:rPr>
                <w:rFonts w:ascii="Times New Roman" w:hAnsi="Times New Roman" w:cs="Times New Roman"/>
                <w:bCs/>
                <w:color w:val="000000"/>
              </w:rPr>
              <w:t>–</w:t>
            </w:r>
            <w:r>
              <w:rPr>
                <w:rFonts w:ascii="Times New Roman" w:hAnsi="Times New Roman" w:cs="Times New Roman"/>
                <w:bCs/>
                <w:color w:val="000000"/>
              </w:rPr>
              <w:t>770</w:t>
            </w:r>
          </w:p>
        </w:tc>
      </w:tr>
      <w:tr w:rsidR="00CA3996" w14:paraId="2155B725" w14:textId="77777777">
        <w:tc>
          <w:tcPr>
            <w:tcW w:w="3246" w:type="dxa"/>
            <w:tcBorders>
              <w:top w:val="nil"/>
              <w:left w:val="nil"/>
              <w:bottom w:val="nil"/>
              <w:right w:val="nil"/>
            </w:tcBorders>
            <w:shd w:val="clear" w:color="auto" w:fill="E9F9F8" w:themeFill="accent5" w:themeFillTint="19"/>
          </w:tcPr>
          <w:p w14:paraId="5DE37A6F"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Numerical Aperture</w:t>
            </w:r>
          </w:p>
        </w:tc>
        <w:tc>
          <w:tcPr>
            <w:tcW w:w="3246" w:type="dxa"/>
            <w:tcBorders>
              <w:top w:val="nil"/>
              <w:left w:val="nil"/>
              <w:bottom w:val="nil"/>
              <w:right w:val="nil"/>
            </w:tcBorders>
            <w:shd w:val="clear" w:color="auto" w:fill="E9F9F8" w:themeFill="accent5" w:themeFillTint="19"/>
          </w:tcPr>
          <w:p w14:paraId="7ADCEA1C" w14:textId="77777777" w:rsidR="00CA3996" w:rsidRDefault="00CA3996">
            <w:pPr>
              <w:jc w:val="center"/>
              <w:rPr>
                <w:rFonts w:ascii="Times New Roman" w:hAnsi="Times New Roman" w:cs="Times New Roman"/>
                <w:bCs/>
                <w:color w:val="000000"/>
              </w:rPr>
            </w:pPr>
          </w:p>
        </w:tc>
        <w:tc>
          <w:tcPr>
            <w:tcW w:w="3247" w:type="dxa"/>
            <w:tcBorders>
              <w:top w:val="nil"/>
              <w:left w:val="nil"/>
              <w:bottom w:val="nil"/>
              <w:right w:val="nil"/>
            </w:tcBorders>
            <w:shd w:val="clear" w:color="auto" w:fill="E9F9F8" w:themeFill="accent5" w:themeFillTint="19"/>
          </w:tcPr>
          <w:p w14:paraId="080E22B2"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0.13</w:t>
            </w:r>
          </w:p>
        </w:tc>
      </w:tr>
      <w:tr w:rsidR="00CA3996" w14:paraId="0296FB34" w14:textId="77777777">
        <w:tc>
          <w:tcPr>
            <w:tcW w:w="3246" w:type="dxa"/>
            <w:tcBorders>
              <w:top w:val="nil"/>
              <w:left w:val="nil"/>
              <w:bottom w:val="nil"/>
              <w:right w:val="nil"/>
            </w:tcBorders>
            <w:shd w:val="clear" w:color="auto" w:fill="FFFFFF"/>
          </w:tcPr>
          <w:p w14:paraId="705FCDEC"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Core Diameter</w:t>
            </w:r>
          </w:p>
        </w:tc>
        <w:tc>
          <w:tcPr>
            <w:tcW w:w="3246" w:type="dxa"/>
            <w:tcBorders>
              <w:top w:val="nil"/>
              <w:left w:val="nil"/>
              <w:bottom w:val="nil"/>
              <w:right w:val="nil"/>
            </w:tcBorders>
            <w:shd w:val="clear" w:color="auto" w:fill="FFFFFF"/>
          </w:tcPr>
          <w:p w14:paraId="266BBB84"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μm</w:t>
            </w:r>
          </w:p>
        </w:tc>
        <w:tc>
          <w:tcPr>
            <w:tcW w:w="3247" w:type="dxa"/>
            <w:tcBorders>
              <w:top w:val="nil"/>
              <w:left w:val="nil"/>
              <w:bottom w:val="nil"/>
              <w:right w:val="nil"/>
            </w:tcBorders>
            <w:shd w:val="clear" w:color="auto" w:fill="FFFFFF"/>
          </w:tcPr>
          <w:p w14:paraId="0E057645"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3.5</w:t>
            </w:r>
          </w:p>
        </w:tc>
      </w:tr>
      <w:tr w:rsidR="00CA3996" w14:paraId="49DEE83A" w14:textId="77777777">
        <w:tc>
          <w:tcPr>
            <w:tcW w:w="3246" w:type="dxa"/>
            <w:tcBorders>
              <w:top w:val="nil"/>
              <w:left w:val="nil"/>
              <w:bottom w:val="nil"/>
              <w:right w:val="nil"/>
            </w:tcBorders>
            <w:shd w:val="clear" w:color="auto" w:fill="E9F9F8" w:themeFill="accent5" w:themeFillTint="19"/>
          </w:tcPr>
          <w:p w14:paraId="752FADF6"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Cladding Diameter</w:t>
            </w:r>
          </w:p>
        </w:tc>
        <w:tc>
          <w:tcPr>
            <w:tcW w:w="3246" w:type="dxa"/>
            <w:tcBorders>
              <w:top w:val="nil"/>
              <w:left w:val="nil"/>
              <w:bottom w:val="nil"/>
              <w:right w:val="nil"/>
            </w:tcBorders>
            <w:shd w:val="clear" w:color="auto" w:fill="E9F9F8" w:themeFill="accent5" w:themeFillTint="19"/>
          </w:tcPr>
          <w:p w14:paraId="4131BFCA"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μm</w:t>
            </w:r>
          </w:p>
        </w:tc>
        <w:tc>
          <w:tcPr>
            <w:tcW w:w="3247" w:type="dxa"/>
            <w:tcBorders>
              <w:top w:val="nil"/>
              <w:left w:val="nil"/>
              <w:bottom w:val="nil"/>
              <w:right w:val="nil"/>
            </w:tcBorders>
            <w:shd w:val="clear" w:color="auto" w:fill="E9F9F8" w:themeFill="accent5" w:themeFillTint="19"/>
          </w:tcPr>
          <w:p w14:paraId="2C9777E2"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125 ± 1</w:t>
            </w:r>
          </w:p>
        </w:tc>
      </w:tr>
      <w:tr w:rsidR="00CA3996" w14:paraId="5DDF4EAF" w14:textId="77777777">
        <w:tc>
          <w:tcPr>
            <w:tcW w:w="3246" w:type="dxa"/>
            <w:tcBorders>
              <w:top w:val="nil"/>
              <w:left w:val="nil"/>
              <w:bottom w:val="nil"/>
              <w:right w:val="nil"/>
            </w:tcBorders>
            <w:shd w:val="clear" w:color="auto" w:fill="FFFFFF"/>
          </w:tcPr>
          <w:p w14:paraId="077FCBB8"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Coating Diameter</w:t>
            </w:r>
          </w:p>
        </w:tc>
        <w:tc>
          <w:tcPr>
            <w:tcW w:w="3246" w:type="dxa"/>
            <w:tcBorders>
              <w:top w:val="nil"/>
              <w:left w:val="nil"/>
              <w:bottom w:val="nil"/>
              <w:right w:val="nil"/>
            </w:tcBorders>
            <w:shd w:val="clear" w:color="auto" w:fill="FFFFFF"/>
          </w:tcPr>
          <w:p w14:paraId="4CB712BB"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μm</w:t>
            </w:r>
          </w:p>
        </w:tc>
        <w:tc>
          <w:tcPr>
            <w:tcW w:w="3247" w:type="dxa"/>
            <w:tcBorders>
              <w:top w:val="nil"/>
              <w:left w:val="nil"/>
              <w:bottom w:val="nil"/>
              <w:right w:val="nil"/>
            </w:tcBorders>
            <w:shd w:val="clear" w:color="auto" w:fill="FFFFFF"/>
          </w:tcPr>
          <w:p w14:paraId="26567550"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245 ± 15</w:t>
            </w:r>
          </w:p>
        </w:tc>
      </w:tr>
      <w:tr w:rsidR="00CA3996" w14:paraId="092188E8" w14:textId="77777777">
        <w:trPr>
          <w:trHeight w:val="321"/>
        </w:trPr>
        <w:tc>
          <w:tcPr>
            <w:tcW w:w="3246" w:type="dxa"/>
            <w:tcBorders>
              <w:top w:val="nil"/>
              <w:left w:val="nil"/>
              <w:bottom w:val="single" w:sz="6" w:space="0" w:color="30C0B4" w:themeColor="accent5"/>
              <w:right w:val="nil"/>
            </w:tcBorders>
            <w:shd w:val="clear" w:color="auto" w:fill="E9F9F8" w:themeFill="accent5" w:themeFillTint="19"/>
          </w:tcPr>
          <w:p w14:paraId="5ADA7A7F"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Operating Temperature</w:t>
            </w:r>
          </w:p>
        </w:tc>
        <w:tc>
          <w:tcPr>
            <w:tcW w:w="3246" w:type="dxa"/>
            <w:tcBorders>
              <w:top w:val="nil"/>
              <w:left w:val="nil"/>
              <w:bottom w:val="single" w:sz="6" w:space="0" w:color="30C0B4" w:themeColor="accent5"/>
              <w:right w:val="nil"/>
            </w:tcBorders>
            <w:shd w:val="clear" w:color="auto" w:fill="E9F9F8" w:themeFill="accent5" w:themeFillTint="19"/>
          </w:tcPr>
          <w:p w14:paraId="0A9A3BB2"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°C</w:t>
            </w:r>
          </w:p>
        </w:tc>
        <w:tc>
          <w:tcPr>
            <w:tcW w:w="3247" w:type="dxa"/>
            <w:tcBorders>
              <w:top w:val="nil"/>
              <w:left w:val="nil"/>
              <w:bottom w:val="single" w:sz="6" w:space="0" w:color="30C0B4" w:themeColor="accent5"/>
              <w:right w:val="nil"/>
            </w:tcBorders>
            <w:shd w:val="clear" w:color="auto" w:fill="E9F9F8" w:themeFill="accent5" w:themeFillTint="19"/>
          </w:tcPr>
          <w:p w14:paraId="59F0E22C"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 xml:space="preserve">-55 </w:t>
            </w:r>
            <w:r>
              <w:rPr>
                <w:rFonts w:ascii="Times New Roman" w:hAnsi="Times New Roman" w:cs="Times New Roman" w:hint="eastAsia"/>
                <w:bCs/>
                <w:color w:val="000000"/>
              </w:rPr>
              <w:t>to</w:t>
            </w:r>
            <w:r>
              <w:rPr>
                <w:rFonts w:ascii="Times New Roman" w:hAnsi="Times New Roman" w:cs="Times New Roman"/>
                <w:bCs/>
                <w:color w:val="000000"/>
              </w:rPr>
              <w:t xml:space="preserve"> +85</w:t>
            </w:r>
          </w:p>
        </w:tc>
      </w:tr>
    </w:tbl>
    <w:p w14:paraId="668DD45E" w14:textId="77777777" w:rsidR="00CA3996" w:rsidRDefault="00CA3996">
      <w:pPr>
        <w:rPr>
          <w:rFonts w:ascii="Times New Roman" w:hAnsi="Times New Roman" w:cs="Times New Roman"/>
        </w:rPr>
      </w:pPr>
    </w:p>
    <w:p w14:paraId="6A18FACE" w14:textId="77777777" w:rsidR="00CA3996" w:rsidRDefault="00000000">
      <w:pPr>
        <w:ind w:firstLineChars="200" w:firstLine="420"/>
        <w:rPr>
          <w:rFonts w:ascii="Times New Roman" w:hAnsi="Times New Roman" w:cs="Times New Roman"/>
        </w:rPr>
      </w:pPr>
      <w:r>
        <w:rPr>
          <w:rFonts w:ascii="Times New Roman" w:hAnsi="Times New Roman" w:cs="Times New Roman"/>
        </w:rPr>
        <w:t>A 633 nm laser source was used for the nanofocusing measurements. To facilitate efficient coupling into the fiber, a 630-HP single-mode optical fiber from Coherent/Nufern was selected; its specifications are listed in Table S16.</w:t>
      </w:r>
    </w:p>
    <w:p w14:paraId="5B5A96D0" w14:textId="77777777" w:rsidR="00CA3996" w:rsidRDefault="00CA3996">
      <w:pPr>
        <w:rPr>
          <w:rFonts w:ascii="Times New Roman" w:hAnsi="Times New Roman" w:cs="Times New Roman"/>
        </w:rPr>
      </w:pPr>
    </w:p>
    <w:p w14:paraId="3D588B92" w14:textId="77777777" w:rsidR="00CA3996" w:rsidRDefault="00000000">
      <w:pPr>
        <w:jc w:val="center"/>
        <w:rPr>
          <w:rFonts w:ascii="Times New Roman" w:hAnsi="Times New Roman" w:cs="Times New Roman"/>
          <w:b/>
          <w:bCs/>
        </w:rPr>
      </w:pPr>
      <w:r>
        <w:rPr>
          <w:rFonts w:ascii="Times New Roman" w:hAnsi="Times New Roman" w:cs="Times New Roman"/>
          <w:noProof/>
        </w:rPr>
        <w:drawing>
          <wp:inline distT="0" distB="0" distL="114300" distR="114300" wp14:anchorId="4EA9E3CE" wp14:editId="669527F5">
            <wp:extent cx="4859655" cy="3696970"/>
            <wp:effectExtent l="0" t="0" r="4445" b="1143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7"/>
                    <a:stretch>
                      <a:fillRect/>
                    </a:stretch>
                  </pic:blipFill>
                  <pic:spPr>
                    <a:xfrm>
                      <a:off x="0" y="0"/>
                      <a:ext cx="4860000" cy="3696970"/>
                    </a:xfrm>
                    <a:prstGeom prst="rect">
                      <a:avLst/>
                    </a:prstGeom>
                    <a:noFill/>
                    <a:ln>
                      <a:noFill/>
                    </a:ln>
                  </pic:spPr>
                </pic:pic>
              </a:graphicData>
            </a:graphic>
          </wp:inline>
        </w:drawing>
      </w:r>
    </w:p>
    <w:p w14:paraId="08EF29FF" w14:textId="77777777" w:rsidR="00CA3996" w:rsidRDefault="00000000">
      <w:pPr>
        <w:rPr>
          <w:rFonts w:ascii="Times New Roman" w:hAnsi="Times New Roman" w:cs="Times New Roman"/>
          <w:b/>
          <w:bCs/>
        </w:rPr>
      </w:pPr>
      <w:r>
        <w:rPr>
          <w:rFonts w:ascii="Times New Roman" w:hAnsi="Times New Roman" w:cs="Times New Roman"/>
          <w:b/>
          <w:bCs/>
        </w:rPr>
        <w:t>Fig. S17. Schematic of the polarization-resolved experimental setup for the probe focal field. A, attenuator; LP, linear polarizer; HWP, half-wave plate; MO, micro-objective; SMF, single-mode fiber.</w:t>
      </w:r>
    </w:p>
    <w:p w14:paraId="5A2AD9D3" w14:textId="77777777" w:rsidR="00CA3996" w:rsidRDefault="00CA3996">
      <w:pPr>
        <w:rPr>
          <w:rFonts w:ascii="Times New Roman" w:hAnsi="Times New Roman" w:cs="Times New Roman"/>
          <w:b/>
          <w:bCs/>
        </w:rPr>
      </w:pPr>
    </w:p>
    <w:p w14:paraId="38F36AB7" w14:textId="77777777" w:rsidR="00CA3996" w:rsidRDefault="00000000">
      <w:pPr>
        <w:ind w:firstLineChars="200" w:firstLine="420"/>
        <w:rPr>
          <w:rFonts w:ascii="Times New Roman" w:hAnsi="Times New Roman" w:cs="Times New Roman"/>
        </w:rPr>
      </w:pPr>
      <w:r>
        <w:rPr>
          <w:rFonts w:ascii="Times New Roman" w:hAnsi="Times New Roman" w:cs="Times New Roman"/>
        </w:rPr>
        <w:t>To verify the nanofocusing performance and polarization-insensitive response of the ECP, polarization-resolved far-field characterization was performed using the setup shown in Fig. S17</w:t>
      </w:r>
      <w:r>
        <w:rPr>
          <w:rFonts w:ascii="Times New Roman" w:hAnsi="Times New Roman" w:cs="Times New Roman"/>
        </w:rPr>
        <w:fldChar w:fldCharType="begin"/>
      </w:r>
      <w:r>
        <w:rPr>
          <w:rFonts w:ascii="Times New Roman" w:hAnsi="Times New Roman" w:cs="Times New Roman"/>
        </w:rPr>
        <w:instrText xml:space="preserve"> ADDIN ZOTERO_ITEM CSL_CITATION {"citationID":"lzTSkQqq","properties":{"unsorted":false,"formattedCitation":"\\super 13\\nosupersub{}","plainCitation":"13","noteIndex":0},"citationItems":[{"id":861,"uris":["http://zotero.org/users/12038018/items/IR9787CF"</w:instrText>
      </w:r>
      <w:r>
        <w:rPr>
          <w:rFonts w:ascii="Times New Roman" w:hAnsi="Times New Roman" w:cs="Times New Roman" w:hint="eastAsia"/>
        </w:rPr>
        <w:instrText>],"itemData":{"id":861,"type":"article-journal","abstract":"Abstract\n            \n              Tip</w:instrText>
      </w:r>
      <w:r>
        <w:rPr>
          <w:rFonts w:ascii="Times New Roman" w:hAnsi="Times New Roman" w:cs="Times New Roman" w:hint="eastAsia"/>
        </w:rPr>
        <w:instrText>‐</w:instrText>
      </w:r>
      <w:r>
        <w:rPr>
          <w:rFonts w:ascii="Times New Roman" w:hAnsi="Times New Roman" w:cs="Times New Roman" w:hint="eastAsia"/>
        </w:rPr>
        <w:instrText>based plasmonic nanofocusing, which delivers light into a nanoscale region and achieves localized electromagnetic (EM) field enhancement beyond the diffraction limit, is highly desired for light</w:instrText>
      </w:r>
      <w:r>
        <w:rPr>
          <w:rFonts w:ascii="Times New Roman" w:hAnsi="Times New Roman" w:cs="Times New Roman" w:hint="eastAsia"/>
        </w:rPr>
        <w:instrText>‐</w:instrText>
      </w:r>
      <w:r>
        <w:rPr>
          <w:rFonts w:ascii="Times New Roman" w:hAnsi="Times New Roman" w:cs="Times New Roman" w:hint="eastAsia"/>
        </w:rPr>
        <w:instrText>matter interaction</w:instrText>
      </w:r>
      <w:r>
        <w:rPr>
          <w:rFonts w:ascii="Times New Roman" w:hAnsi="Times New Roman" w:cs="Times New Roman" w:hint="eastAsia"/>
        </w:rPr>
        <w:instrText>‐</w:instrText>
      </w:r>
      <w:r>
        <w:rPr>
          <w:rFonts w:ascii="Times New Roman" w:hAnsi="Times New Roman" w:cs="Times New Roman" w:hint="eastAsia"/>
        </w:rPr>
        <w:instrText>based super</w:instrText>
      </w:r>
      <w:r>
        <w:rPr>
          <w:rFonts w:ascii="Times New Roman" w:hAnsi="Times New Roman" w:cs="Times New Roman" w:hint="eastAsia"/>
        </w:rPr>
        <w:instrText>‐</w:instrText>
      </w:r>
      <w:r>
        <w:rPr>
          <w:rFonts w:ascii="Times New Roman" w:hAnsi="Times New Roman" w:cs="Times New Roman" w:hint="eastAsia"/>
        </w:rPr>
        <w:instrText>resolution imaging. Here, we present the plasmonic nanofocusing at the apex of a silver (Ag)</w:instrText>
      </w:r>
      <w:r>
        <w:rPr>
          <w:rFonts w:ascii="Times New Roman" w:hAnsi="Times New Roman" w:cs="Times New Roman" w:hint="eastAsia"/>
        </w:rPr>
        <w:instrText>‐</w:instrText>
      </w:r>
      <w:r>
        <w:rPr>
          <w:rFonts w:ascii="Times New Roman" w:hAnsi="Times New Roman" w:cs="Times New Roman" w:hint="eastAsia"/>
        </w:rPr>
        <w:instrText>coated fiber tip with the internal illumination of a radial vector mode (RVM) generated directly in an optical fiber based on an acoustically</w:instrText>
      </w:r>
      <w:r>
        <w:rPr>
          <w:rFonts w:ascii="Times New Roman" w:hAnsi="Times New Roman" w:cs="Times New Roman" w:hint="eastAsia"/>
        </w:rPr>
        <w:instrText>‐</w:instrText>
      </w:r>
      <w:r>
        <w:rPr>
          <w:rFonts w:ascii="Times New Roman" w:hAnsi="Times New Roman" w:cs="Times New Roman" w:hint="eastAsia"/>
        </w:rPr>
        <w:instrText>induced fiber grating (AIFG). As illustrated by theoretical calculation, a picture of the nanofocusing plasmonic tip given by analyzing the mode conversion process that the surface plasmon polariton (SP</w:instrText>
      </w:r>
      <w:r>
        <w:rPr>
          <w:rFonts w:ascii="Times New Roman" w:hAnsi="Times New Roman" w:cs="Times New Roman"/>
        </w:rPr>
        <w:instrText xml:space="preserve">P) mode excited via the radial polarization optical mode can propagate to the apex of the plasmonic tip for nanofocusing because it is not cut off as the tip radius decreases; while the SPP mode which transited from the linear polarization optical mode cannot propagate to the tip apex for nanofocusing because it is cut off as the tip radius decreases. The electric field intensity enhancement factor  of a plasmonic tip with a tip radius of 20 nm was calculated to be ~2 × 10\n              3\n              </w:instrText>
      </w:r>
      <w:r>
        <w:rPr>
          <w:rFonts w:ascii="Times New Roman" w:hAnsi="Times New Roman" w:cs="Times New Roman" w:hint="eastAsia"/>
        </w:rPr>
        <w:instrText>. Furthermore, the electric field enhancement characteristic at the tip apex was also experimentally verified by using surface</w:instrText>
      </w:r>
      <w:r>
        <w:rPr>
          <w:rFonts w:ascii="Times New Roman" w:hAnsi="Times New Roman" w:cs="Times New Roman" w:hint="eastAsia"/>
        </w:rPr>
        <w:instrText>‐</w:instrText>
      </w:r>
      <w:r>
        <w:rPr>
          <w:rFonts w:ascii="Times New Roman" w:hAnsi="Times New Roman" w:cs="Times New Roman" w:hint="eastAsia"/>
        </w:rPr>
        <w:instrText xml:space="preserve">enhanced Raman spectroscopy (SERS). The Raman scattering intensity was observed to be ~15 times as strong as that with internal </w:instrText>
      </w:r>
      <w:r>
        <w:rPr>
          <w:rFonts w:ascii="Times New Roman" w:hAnsi="Times New Roman" w:cs="Times New Roman"/>
        </w:rPr>
        <w:instrText>illumination using the linear polarization mode (LPM), revealing their significantly different nanofocusing characteristics. A Raman sensitivity of 10\n              −14\n              m\n              was achieved for the target analyte of malachite green (MG), denoting significant electric field enhancement and effective plasmonic nanofocusing. The energy conversion efficiency of the radial polarization optical mode to the corresponding SPP mode at the tip apex was measured to be ~17%. This light delive</w:instrText>
      </w:r>
      <w:r>
        <w:rPr>
          <w:rFonts w:ascii="Times New Roman" w:hAnsi="Times New Roman" w:cs="Times New Roman" w:hint="eastAsia"/>
        </w:rPr>
        <w:instrText>ry technique can be potentially further exploited in near</w:instrText>
      </w:r>
      <w:r>
        <w:rPr>
          <w:rFonts w:ascii="Times New Roman" w:hAnsi="Times New Roman" w:cs="Times New Roman" w:hint="eastAsia"/>
        </w:rPr>
        <w:instrText>‐</w:instrText>
      </w:r>
      <w:r>
        <w:rPr>
          <w:rFonts w:ascii="Times New Roman" w:hAnsi="Times New Roman" w:cs="Times New Roman" w:hint="eastAsia"/>
        </w:rPr>
        <w:instrText>field microscopy with improved resolution and conversion efficiency.","container-title":"Nanophotonics","DOI":"10.1515/nanoph-2019-0027","ISSN":"2192-8614, 2192-8614","issue":"5","journalAbbreviati</w:instrText>
      </w:r>
      <w:r>
        <w:rPr>
          <w:rFonts w:ascii="Times New Roman" w:hAnsi="Times New Roman" w:cs="Times New Roman"/>
        </w:rPr>
        <w:instrText xml:space="preserve">on":"Nanophotonics","language":"en","license":"http://creativecommons.org/licenses/by/4.0/","page":"921-929","source":"DOI.org (Crossref)","title":"Min Liu, Fanfan Lu, 2019_Highly efficient plasmonic nanofocusing on a metallized fiber tip with internal illumination of the radial vector mode using an acousto-optic coupling approach","volume":"8","author":[{"family":"Liu","given":"Min"},{"family":"Lu","given":"Fanfan"},{"family":"Zhang","given":"Wending"},{"family":"Huang","given":"Ligang"},{"family":"Liang","given":"Shuhai"},{"family":"Mao","given":"Dong"},{"family":"Gao","given":"Feng"},{"family":"Mei","given":"Ting"},{"family":"Zhao","given":"Jianlin"}],"issued":{"date-parts":[["2019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13</w:t>
      </w:r>
      <w:r>
        <w:rPr>
          <w:rFonts w:ascii="Times New Roman" w:hAnsi="Times New Roman" w:cs="Times New Roman"/>
        </w:rPr>
        <w:fldChar w:fldCharType="end"/>
      </w:r>
      <w:r>
        <w:rPr>
          <w:rFonts w:ascii="Times New Roman" w:hAnsi="Times New Roman" w:cs="Times New Roman"/>
        </w:rPr>
        <w:t xml:space="preserve">. The 633 nm laser beam was sequentially </w:t>
      </w:r>
      <w:r>
        <w:rPr>
          <w:rFonts w:ascii="Times New Roman" w:hAnsi="Times New Roman" w:cs="Times New Roman"/>
        </w:rPr>
        <w:lastRenderedPageBreak/>
        <w:t>passed through an attenuator (A), a linear polarizer (LP</w:t>
      </w:r>
      <w:r>
        <w:rPr>
          <w:rFonts w:ascii="Times New Roman" w:hAnsi="Times New Roman" w:cs="Times New Roman"/>
          <w:vertAlign w:val="subscript"/>
        </w:rPr>
        <w:t>1</w:t>
      </w:r>
      <w:r>
        <w:rPr>
          <w:rFonts w:ascii="Times New Roman" w:hAnsi="Times New Roman" w:cs="Times New Roman"/>
        </w:rPr>
        <w:t>), and a half-wave plate (HWP) to generate linearly polarized light with a controlled polarization angle. A micro-objective (MO) was then used to focus and couple the beam into a single-mode fiber (SMF). The far-field scattering and transmission spots from the probe tip were recorded with a scientific-grade CMOS camera (Thorlabs CS126CU). For the far-field scattering measurements, a second linear polarizer (LP</w:t>
      </w:r>
      <w:r>
        <w:rPr>
          <w:rFonts w:ascii="Times New Roman" w:hAnsi="Times New Roman" w:cs="Times New Roman"/>
          <w:vertAlign w:val="subscript"/>
        </w:rPr>
        <w:t>2</w:t>
      </w:r>
      <w:r>
        <w:rPr>
          <w:rFonts w:ascii="Times New Roman" w:hAnsi="Times New Roman" w:cs="Times New Roman"/>
        </w:rPr>
        <w:t>) was placed between the probe tip and the CMOS camera to analyze the scattered field components associated with the tip focal spot. During the measurements, the incident power was adjusted continuously from 0% to 100% by the attenuator, and the incident polarization angle was tuned by rotating the HWP.</w:t>
      </w:r>
    </w:p>
    <w:p w14:paraId="6D51BA01" w14:textId="77777777" w:rsidR="00CA3996" w:rsidRDefault="00000000">
      <w:pPr>
        <w:ind w:firstLineChars="200" w:firstLine="420"/>
        <w:rPr>
          <w:rFonts w:ascii="Times New Roman" w:hAnsi="Times New Roman" w:cs="Times New Roman"/>
        </w:rPr>
      </w:pPr>
      <w:r>
        <w:rPr>
          <w:rFonts w:ascii="Times New Roman" w:hAnsi="Times New Roman" w:cs="Times New Roman"/>
        </w:rPr>
        <w:t>To identify the dominant field component in the far-field scattering signal, the attenuator, LP</w:t>
      </w:r>
      <w:r>
        <w:rPr>
          <w:rFonts w:ascii="Times New Roman" w:hAnsi="Times New Roman" w:cs="Times New Roman"/>
          <w:vertAlign w:val="subscript"/>
        </w:rPr>
        <w:t>1</w:t>
      </w:r>
      <w:r>
        <w:rPr>
          <w:rFonts w:ascii="Times New Roman" w:hAnsi="Times New Roman" w:cs="Times New Roman"/>
        </w:rPr>
        <w:t>, and HWP were kept fixed, and only LP</w:t>
      </w:r>
      <w:r>
        <w:rPr>
          <w:rFonts w:ascii="Times New Roman" w:hAnsi="Times New Roman" w:cs="Times New Roman"/>
          <w:vertAlign w:val="subscript"/>
        </w:rPr>
        <w:t>2</w:t>
      </w:r>
      <w:r>
        <w:rPr>
          <w:rFonts w:ascii="Times New Roman" w:hAnsi="Times New Roman" w:cs="Times New Roman"/>
        </w:rPr>
        <w:t xml:space="preserve"> was rotated. The focal intensity at the probe tip was then measured in the scattering direction</w:t>
      </w:r>
      <w:r>
        <w:rPr>
          <w:rFonts w:ascii="Times New Roman" w:hAnsi="Times New Roman" w:cs="Times New Roman"/>
        </w:rPr>
        <w:fldChar w:fldCharType="begin"/>
      </w:r>
      <w:r>
        <w:rPr>
          <w:rFonts w:ascii="Times New Roman" w:hAnsi="Times New Roman" w:cs="Times New Roman"/>
        </w:rPr>
        <w:instrText xml:space="preserve"> ADDIN ZOTERO_ITEM CSL_CITATION {"citationID":"jZPxaVip","properties":{"unsorted":false,"formattedCitation":"\\super 14\\nosupersub{}","plainCitation":"14","noteIndex":0},"citationItems":[{"id":184,"uris":["http://zotero.org/users/12038018/items/U8579GHR"],"itemData":{"id":184,"type":"article-journal","container-title":"ACS Photonics","DOI":"10.1021/acsphotonics.5b00339","ISSN":"2330-4022, 2330-4022","issue":"10","journalAbbreviation":"ACS Photonics","language":"en","page":"1468-1475","publisher":"American Chemical Society (ACS)","source":"Crossref","title":"Bayarjargal N. Tugchin, 2015_Plasmonic tip based on excitation of radially polarized conical surface plasmon polariton for detecting longitudinal and transversal fields","volume":"2","author":[{"family":"Tugchin","given":"Bayarjargal N."},{"family":"Janunts","given":"Norik"},{"family":"Klein","given":"Angela E."},{"family":"Steinert","given":"Michael"},{"family":"Fasold","given":"Stefan"},{"family":"Diziain","given":"Séverine"},{"family":"Sison","given":"Miguel"},{"family":"Kley","given":"Ernst-Bernhard"},{"family":"Tünnermann","given":"Andreas"},{"family":"Pertsch","given":"Thomas"}],"issued":{"date-parts":[["2015",10,21]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14</w:t>
      </w:r>
      <w:r>
        <w:rPr>
          <w:rFonts w:ascii="Times New Roman" w:hAnsi="Times New Roman" w:cs="Times New Roman"/>
        </w:rPr>
        <w:fldChar w:fldCharType="end"/>
      </w:r>
      <w:r>
        <w:rPr>
          <w:rFonts w:ascii="Times New Roman" w:hAnsi="Times New Roman" w:cs="Times New Roman"/>
        </w:rPr>
        <w:t>. The attenuation setting remained unchanged throughout this measurement. Fig. 3a–c shows the far-field scattering results of the ECP. Fig. 3a corresponds to the case without LP</w:t>
      </w:r>
      <w:r>
        <w:rPr>
          <w:rFonts w:ascii="Times New Roman" w:hAnsi="Times New Roman" w:cs="Times New Roman"/>
          <w:vertAlign w:val="subscript"/>
        </w:rPr>
        <w:t>2</w:t>
      </w:r>
      <w:r>
        <w:rPr>
          <w:rFonts w:ascii="Times New Roman" w:hAnsi="Times New Roman" w:cs="Times New Roman"/>
        </w:rPr>
        <w:t>, whereas Fig. 3b</w:t>
      </w:r>
      <w:r>
        <w:rPr>
          <w:rFonts w:ascii="Times New Roman" w:hAnsi="Times New Roman" w:cs="Times New Roman" w:hint="eastAsia"/>
        </w:rPr>
        <w:t xml:space="preserve">, </w:t>
      </w:r>
      <w:r>
        <w:rPr>
          <w:rFonts w:ascii="Times New Roman" w:hAnsi="Times New Roman" w:cs="Times New Roman"/>
        </w:rPr>
        <w:t>c show</w:t>
      </w:r>
      <w:r>
        <w:rPr>
          <w:rFonts w:ascii="Times New Roman" w:hAnsi="Times New Roman" w:cs="Times New Roman" w:hint="eastAsia"/>
        </w:rPr>
        <w:t>s</w:t>
      </w:r>
      <w:r>
        <w:rPr>
          <w:rFonts w:ascii="Times New Roman" w:hAnsi="Times New Roman" w:cs="Times New Roman"/>
        </w:rPr>
        <w:t xml:space="preserve"> the results with LP</w:t>
      </w:r>
      <w:r>
        <w:rPr>
          <w:rFonts w:ascii="Times New Roman" w:hAnsi="Times New Roman" w:cs="Times New Roman"/>
          <w:vertAlign w:val="subscript"/>
        </w:rPr>
        <w:t>2</w:t>
      </w:r>
      <w:r>
        <w:rPr>
          <w:rFonts w:ascii="Times New Roman" w:hAnsi="Times New Roman" w:cs="Times New Roman"/>
        </w:rPr>
        <w:t xml:space="preserve"> inserted. When the white arrow in the figure is horizontal, the transmission axis of LP</w:t>
      </w:r>
      <w:r>
        <w:rPr>
          <w:rFonts w:ascii="Times New Roman" w:hAnsi="Times New Roman" w:cs="Times New Roman"/>
          <w:vertAlign w:val="subscript"/>
        </w:rPr>
        <w:t>2</w:t>
      </w:r>
      <w:r>
        <w:rPr>
          <w:rFonts w:ascii="Times New Roman" w:hAnsi="Times New Roman" w:cs="Times New Roman"/>
        </w:rPr>
        <w:t xml:space="preserve"> is parallel to the probe axis, and the detected signal is dominated by the field component along the probe axis. When the white arrow is vertical, the transmission axis of LP</w:t>
      </w:r>
      <w:r>
        <w:rPr>
          <w:rFonts w:ascii="Times New Roman" w:hAnsi="Times New Roman" w:cs="Times New Roman"/>
          <w:vertAlign w:val="subscript"/>
        </w:rPr>
        <w:t>2</w:t>
      </w:r>
      <w:r>
        <w:rPr>
          <w:rFonts w:ascii="Times New Roman" w:hAnsi="Times New Roman" w:cs="Times New Roman"/>
        </w:rPr>
        <w:t xml:space="preserve"> is perpendicular to the probe axis, and the detected signal is dominated by the orthogonal field component.</w:t>
      </w:r>
    </w:p>
    <w:p w14:paraId="7359BC29" w14:textId="77777777" w:rsidR="00CA3996" w:rsidRDefault="00000000">
      <w:pPr>
        <w:ind w:firstLineChars="200" w:firstLine="420"/>
        <w:rPr>
          <w:rFonts w:ascii="Times New Roman" w:hAnsi="Times New Roman" w:cs="Times New Roman"/>
        </w:rPr>
      </w:pPr>
      <w:r>
        <w:rPr>
          <w:rFonts w:ascii="Times New Roman" w:hAnsi="Times New Roman" w:cs="Times New Roman"/>
        </w:rPr>
        <w:t>To further evaluate the polarization-insensitive response of the ECP tip, the dependence of the tip signal on the incident polarization angle was measured experimentally, and the corresponding focusing behavior was analyzed by simulation. In this set of measurements, LP</w:t>
      </w:r>
      <w:r>
        <w:rPr>
          <w:rFonts w:ascii="Times New Roman" w:hAnsi="Times New Roman" w:cs="Times New Roman"/>
          <w:vertAlign w:val="subscript"/>
        </w:rPr>
        <w:t>2</w:t>
      </w:r>
      <w:r>
        <w:rPr>
          <w:rFonts w:ascii="Times New Roman" w:hAnsi="Times New Roman" w:cs="Times New Roman"/>
        </w:rPr>
        <w:t xml:space="preserve"> in front of the CMOS camera was removed. The polarization direction of the linearly polarized input light was continuously adjusted by rotating the HWP, and the focused intensity at the probe tip was measured in both the transmission and scattering channels. Fig. 3j</w:t>
      </w:r>
      <w:r>
        <w:rPr>
          <w:rFonts w:ascii="Times New Roman" w:hAnsi="Times New Roman" w:cs="Times New Roman" w:hint="eastAsia"/>
        </w:rPr>
        <w:t xml:space="preserve">, </w:t>
      </w:r>
      <w:r>
        <w:rPr>
          <w:rFonts w:ascii="Times New Roman" w:hAnsi="Times New Roman" w:cs="Times New Roman"/>
        </w:rPr>
        <w:t>k show</w:t>
      </w:r>
      <w:r>
        <w:rPr>
          <w:rFonts w:ascii="Times New Roman" w:hAnsi="Times New Roman" w:cs="Times New Roman" w:hint="eastAsia"/>
        </w:rPr>
        <w:t>s</w:t>
      </w:r>
      <w:r>
        <w:rPr>
          <w:rFonts w:ascii="Times New Roman" w:hAnsi="Times New Roman" w:cs="Times New Roman"/>
        </w:rPr>
        <w:t xml:space="preserve"> the simulated and measured polarization dependence of tip focusing, respectively. The experimental results agree well with the simulations and show that the ECP maintains stable tip focusing under linearly polarized illumination across the full polarization rotation range.</w:t>
      </w:r>
    </w:p>
    <w:p w14:paraId="54945E37" w14:textId="77777777" w:rsidR="00CA3996" w:rsidRDefault="00CA3996">
      <w:pPr>
        <w:rPr>
          <w:rFonts w:ascii="Times New Roman" w:hAnsi="Times New Roman" w:cs="Times New Roman"/>
        </w:rPr>
      </w:pPr>
    </w:p>
    <w:p w14:paraId="5AEF3E6B" w14:textId="77777777" w:rsidR="00CA3996" w:rsidRDefault="00000000">
      <w:pPr>
        <w:rPr>
          <w:rFonts w:ascii="Times New Roman" w:hAnsi="Times New Roman" w:cs="Times New Roman"/>
          <w:b/>
          <w:bCs/>
          <w:sz w:val="24"/>
          <w:szCs w:val="32"/>
        </w:rPr>
      </w:pPr>
      <w:r>
        <w:rPr>
          <w:rFonts w:ascii="Times New Roman" w:hAnsi="Times New Roman" w:cs="Times New Roman"/>
          <w:b/>
          <w:bCs/>
          <w:sz w:val="24"/>
          <w:szCs w:val="32"/>
        </w:rPr>
        <w:t>5. Simulation and Experimental Verification of Broadband Nanofocusing of the ECP</w:t>
      </w:r>
    </w:p>
    <w:p w14:paraId="273A71EE"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032ABED8" wp14:editId="19E819F8">
            <wp:extent cx="5382895" cy="2797175"/>
            <wp:effectExtent l="0" t="0" r="1905" b="9525"/>
            <wp:docPr id="18" name="图片 18" descr="1补充材料图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补充材料图_37"/>
                    <pic:cNvPicPr>
                      <a:picLocks noChangeAspect="1"/>
                    </pic:cNvPicPr>
                  </pic:nvPicPr>
                  <pic:blipFill>
                    <a:blip r:embed="rId18"/>
                    <a:stretch>
                      <a:fillRect/>
                    </a:stretch>
                  </pic:blipFill>
                  <pic:spPr>
                    <a:xfrm>
                      <a:off x="0" y="0"/>
                      <a:ext cx="5382895" cy="2797175"/>
                    </a:xfrm>
                    <a:prstGeom prst="rect">
                      <a:avLst/>
                    </a:prstGeom>
                  </pic:spPr>
                </pic:pic>
              </a:graphicData>
            </a:graphic>
          </wp:inline>
        </w:drawing>
      </w:r>
    </w:p>
    <w:p w14:paraId="08316FE3" w14:textId="77777777" w:rsidR="00CA3996" w:rsidRDefault="00000000">
      <w:pPr>
        <w:rPr>
          <w:rFonts w:ascii="Times New Roman" w:hAnsi="Times New Roman" w:cs="Times New Roman"/>
          <w:b/>
          <w:bCs/>
        </w:rPr>
      </w:pPr>
      <w:r>
        <w:rPr>
          <w:rFonts w:ascii="Times New Roman" w:hAnsi="Times New Roman" w:cs="Times New Roman"/>
          <w:b/>
          <w:bCs/>
        </w:rPr>
        <w:t>Fig. S18. Logarithmic electric-field distributions in the xz plane near the ECP tip at five representative wavelengths: 550, 610, 658, 708, and 760 nm.</w:t>
      </w:r>
    </w:p>
    <w:p w14:paraId="6B9E0252" w14:textId="77777777" w:rsidR="00CA3996" w:rsidRDefault="00CA3996">
      <w:pPr>
        <w:rPr>
          <w:rFonts w:ascii="Times New Roman" w:hAnsi="Times New Roman" w:cs="Times New Roman"/>
          <w:b/>
          <w:bCs/>
        </w:rPr>
      </w:pPr>
    </w:p>
    <w:p w14:paraId="27CC0019" w14:textId="77777777" w:rsidR="00CA3996" w:rsidRDefault="00000000">
      <w:pPr>
        <w:ind w:firstLineChars="200" w:firstLine="420"/>
        <w:rPr>
          <w:rFonts w:ascii="Times New Roman" w:hAnsi="Times New Roman" w:cs="Times New Roman"/>
        </w:rPr>
      </w:pPr>
      <w:r>
        <w:rPr>
          <w:rFonts w:ascii="Times New Roman" w:hAnsi="Times New Roman" w:cs="Times New Roman"/>
        </w:rPr>
        <w:t xml:space="preserve">To verify broadband nanofocusing, field distributions near the tip were simulated at five representative </w:t>
      </w:r>
      <w:r>
        <w:rPr>
          <w:rFonts w:ascii="Times New Roman" w:hAnsi="Times New Roman" w:cs="Times New Roman"/>
        </w:rPr>
        <w:lastRenderedPageBreak/>
        <w:t>wavelengths using the optimized Au-film thickness of 110 nm. The results are shown in Fig. S18. At all tested wavelengths, the tip exhibits stable and pronounced field enhancement</w:t>
      </w:r>
      <w:r>
        <w:rPr>
          <w:rFonts w:ascii="Times New Roman" w:hAnsi="Times New Roman" w:cs="Times New Roman"/>
        </w:rPr>
        <w:fldChar w:fldCharType="begin"/>
      </w:r>
      <w:r>
        <w:rPr>
          <w:rFonts w:ascii="Times New Roman" w:hAnsi="Times New Roman" w:cs="Times New Roman"/>
        </w:rPr>
        <w:instrText xml:space="preserve"> ADDIN ZOTERO_ITEM CSL_CITATION {"citationID":"LFmb0JuQ","properties":{"unsorted":false,"formattedCitation":"\\super 15\\nosupersub{}","plainCitation":"15","noteIndex":0},"citationItems":[{"id":730,"uris":["http://zotero.org/users/12038018/items/I34NRJIC"],"itemData":{"id":730,"type":"article-journal","container-title":"Nature Photonics","DOI":"10.1038/s41566-019-0456-9","ISSN":"1749-4885, 1749-4893","issue":"9","journalAbbreviation":"Nat. Photonics","language":"en","page":"636-643","source":"DOI.org (Crossref)","title":"Kim, Sanggon, 2019_High external-efficiency nanofocusing for lens-free near-field optical nanoscopy","volume":"13","author":[{"family":"Kim","given":"Sanggon"},{"family":"Yu","given":"Ning"},{"family":"Ma","given":"Xuezhi"},{"family":"Zhu","given":"Yangzhi"},{"family":"Liu","given":"Qiushi"},{"family":"Liu","given":"Ming"},{"family":"Yan","given":"Ruoxue"}],"issued":{"date-parts":[["2019",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15</w:t>
      </w:r>
      <w:r>
        <w:rPr>
          <w:rFonts w:ascii="Times New Roman" w:hAnsi="Times New Roman" w:cs="Times New Roman"/>
        </w:rPr>
        <w:fldChar w:fldCharType="end"/>
      </w:r>
      <w:r>
        <w:rPr>
          <w:rFonts w:ascii="Times New Roman" w:hAnsi="Times New Roman" w:cs="Times New Roman"/>
        </w:rPr>
        <w:t>, indicating that SPPs can propagate along the probe surface and remain localized at the apex</w:t>
      </w:r>
      <w:r>
        <w:rPr>
          <w:rFonts w:ascii="Times New Roman" w:hAnsi="Times New Roman" w:cs="Times New Roman"/>
        </w:rPr>
        <w:fldChar w:fldCharType="begin"/>
      </w:r>
      <w:r>
        <w:rPr>
          <w:rFonts w:ascii="Times New Roman" w:hAnsi="Times New Roman" w:cs="Times New Roman"/>
        </w:rPr>
        <w:instrText xml:space="preserve"> ADDIN ZOTERO_ITEM CSL_CITATION {"citationID":"wal6ShF2","properties":{"unsorted":false,"formattedCitation":"\\super 16\\nosupersub{}","plainCitation":"16","noteIndex":0},"citationItems":[{"id":817,"uris":["http://zotero.org/users/12038018/items/2U54U33E"],"itemData":{"id":817,"type":"article-journal","abstract":"Surface plasmon polariton probes have important applications in super-resolution imaging and sensing. However, conventional probes often rely on complex radially polarized light excitation and struggle to achieve high-intensity electric ﬁeld enhancement localized at the probe tip, which limits their practical performance. This paper proposes a double-slit plasmonic platform-based ﬁber probe that enables efﬁcient nanofocusing under linearly polarized light by integrating the Fabry–Pérot interference enhancement mechanism of the platform-based structure with the polarization control function of the asymmetric half-ring slit. We introduce an innovative sleeve ring etching technique that increases the probe tip curvature by more than an order of magnitude while also addressing the issue of uncontrollable morphology in conventional probe fabrication. Experimental results demonstrate that the proposed probe exhibits an electric ﬁeld strength at the probe tip that is six times higher than that of an asymmetric double-slit probe at a wavelength of 633 nm. Furthermore, it maintains stable focusing across a broadband range from 580 nm to 800 nm, with particularly signiﬁcant enhancement in the short-wavelength region. Additionally, this probe achieves a resolution of 28.6 nm in optical imaging experiments, enabling simultaneous characterization of both morphological and optical properties of deep subwavelength-sized samples under ambient conditions.","container-title":"Microsystems &amp; Nanoengineering","DOI":"10.1038/s41378-026-01197-1","ISSN":"2055-7434","issue":"1","journalAbbreviation":"Microsyst. Nanoeng.","language":"en","page":"71-82","source":"DOI.org (Crossref)","title":"Dong Hanjin, 2026_Broadband plasmon modulation and high-intensity nanofocusing for high-resolution nanoscale imaging using fabry–pérot probes","volume":"12","author":[{"family":"Dong","given":"Hanjin"},{"family":"Hu","given":"Wenbo"},{"family":"Ji","given":"Peirui"},{"family":"Tao","given":"Weihao"},{"family":"Zhao","given":"Shuhao"},{"family":"Zhang","given":"Ze"},{"family":"Qin","given":"Shenghan"},{"family":"Liang","given":"Jiaxiang"},{"family":"Yang","given":"Shuming"}],"issued":{"date-parts":[["2026",2,28]]}}}],"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16</w:t>
      </w:r>
      <w:r>
        <w:rPr>
          <w:rFonts w:ascii="Times New Roman" w:hAnsi="Times New Roman" w:cs="Times New Roman"/>
        </w:rPr>
        <w:fldChar w:fldCharType="end"/>
      </w:r>
      <w:r>
        <w:rPr>
          <w:rFonts w:ascii="Times New Roman" w:hAnsi="Times New Roman" w:cs="Times New Roman"/>
        </w:rPr>
        <w:t>. At the short-wavelength limit of 550 nm, where intrinsic absorption in Au becomes more significant</w:t>
      </w:r>
      <w:r>
        <w:rPr>
          <w:rFonts w:ascii="Times New Roman" w:hAnsi="Times New Roman" w:cs="Times New Roman"/>
        </w:rPr>
        <w:fldChar w:fldCharType="begin"/>
      </w:r>
      <w:r>
        <w:rPr>
          <w:rFonts w:ascii="Times New Roman" w:hAnsi="Times New Roman" w:cs="Times New Roman"/>
        </w:rPr>
        <w:instrText xml:space="preserve"> ADDIN ZOTERO_ITEM CSL_CITATION {"citationID":"VTFEUxqr","properties":{"unsorted":false,"formattedCitation":"\\super 17\\nosupersub{}","plainCitation":"17","noteIndex":0},"citationItems":[{"id":209,"uris":["http://zotero.org/users/12038018/items/6C4PBPHW"],"itemData":{"id":209,"type":"article-journal","container-title":"Journal of Physical Chemistry C","DOI":"10.1021/acs.jpcc.0c11541","ISSN":"1932-7447, 1932-7455","issue":"11","journalAbbreviation":"J. Phys. Chem. C","language":"en","license":"https://doi.org/10.15223/policy-029","page":"6378-6386","publisher":"American Chemical Society (ACS)","source":"Crossref","title":"Koki Taguchi, 2021_Broadband plasmon nanofocusing: comprehensive study of broadband nanoscale light source","title-short":"Broadband plasmon nanofocusing","volume":"125","author":[{"family":"Taguchi","given":"Koki"},{"family":"Umakoshi","given":"Takayuki"},{"family":"Inoue","given":"Shota"},{"family":"Verma","given":"Prabhat"}],"issued":{"date-parts":[["2021",3,25]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17</w:t>
      </w:r>
      <w:r>
        <w:rPr>
          <w:rFonts w:ascii="Times New Roman" w:hAnsi="Times New Roman" w:cs="Times New Roman"/>
        </w:rPr>
        <w:fldChar w:fldCharType="end"/>
      </w:r>
      <w:r>
        <w:rPr>
          <w:rFonts w:ascii="Times New Roman" w:hAnsi="Times New Roman" w:cs="Times New Roman"/>
        </w:rPr>
        <w:t>, the platform base still recovers part of the backward-propagating SPP energy through Fabry–Pérot reflection. This compensates for propagation loss and preserves a strong apex electric-field amplitude. These results demonstrate broadband nanofocusing capability of the ECP over the visible range</w:t>
      </w:r>
      <w:r>
        <w:rPr>
          <w:rFonts w:ascii="Times New Roman" w:hAnsi="Times New Roman" w:cs="Times New Roman"/>
        </w:rPr>
        <w:fldChar w:fldCharType="begin"/>
      </w:r>
      <w:r>
        <w:rPr>
          <w:rFonts w:ascii="Times New Roman" w:hAnsi="Times New Roman" w:cs="Times New Roman"/>
        </w:rPr>
        <w:instrText xml:space="preserve"> ADDIN ZOTERO_ITEM CSL_CITATION {"citationID":"lcfwQWWW","properties":{"unsorted":false,"formattedCitation":"\\super 18\\nosupersub{}","plainCitation":"18","noteIndex":0},"citationItems":[{"id":727,"uris":["http://zotero.org/users/12038018/items/44XLM6GY"],"itemData":{"id":727,"type":"article-journal","abstract":"Nanolight sources, which are based on resonant excitation of plasmons near a sharp metallic nanostructure, have attracted tremendous interest in the vast research fields of optical nanoimaging. However, being a resonant phenomenon, this ideally works only for one wavelength that resonates with the plasmons. Multiple wavelengths of light in a broad range confined to one spot within a nanometric volume would be an interesting form of light, useful in numerous applications. Plasmon nanofocusing can generate a nanolight source through the propagation and adiabatic compressions of plasmons on a tapered metallic nanostructure, which is independent of wavelength, as it is based on the propagation, rather than resonance, of plasmons. Here, we report the generation of a white nanolight source spanning over the entire visible range through plasmon nanofocusing and demonstrate spectral bandgap nanoimaging of carbon nanotubes. Our experimental demonstration of the white nanolight source would stimulate diverse research fields toward next-generation nanophotonic technologies.","container-title":"Science Advances","DOI":"10.1126/sciadv.aba4179","issue":"23","journalAbbreviation":"Sci. Adv.","language":"en","page":"eaba4179","publisher":"American Association for the Advancement of Science","source":"science.org (Atypon)","title":"Umakoshi, 2020_White nanolight source for optical nanoimaging","volume":"6","author":[{"family":"Umakoshi","given":"Takayuki"},{"family":"Tanaka","given":"Misaki"},{"family":"Saito","given":"Yuika"},{"family":"Verma","given":"Prabhat"}],"issued":{"date-parts":[["2020",6,3]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vertAlign w:val="superscript"/>
        </w:rPr>
        <w:t>18</w:t>
      </w:r>
      <w:r>
        <w:rPr>
          <w:rFonts w:ascii="Times New Roman" w:hAnsi="Times New Roman" w:cs="Times New Roman"/>
        </w:rPr>
        <w:fldChar w:fldCharType="end"/>
      </w:r>
      <w:r>
        <w:rPr>
          <w:rFonts w:ascii="Times New Roman" w:hAnsi="Times New Roman" w:cs="Times New Roman"/>
        </w:rPr>
        <w:t>.</w:t>
      </w:r>
    </w:p>
    <w:p w14:paraId="582C7FBE" w14:textId="77777777" w:rsidR="00CA3996" w:rsidRDefault="00000000">
      <w:pPr>
        <w:ind w:firstLineChars="200" w:firstLine="420"/>
        <w:rPr>
          <w:rFonts w:ascii="Times New Roman" w:hAnsi="Times New Roman" w:cs="Times New Roman"/>
        </w:rPr>
      </w:pPr>
      <w:r>
        <w:rPr>
          <w:rFonts w:ascii="Times New Roman" w:hAnsi="Times New Roman" w:cs="Times New Roman"/>
        </w:rPr>
        <w:t>For the broadband experimental measurements, a multimode fiber was used as the transmission medium to enable efficient broadband coupling. The detailed specifications of the fiber are listed in Table S19. Compared with the single-mode fiber used in the 633 nm measurements, this multimode fiber provides a broader operating-wavelength range and is better suited for broadband optical coupling.</w:t>
      </w:r>
    </w:p>
    <w:p w14:paraId="3E2D92DC" w14:textId="77777777" w:rsidR="00CA3996" w:rsidRDefault="00000000">
      <w:pPr>
        <w:jc w:val="center"/>
        <w:rPr>
          <w:rFonts w:ascii="Times New Roman" w:hAnsi="Times New Roman" w:cs="Times New Roman"/>
          <w:b/>
          <w:bCs/>
        </w:rPr>
      </w:pPr>
      <w:r>
        <w:rPr>
          <w:rFonts w:ascii="Times New Roman" w:hAnsi="Times New Roman" w:cs="Times New Roman"/>
          <w:b/>
          <w:bCs/>
        </w:rPr>
        <w:t>Table S19. Parameters of the multimode optical fiber</w:t>
      </w:r>
    </w:p>
    <w:tbl>
      <w:tblPr>
        <w:tblStyle w:val="a9"/>
        <w:tblW w:w="0" w:type="auto"/>
        <w:tblInd w:w="106" w:type="dxa"/>
        <w:tblLook w:val="04A0" w:firstRow="1" w:lastRow="0" w:firstColumn="1" w:lastColumn="0" w:noHBand="0" w:noVBand="1"/>
      </w:tblPr>
      <w:tblGrid>
        <w:gridCol w:w="3217"/>
        <w:gridCol w:w="3207"/>
        <w:gridCol w:w="3210"/>
      </w:tblGrid>
      <w:tr w:rsidR="00CA3996" w14:paraId="152306EE" w14:textId="77777777">
        <w:tc>
          <w:tcPr>
            <w:tcW w:w="3246" w:type="dxa"/>
            <w:tcBorders>
              <w:top w:val="nil"/>
              <w:left w:val="nil"/>
              <w:bottom w:val="nil"/>
              <w:right w:val="nil"/>
            </w:tcBorders>
            <w:shd w:val="clear" w:color="auto" w:fill="30C0B4" w:themeFill="accent5"/>
          </w:tcPr>
          <w:p w14:paraId="7567DEE8" w14:textId="77777777" w:rsidR="00CA3996" w:rsidRDefault="00000000">
            <w:pPr>
              <w:jc w:val="center"/>
              <w:rPr>
                <w:rFonts w:ascii="Times New Roman" w:hAnsi="Times New Roman" w:cs="Times New Roman"/>
                <w:b/>
                <w:bCs/>
                <w:color w:val="FFFFFF"/>
              </w:rPr>
            </w:pPr>
            <w:r>
              <w:rPr>
                <w:rFonts w:ascii="Times New Roman" w:hAnsi="Times New Roman" w:cs="Times New Roman" w:hint="eastAsia"/>
                <w:b/>
                <w:bCs/>
                <w:color w:val="FFFFFF"/>
              </w:rPr>
              <w:t>P</w:t>
            </w:r>
            <w:r>
              <w:rPr>
                <w:rFonts w:ascii="Times New Roman" w:hAnsi="Times New Roman" w:cs="Times New Roman"/>
                <w:b/>
                <w:bCs/>
                <w:color w:val="FFFFFF"/>
              </w:rPr>
              <w:t>arameters</w:t>
            </w:r>
          </w:p>
        </w:tc>
        <w:tc>
          <w:tcPr>
            <w:tcW w:w="3246" w:type="dxa"/>
            <w:tcBorders>
              <w:top w:val="nil"/>
              <w:left w:val="nil"/>
              <w:bottom w:val="nil"/>
              <w:right w:val="nil"/>
            </w:tcBorders>
            <w:shd w:val="clear" w:color="auto" w:fill="30C0B4" w:themeFill="accent5"/>
          </w:tcPr>
          <w:p w14:paraId="2CDF5415" w14:textId="77777777" w:rsidR="00CA3996" w:rsidRDefault="00000000">
            <w:pPr>
              <w:jc w:val="center"/>
              <w:rPr>
                <w:rFonts w:ascii="Times New Roman" w:hAnsi="Times New Roman" w:cs="Times New Roman"/>
                <w:b/>
                <w:bCs/>
                <w:color w:val="FFFFFF"/>
              </w:rPr>
            </w:pPr>
            <w:r>
              <w:rPr>
                <w:rFonts w:ascii="Times New Roman" w:hAnsi="Times New Roman" w:cs="Times New Roman" w:hint="eastAsia"/>
                <w:b/>
                <w:bCs/>
                <w:color w:val="FFFFFF"/>
              </w:rPr>
              <w:t>U</w:t>
            </w:r>
            <w:r>
              <w:rPr>
                <w:rFonts w:ascii="Times New Roman" w:hAnsi="Times New Roman" w:cs="Times New Roman"/>
                <w:b/>
                <w:bCs/>
                <w:color w:val="FFFFFF"/>
              </w:rPr>
              <w:t>nit</w:t>
            </w:r>
          </w:p>
        </w:tc>
        <w:tc>
          <w:tcPr>
            <w:tcW w:w="3247" w:type="dxa"/>
            <w:tcBorders>
              <w:top w:val="nil"/>
              <w:left w:val="nil"/>
              <w:bottom w:val="nil"/>
              <w:right w:val="nil"/>
            </w:tcBorders>
            <w:shd w:val="clear" w:color="auto" w:fill="30C0B4" w:themeFill="accent5"/>
          </w:tcPr>
          <w:p w14:paraId="0EA96F64" w14:textId="77777777" w:rsidR="00CA3996" w:rsidRDefault="00000000">
            <w:pPr>
              <w:jc w:val="center"/>
              <w:rPr>
                <w:rFonts w:ascii="Times New Roman" w:hAnsi="Times New Roman" w:cs="Times New Roman"/>
                <w:b/>
                <w:bCs/>
                <w:color w:val="FFFFFF"/>
              </w:rPr>
            </w:pPr>
            <w:r>
              <w:rPr>
                <w:rFonts w:ascii="Times New Roman" w:hAnsi="Times New Roman" w:cs="Times New Roman" w:hint="eastAsia"/>
                <w:b/>
                <w:bCs/>
                <w:color w:val="FFFFFF"/>
              </w:rPr>
              <w:t>Value</w:t>
            </w:r>
          </w:p>
        </w:tc>
      </w:tr>
      <w:tr w:rsidR="00CA3996" w14:paraId="7558C02B" w14:textId="77777777">
        <w:tc>
          <w:tcPr>
            <w:tcW w:w="3246" w:type="dxa"/>
            <w:tcBorders>
              <w:top w:val="nil"/>
              <w:left w:val="nil"/>
              <w:bottom w:val="nil"/>
              <w:right w:val="nil"/>
            </w:tcBorders>
            <w:shd w:val="clear" w:color="auto" w:fill="FFFFFF"/>
          </w:tcPr>
          <w:p w14:paraId="7BCD8364"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Operating Wavelength</w:t>
            </w:r>
          </w:p>
        </w:tc>
        <w:tc>
          <w:tcPr>
            <w:tcW w:w="3246" w:type="dxa"/>
            <w:tcBorders>
              <w:top w:val="nil"/>
              <w:left w:val="nil"/>
              <w:bottom w:val="nil"/>
              <w:right w:val="nil"/>
            </w:tcBorders>
            <w:shd w:val="clear" w:color="auto" w:fill="FFFFFF"/>
          </w:tcPr>
          <w:p w14:paraId="1636969B"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nm</w:t>
            </w:r>
          </w:p>
        </w:tc>
        <w:tc>
          <w:tcPr>
            <w:tcW w:w="3247" w:type="dxa"/>
            <w:tcBorders>
              <w:top w:val="nil"/>
              <w:left w:val="nil"/>
              <w:bottom w:val="nil"/>
              <w:right w:val="nil"/>
            </w:tcBorders>
            <w:shd w:val="clear" w:color="auto" w:fill="FFFFFF"/>
          </w:tcPr>
          <w:p w14:paraId="473C74C7"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300–2400</w:t>
            </w:r>
          </w:p>
        </w:tc>
      </w:tr>
      <w:tr w:rsidR="00CA3996" w14:paraId="594720C0" w14:textId="77777777">
        <w:tc>
          <w:tcPr>
            <w:tcW w:w="3246" w:type="dxa"/>
            <w:tcBorders>
              <w:top w:val="nil"/>
              <w:left w:val="nil"/>
              <w:bottom w:val="nil"/>
              <w:right w:val="nil"/>
            </w:tcBorders>
            <w:shd w:val="clear" w:color="auto" w:fill="E9F9F8" w:themeFill="accent5" w:themeFillTint="19"/>
          </w:tcPr>
          <w:p w14:paraId="68D13591"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Numerical Aperture</w:t>
            </w:r>
          </w:p>
        </w:tc>
        <w:tc>
          <w:tcPr>
            <w:tcW w:w="3246" w:type="dxa"/>
            <w:tcBorders>
              <w:top w:val="nil"/>
              <w:left w:val="nil"/>
              <w:bottom w:val="nil"/>
              <w:right w:val="nil"/>
            </w:tcBorders>
            <w:shd w:val="clear" w:color="auto" w:fill="E9F9F8" w:themeFill="accent5" w:themeFillTint="19"/>
          </w:tcPr>
          <w:p w14:paraId="3D00F6EF" w14:textId="77777777" w:rsidR="00CA3996" w:rsidRDefault="00CA3996">
            <w:pPr>
              <w:jc w:val="center"/>
              <w:rPr>
                <w:rFonts w:ascii="Times New Roman" w:hAnsi="Times New Roman" w:cs="Times New Roman"/>
                <w:bCs/>
                <w:color w:val="000000"/>
              </w:rPr>
            </w:pPr>
          </w:p>
        </w:tc>
        <w:tc>
          <w:tcPr>
            <w:tcW w:w="3247" w:type="dxa"/>
            <w:tcBorders>
              <w:top w:val="nil"/>
              <w:left w:val="nil"/>
              <w:bottom w:val="nil"/>
              <w:right w:val="nil"/>
            </w:tcBorders>
            <w:shd w:val="clear" w:color="auto" w:fill="E9F9F8" w:themeFill="accent5" w:themeFillTint="19"/>
          </w:tcPr>
          <w:p w14:paraId="690E00F2"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0.22 ± 0.02</w:t>
            </w:r>
          </w:p>
        </w:tc>
      </w:tr>
      <w:tr w:rsidR="00CA3996" w14:paraId="5A1DE706" w14:textId="77777777">
        <w:tc>
          <w:tcPr>
            <w:tcW w:w="3246" w:type="dxa"/>
            <w:tcBorders>
              <w:top w:val="nil"/>
              <w:left w:val="nil"/>
              <w:bottom w:val="nil"/>
              <w:right w:val="nil"/>
            </w:tcBorders>
            <w:shd w:val="clear" w:color="auto" w:fill="FFFFFF"/>
          </w:tcPr>
          <w:p w14:paraId="18C0419D"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Core Diameter</w:t>
            </w:r>
          </w:p>
        </w:tc>
        <w:tc>
          <w:tcPr>
            <w:tcW w:w="3246" w:type="dxa"/>
            <w:tcBorders>
              <w:top w:val="nil"/>
              <w:left w:val="nil"/>
              <w:bottom w:val="nil"/>
              <w:right w:val="nil"/>
            </w:tcBorders>
            <w:shd w:val="clear" w:color="auto" w:fill="FFFFFF"/>
          </w:tcPr>
          <w:p w14:paraId="22A1F20A"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μm</w:t>
            </w:r>
          </w:p>
        </w:tc>
        <w:tc>
          <w:tcPr>
            <w:tcW w:w="3247" w:type="dxa"/>
            <w:tcBorders>
              <w:top w:val="nil"/>
              <w:left w:val="nil"/>
              <w:bottom w:val="nil"/>
              <w:right w:val="nil"/>
            </w:tcBorders>
            <w:shd w:val="clear" w:color="auto" w:fill="FFFFFF"/>
          </w:tcPr>
          <w:p w14:paraId="39CF207B"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105 ± 3</w:t>
            </w:r>
          </w:p>
        </w:tc>
      </w:tr>
      <w:tr w:rsidR="00CA3996" w14:paraId="1A7C3AB8" w14:textId="77777777">
        <w:tc>
          <w:tcPr>
            <w:tcW w:w="3246" w:type="dxa"/>
            <w:tcBorders>
              <w:top w:val="nil"/>
              <w:left w:val="nil"/>
              <w:bottom w:val="nil"/>
              <w:right w:val="nil"/>
            </w:tcBorders>
            <w:shd w:val="clear" w:color="auto" w:fill="E9F9F8" w:themeFill="accent5" w:themeFillTint="19"/>
          </w:tcPr>
          <w:p w14:paraId="4834B0F0"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Cladding Diameter</w:t>
            </w:r>
          </w:p>
        </w:tc>
        <w:tc>
          <w:tcPr>
            <w:tcW w:w="3246" w:type="dxa"/>
            <w:tcBorders>
              <w:top w:val="nil"/>
              <w:left w:val="nil"/>
              <w:bottom w:val="nil"/>
              <w:right w:val="nil"/>
            </w:tcBorders>
            <w:shd w:val="clear" w:color="auto" w:fill="E9F9F8" w:themeFill="accent5" w:themeFillTint="19"/>
          </w:tcPr>
          <w:p w14:paraId="2874C646"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μm</w:t>
            </w:r>
          </w:p>
        </w:tc>
        <w:tc>
          <w:tcPr>
            <w:tcW w:w="3247" w:type="dxa"/>
            <w:tcBorders>
              <w:top w:val="nil"/>
              <w:left w:val="nil"/>
              <w:bottom w:val="nil"/>
              <w:right w:val="nil"/>
            </w:tcBorders>
            <w:shd w:val="clear" w:color="auto" w:fill="E9F9F8" w:themeFill="accent5" w:themeFillTint="19"/>
          </w:tcPr>
          <w:p w14:paraId="22E7322A"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125 ± 2</w:t>
            </w:r>
          </w:p>
        </w:tc>
      </w:tr>
      <w:tr w:rsidR="00CA3996" w14:paraId="005F1CBF" w14:textId="77777777">
        <w:tc>
          <w:tcPr>
            <w:tcW w:w="3246" w:type="dxa"/>
            <w:tcBorders>
              <w:top w:val="nil"/>
              <w:left w:val="nil"/>
              <w:bottom w:val="nil"/>
              <w:right w:val="nil"/>
            </w:tcBorders>
            <w:shd w:val="clear" w:color="auto" w:fill="FFFFFF"/>
          </w:tcPr>
          <w:p w14:paraId="2AE566EF"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Coating Diameter</w:t>
            </w:r>
          </w:p>
        </w:tc>
        <w:tc>
          <w:tcPr>
            <w:tcW w:w="3246" w:type="dxa"/>
            <w:tcBorders>
              <w:top w:val="nil"/>
              <w:left w:val="nil"/>
              <w:bottom w:val="nil"/>
              <w:right w:val="nil"/>
            </w:tcBorders>
            <w:shd w:val="clear" w:color="auto" w:fill="FFFFFF"/>
          </w:tcPr>
          <w:p w14:paraId="3DAA9A3E"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μm</w:t>
            </w:r>
          </w:p>
        </w:tc>
        <w:tc>
          <w:tcPr>
            <w:tcW w:w="3247" w:type="dxa"/>
            <w:tcBorders>
              <w:top w:val="nil"/>
              <w:left w:val="nil"/>
              <w:bottom w:val="nil"/>
              <w:right w:val="nil"/>
            </w:tcBorders>
            <w:shd w:val="clear" w:color="auto" w:fill="FFFFFF"/>
          </w:tcPr>
          <w:p w14:paraId="54EC17EF"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250 ± 10</w:t>
            </w:r>
          </w:p>
        </w:tc>
      </w:tr>
      <w:tr w:rsidR="00CA3996" w14:paraId="1F1A5950" w14:textId="77777777">
        <w:trPr>
          <w:trHeight w:val="321"/>
        </w:trPr>
        <w:tc>
          <w:tcPr>
            <w:tcW w:w="3246" w:type="dxa"/>
            <w:tcBorders>
              <w:top w:val="nil"/>
              <w:left w:val="nil"/>
              <w:bottom w:val="single" w:sz="6" w:space="0" w:color="30C0B4" w:themeColor="accent5"/>
              <w:right w:val="nil"/>
            </w:tcBorders>
            <w:shd w:val="clear" w:color="auto" w:fill="E9F9F8" w:themeFill="accent5" w:themeFillTint="19"/>
          </w:tcPr>
          <w:p w14:paraId="5BDE7499"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Operating Temperature</w:t>
            </w:r>
          </w:p>
        </w:tc>
        <w:tc>
          <w:tcPr>
            <w:tcW w:w="3246" w:type="dxa"/>
            <w:tcBorders>
              <w:top w:val="nil"/>
              <w:left w:val="nil"/>
              <w:bottom w:val="single" w:sz="6" w:space="0" w:color="30C0B4" w:themeColor="accent5"/>
              <w:right w:val="nil"/>
            </w:tcBorders>
            <w:shd w:val="clear" w:color="auto" w:fill="E9F9F8" w:themeFill="accent5" w:themeFillTint="19"/>
          </w:tcPr>
          <w:p w14:paraId="002BE7AE"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w:t>
            </w:r>
          </w:p>
        </w:tc>
        <w:tc>
          <w:tcPr>
            <w:tcW w:w="3247" w:type="dxa"/>
            <w:tcBorders>
              <w:top w:val="nil"/>
              <w:left w:val="nil"/>
              <w:bottom w:val="single" w:sz="6" w:space="0" w:color="30C0B4" w:themeColor="accent5"/>
              <w:right w:val="nil"/>
            </w:tcBorders>
            <w:shd w:val="clear" w:color="auto" w:fill="E9F9F8" w:themeFill="accent5" w:themeFillTint="19"/>
          </w:tcPr>
          <w:p w14:paraId="2F63B4C3" w14:textId="77777777" w:rsidR="00CA3996" w:rsidRDefault="00000000">
            <w:pPr>
              <w:jc w:val="center"/>
              <w:rPr>
                <w:rFonts w:ascii="Times New Roman" w:hAnsi="Times New Roman" w:cs="Times New Roman"/>
                <w:bCs/>
                <w:color w:val="000000"/>
              </w:rPr>
            </w:pPr>
            <w:r>
              <w:rPr>
                <w:rFonts w:ascii="Times New Roman" w:hAnsi="Times New Roman" w:cs="Times New Roman"/>
                <w:bCs/>
                <w:color w:val="000000"/>
              </w:rPr>
              <w:t xml:space="preserve">-40 </w:t>
            </w:r>
            <w:r>
              <w:rPr>
                <w:rFonts w:ascii="Times New Roman" w:hAnsi="Times New Roman" w:cs="Times New Roman" w:hint="eastAsia"/>
                <w:bCs/>
                <w:color w:val="000000"/>
              </w:rPr>
              <w:t>to</w:t>
            </w:r>
            <w:r>
              <w:rPr>
                <w:rFonts w:ascii="Times New Roman" w:hAnsi="Times New Roman" w:cs="Times New Roman"/>
                <w:bCs/>
                <w:color w:val="000000"/>
              </w:rPr>
              <w:t xml:space="preserve"> +85</w:t>
            </w:r>
          </w:p>
        </w:tc>
      </w:tr>
    </w:tbl>
    <w:p w14:paraId="50E103F7" w14:textId="77777777" w:rsidR="00CA3996" w:rsidRDefault="00CA3996">
      <w:pPr>
        <w:rPr>
          <w:rFonts w:ascii="Times New Roman" w:hAnsi="Times New Roman" w:cs="Times New Roman"/>
        </w:rPr>
      </w:pPr>
    </w:p>
    <w:p w14:paraId="6361F385" w14:textId="77777777" w:rsidR="00CA3996" w:rsidRDefault="00000000">
      <w:pPr>
        <w:rPr>
          <w:rFonts w:ascii="Times New Roman" w:hAnsi="Times New Roman" w:cs="Times New Roman"/>
          <w:b/>
          <w:bCs/>
          <w:sz w:val="24"/>
          <w:szCs w:val="32"/>
        </w:rPr>
      </w:pPr>
      <w:r>
        <w:rPr>
          <w:rFonts w:ascii="Times New Roman" w:hAnsi="Times New Roman" w:cs="Times New Roman"/>
          <w:b/>
          <w:bCs/>
          <w:sz w:val="24"/>
          <w:szCs w:val="32"/>
        </w:rPr>
        <w:t>6. SEM Characterization of the Structural Dimensions of the Tested Sample</w:t>
      </w:r>
    </w:p>
    <w:p w14:paraId="3FC81886" w14:textId="77777777" w:rsidR="00CA3996" w:rsidRDefault="00000000">
      <w:pPr>
        <w:ind w:firstLineChars="200" w:firstLine="420"/>
        <w:rPr>
          <w:rFonts w:ascii="Times New Roman" w:hAnsi="Times New Roman" w:cs="Times New Roman"/>
        </w:rPr>
      </w:pPr>
      <w:r>
        <w:rPr>
          <w:rFonts w:ascii="Times New Roman" w:hAnsi="Times New Roman" w:cs="Times New Roman"/>
        </w:rPr>
        <w:t>To verify the imaging performance of the ECP in SNOM, an X-shaped nanoslit sample was fabricated by FIB milling. The SEM characterization of the sample is shown in Fig. S20. From manually annotated SEM images, the widths of nanoslits L</w:t>
      </w:r>
      <w:r>
        <w:rPr>
          <w:rFonts w:ascii="Times New Roman" w:hAnsi="Times New Roman" w:cs="Times New Roman"/>
          <w:vertAlign w:val="subscript"/>
        </w:rPr>
        <w:t>1</w:t>
      </w:r>
      <w:r>
        <w:rPr>
          <w:rFonts w:ascii="Times New Roman" w:hAnsi="Times New Roman" w:cs="Times New Roman"/>
        </w:rPr>
        <w:t xml:space="preserve"> and L</w:t>
      </w:r>
      <w:r>
        <w:rPr>
          <w:rFonts w:ascii="Times New Roman" w:hAnsi="Times New Roman" w:cs="Times New Roman"/>
          <w:vertAlign w:val="subscript"/>
        </w:rPr>
        <w:t>2</w:t>
      </w:r>
      <w:r>
        <w:rPr>
          <w:rFonts w:ascii="Times New Roman" w:hAnsi="Times New Roman" w:cs="Times New Roman"/>
        </w:rPr>
        <w:t xml:space="preserve"> were estimated to be approximately 28 nm and 34 nm, respectively, providing an independent consistency check for the AFM and SNOM measurements.</w:t>
      </w:r>
    </w:p>
    <w:p w14:paraId="7A619309" w14:textId="77777777" w:rsidR="00CA3996" w:rsidRDefault="00CA3996">
      <w:pPr>
        <w:jc w:val="center"/>
        <w:rPr>
          <w:rFonts w:ascii="Times New Roman" w:hAnsi="Times New Roman" w:cs="Times New Roman"/>
        </w:rPr>
      </w:pPr>
    </w:p>
    <w:p w14:paraId="0C52AF9E" w14:textId="77777777" w:rsidR="00CA3996"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78390D18" wp14:editId="3FB845EF">
            <wp:extent cx="6169025" cy="3470275"/>
            <wp:effectExtent l="0" t="0" r="3175" b="9525"/>
            <wp:docPr id="3" name="图片 3" descr="1补充材料图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补充材料图_34"/>
                    <pic:cNvPicPr>
                      <a:picLocks noChangeAspect="1"/>
                    </pic:cNvPicPr>
                  </pic:nvPicPr>
                  <pic:blipFill>
                    <a:blip r:embed="rId19"/>
                    <a:stretch>
                      <a:fillRect/>
                    </a:stretch>
                  </pic:blipFill>
                  <pic:spPr>
                    <a:xfrm>
                      <a:off x="0" y="0"/>
                      <a:ext cx="6169025" cy="3470275"/>
                    </a:xfrm>
                    <a:prstGeom prst="rect">
                      <a:avLst/>
                    </a:prstGeom>
                  </pic:spPr>
                </pic:pic>
              </a:graphicData>
            </a:graphic>
          </wp:inline>
        </w:drawing>
      </w:r>
    </w:p>
    <w:p w14:paraId="5B27F0E0" w14:textId="77777777" w:rsidR="00CA3996" w:rsidRDefault="00000000">
      <w:pPr>
        <w:rPr>
          <w:rFonts w:ascii="Times New Roman" w:hAnsi="Times New Roman" w:cs="Times New Roman"/>
          <w:b/>
          <w:bCs/>
        </w:rPr>
      </w:pPr>
      <w:r>
        <w:rPr>
          <w:rFonts w:ascii="Times New Roman" w:hAnsi="Times New Roman" w:cs="Times New Roman"/>
          <w:b/>
          <w:bCs/>
        </w:rPr>
        <w:t>Fig. S20</w:t>
      </w:r>
      <w:r>
        <w:rPr>
          <w:rFonts w:ascii="Times New Roman" w:hAnsi="Times New Roman" w:cs="Times New Roman" w:hint="eastAsia"/>
          <w:b/>
          <w:bCs/>
        </w:rPr>
        <w:t>.</w:t>
      </w:r>
      <w:r>
        <w:rPr>
          <w:rFonts w:ascii="Times New Roman" w:hAnsi="Times New Roman" w:cs="Times New Roman"/>
          <w:b/>
          <w:bCs/>
        </w:rPr>
        <w:t xml:space="preserve"> SEM characterization of the structural dimensions of the X-shaped crossed nanoslit sample.</w:t>
      </w:r>
    </w:p>
    <w:p w14:paraId="2650AF39" w14:textId="77777777" w:rsidR="00CA3996" w:rsidRDefault="00000000">
      <w:pPr>
        <w:rPr>
          <w:rFonts w:ascii="Times New Roman" w:hAnsi="Times New Roman" w:cs="Times New Roman"/>
          <w:b/>
          <w:bCs/>
          <w:sz w:val="24"/>
          <w:szCs w:val="32"/>
        </w:rPr>
      </w:pPr>
      <w:r>
        <w:rPr>
          <w:rFonts w:ascii="Times New Roman" w:hAnsi="Times New Roman" w:cs="Times New Roman"/>
          <w:b/>
          <w:bCs/>
          <w:sz w:val="24"/>
          <w:szCs w:val="32"/>
        </w:rPr>
        <w:lastRenderedPageBreak/>
        <w:t>7. Reference</w:t>
      </w:r>
    </w:p>
    <w:p w14:paraId="005EDC20" w14:textId="77777777" w:rsidR="00CA3996" w:rsidRDefault="00000000">
      <w:pPr>
        <w:pStyle w:val="11"/>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ADDIN ZOTERO_BIBL {"uncited":[],"omitted":[],"custom":[]} CSL_BIBLIOGRAPHY </w:instrText>
      </w:r>
      <w:r>
        <w:rPr>
          <w:rFonts w:ascii="Times New Roman" w:hAnsi="Times New Roman" w:cs="Times New Roman"/>
          <w:szCs w:val="21"/>
        </w:rPr>
        <w:fldChar w:fldCharType="separate"/>
      </w:r>
      <w:r>
        <w:rPr>
          <w:rFonts w:ascii="Times New Roman" w:hAnsi="Times New Roman" w:cs="Times New Roman"/>
          <w:szCs w:val="21"/>
        </w:rPr>
        <w:t>1.</w:t>
      </w:r>
      <w:r>
        <w:rPr>
          <w:rFonts w:ascii="Times New Roman" w:hAnsi="Times New Roman" w:cs="Times New Roman"/>
          <w:szCs w:val="21"/>
        </w:rPr>
        <w:tab/>
        <w:t xml:space="preserve">Gramotnev, D. K. &amp; Bozhevolnyi, S. I. Nanofocusing of electromagnetic radiation. </w:t>
      </w:r>
      <w:r>
        <w:rPr>
          <w:rFonts w:ascii="Times New Roman" w:hAnsi="Times New Roman" w:cs="Times New Roman"/>
          <w:i/>
          <w:iCs/>
          <w:szCs w:val="21"/>
        </w:rPr>
        <w:t>Nat. Photonics</w:t>
      </w:r>
      <w:r>
        <w:rPr>
          <w:rFonts w:ascii="Times New Roman" w:hAnsi="Times New Roman" w:cs="Times New Roman"/>
          <w:szCs w:val="21"/>
        </w:rPr>
        <w:t xml:space="preserve"> </w:t>
      </w:r>
      <w:r>
        <w:rPr>
          <w:rFonts w:ascii="Times New Roman" w:hAnsi="Times New Roman" w:cs="Times New Roman"/>
          <w:b/>
          <w:bCs/>
          <w:szCs w:val="21"/>
        </w:rPr>
        <w:t>8</w:t>
      </w:r>
      <w:r>
        <w:rPr>
          <w:rFonts w:ascii="Times New Roman" w:hAnsi="Times New Roman" w:cs="Times New Roman"/>
          <w:szCs w:val="21"/>
        </w:rPr>
        <w:t>, 13–22 (2014).</w:t>
      </w:r>
    </w:p>
    <w:p w14:paraId="522F76DD" w14:textId="1C86D8A1" w:rsidR="00CA3996" w:rsidRDefault="00000000">
      <w:pPr>
        <w:pStyle w:val="11"/>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ab/>
        <w:t xml:space="preserve">Bao, W. et al. Mapping local charge recombination heterogeneity by multidimensional nanospectroscopic imaging. </w:t>
      </w:r>
      <w:r>
        <w:rPr>
          <w:rFonts w:ascii="Times New Roman" w:hAnsi="Times New Roman" w:cs="Times New Roman"/>
          <w:i/>
          <w:iCs/>
          <w:szCs w:val="21"/>
        </w:rPr>
        <w:t>Science</w:t>
      </w:r>
      <w:r>
        <w:rPr>
          <w:rFonts w:ascii="Times New Roman" w:hAnsi="Times New Roman" w:cs="Times New Roman"/>
          <w:szCs w:val="21"/>
        </w:rPr>
        <w:t xml:space="preserve"> </w:t>
      </w:r>
      <w:r>
        <w:rPr>
          <w:rFonts w:ascii="Times New Roman" w:hAnsi="Times New Roman" w:cs="Times New Roman"/>
          <w:b/>
          <w:bCs/>
          <w:szCs w:val="21"/>
        </w:rPr>
        <w:t>338</w:t>
      </w:r>
      <w:r>
        <w:rPr>
          <w:rFonts w:ascii="Times New Roman" w:hAnsi="Times New Roman" w:cs="Times New Roman"/>
          <w:szCs w:val="21"/>
        </w:rPr>
        <w:t>, 1317–1321 (2012).</w:t>
      </w:r>
    </w:p>
    <w:p w14:paraId="01EFE1D2" w14:textId="77777777" w:rsidR="00CA3996" w:rsidRDefault="00000000">
      <w:pPr>
        <w:pStyle w:val="11"/>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ab/>
        <w:t xml:space="preserve">Li, S. et al. Plasmonic interference modulation for broadband nanofocusing. </w:t>
      </w:r>
      <w:r>
        <w:rPr>
          <w:rFonts w:ascii="Times New Roman" w:hAnsi="Times New Roman" w:cs="Times New Roman"/>
          <w:i/>
          <w:iCs/>
          <w:szCs w:val="21"/>
        </w:rPr>
        <w:t>Nanophotonics</w:t>
      </w:r>
      <w:r>
        <w:rPr>
          <w:rFonts w:ascii="Times New Roman" w:hAnsi="Times New Roman" w:cs="Times New Roman"/>
          <w:szCs w:val="21"/>
        </w:rPr>
        <w:t xml:space="preserve"> </w:t>
      </w:r>
      <w:r>
        <w:rPr>
          <w:rFonts w:ascii="Times New Roman" w:hAnsi="Times New Roman" w:cs="Times New Roman"/>
          <w:b/>
          <w:bCs/>
          <w:szCs w:val="21"/>
        </w:rPr>
        <w:t>10</w:t>
      </w:r>
      <w:r>
        <w:rPr>
          <w:rFonts w:ascii="Times New Roman" w:hAnsi="Times New Roman" w:cs="Times New Roman"/>
          <w:szCs w:val="21"/>
        </w:rPr>
        <w:t>, 4113–4123 (2021).</w:t>
      </w:r>
    </w:p>
    <w:p w14:paraId="6AB6D582" w14:textId="77777777" w:rsidR="00CA3996" w:rsidRDefault="00000000">
      <w:pPr>
        <w:pStyle w:val="11"/>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szCs w:val="21"/>
        </w:rPr>
        <w:tab/>
        <w:t xml:space="preserve">Calafiore, G. et al. Campanile near-field probes fabricated by nanoimprint lithography on the facet of an optical fiber. </w:t>
      </w:r>
      <w:r>
        <w:rPr>
          <w:rFonts w:ascii="Times New Roman" w:hAnsi="Times New Roman" w:cs="Times New Roman"/>
          <w:i/>
          <w:iCs/>
          <w:szCs w:val="21"/>
        </w:rPr>
        <w:t>Sci. Rep.</w:t>
      </w:r>
      <w:r>
        <w:rPr>
          <w:rFonts w:ascii="Times New Roman" w:hAnsi="Times New Roman" w:cs="Times New Roman"/>
          <w:szCs w:val="21"/>
        </w:rPr>
        <w:t xml:space="preserve"> </w:t>
      </w:r>
      <w:r>
        <w:rPr>
          <w:rFonts w:ascii="Times New Roman" w:hAnsi="Times New Roman" w:cs="Times New Roman"/>
          <w:b/>
          <w:bCs/>
          <w:szCs w:val="21"/>
        </w:rPr>
        <w:t>7</w:t>
      </w:r>
      <w:r>
        <w:rPr>
          <w:rFonts w:ascii="Times New Roman" w:hAnsi="Times New Roman" w:cs="Times New Roman"/>
          <w:szCs w:val="21"/>
        </w:rPr>
        <w:t>, 1651 (2017).</w:t>
      </w:r>
    </w:p>
    <w:p w14:paraId="0329BA1E" w14:textId="77777777" w:rsidR="00CA3996" w:rsidRDefault="00000000">
      <w:pPr>
        <w:pStyle w:val="11"/>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szCs w:val="21"/>
        </w:rPr>
        <w:tab/>
        <w:t xml:space="preserve">Cui, T. et al. A low-loss molybdenum plasmonic waveguide: perfect single-crystal preparation and subwavelength grating optimization. </w:t>
      </w:r>
      <w:r>
        <w:rPr>
          <w:rFonts w:ascii="Times New Roman" w:hAnsi="Times New Roman" w:cs="Times New Roman"/>
          <w:i/>
          <w:iCs/>
          <w:szCs w:val="21"/>
        </w:rPr>
        <w:t>Nanophotonics</w:t>
      </w:r>
      <w:r>
        <w:rPr>
          <w:rFonts w:ascii="Times New Roman" w:hAnsi="Times New Roman" w:cs="Times New Roman"/>
          <w:szCs w:val="21"/>
        </w:rPr>
        <w:t xml:space="preserve"> </w:t>
      </w:r>
      <w:r>
        <w:rPr>
          <w:rFonts w:ascii="Times New Roman" w:hAnsi="Times New Roman" w:cs="Times New Roman"/>
          <w:b/>
          <w:bCs/>
          <w:szCs w:val="21"/>
        </w:rPr>
        <w:t>12</w:t>
      </w:r>
      <w:r>
        <w:rPr>
          <w:rFonts w:ascii="Times New Roman" w:hAnsi="Times New Roman" w:cs="Times New Roman"/>
          <w:szCs w:val="21"/>
        </w:rPr>
        <w:t>, 4185–4193 (2023).</w:t>
      </w:r>
    </w:p>
    <w:p w14:paraId="72D5CBDD" w14:textId="77777777" w:rsidR="00CA3996" w:rsidRDefault="00000000">
      <w:pPr>
        <w:pStyle w:val="11"/>
        <w:rPr>
          <w:rFonts w:ascii="Times New Roman" w:hAnsi="Times New Roman" w:cs="Times New Roman"/>
          <w:szCs w:val="21"/>
        </w:rPr>
      </w:pPr>
      <w:r>
        <w:rPr>
          <w:rFonts w:ascii="Times New Roman" w:hAnsi="Times New Roman" w:cs="Times New Roman"/>
          <w:szCs w:val="21"/>
        </w:rPr>
        <w:t>6.</w:t>
      </w:r>
      <w:r>
        <w:rPr>
          <w:rFonts w:ascii="Times New Roman" w:hAnsi="Times New Roman" w:cs="Times New Roman"/>
          <w:szCs w:val="21"/>
        </w:rPr>
        <w:tab/>
        <w:t xml:space="preserve">Chen, Y. et al. Rapid focused ion beam milling based fabrication of plasmonic nanoparticles and assemblies via “sketch and peel” strategy. </w:t>
      </w:r>
      <w:r>
        <w:rPr>
          <w:rFonts w:ascii="Times New Roman" w:hAnsi="Times New Roman" w:cs="Times New Roman"/>
          <w:i/>
          <w:iCs/>
          <w:szCs w:val="21"/>
        </w:rPr>
        <w:t>ACS Nano</w:t>
      </w:r>
      <w:r>
        <w:rPr>
          <w:rFonts w:ascii="Times New Roman" w:hAnsi="Times New Roman" w:cs="Times New Roman"/>
          <w:szCs w:val="21"/>
        </w:rPr>
        <w:t xml:space="preserve"> </w:t>
      </w:r>
      <w:r>
        <w:rPr>
          <w:rFonts w:ascii="Times New Roman" w:hAnsi="Times New Roman" w:cs="Times New Roman"/>
          <w:b/>
          <w:bCs/>
          <w:szCs w:val="21"/>
        </w:rPr>
        <w:t>10</w:t>
      </w:r>
      <w:r>
        <w:rPr>
          <w:rFonts w:ascii="Times New Roman" w:hAnsi="Times New Roman" w:cs="Times New Roman"/>
          <w:szCs w:val="21"/>
        </w:rPr>
        <w:t>, 11228–11236 (2016).</w:t>
      </w:r>
    </w:p>
    <w:p w14:paraId="0EFADB9F" w14:textId="77777777" w:rsidR="00CA3996" w:rsidRDefault="00000000">
      <w:pPr>
        <w:pStyle w:val="11"/>
        <w:rPr>
          <w:rFonts w:ascii="Times New Roman" w:hAnsi="Times New Roman" w:cs="Times New Roman"/>
          <w:szCs w:val="21"/>
        </w:rPr>
      </w:pPr>
      <w:r>
        <w:rPr>
          <w:rFonts w:ascii="Times New Roman" w:hAnsi="Times New Roman" w:cs="Times New Roman"/>
          <w:szCs w:val="21"/>
        </w:rPr>
        <w:t>7.</w:t>
      </w:r>
      <w:r>
        <w:rPr>
          <w:rFonts w:ascii="Times New Roman" w:hAnsi="Times New Roman" w:cs="Times New Roman"/>
          <w:szCs w:val="21"/>
        </w:rPr>
        <w:tab/>
        <w:t xml:space="preserve">Lee, J. S. et al. Multifunctional hydrogel nano-probes for atomic force microscopy | nature communications. </w:t>
      </w:r>
      <w:r>
        <w:rPr>
          <w:rFonts w:ascii="Times New Roman" w:hAnsi="Times New Roman" w:cs="Times New Roman"/>
          <w:i/>
          <w:iCs/>
          <w:szCs w:val="21"/>
        </w:rPr>
        <w:t>Nat. Commun.</w:t>
      </w:r>
      <w:r>
        <w:rPr>
          <w:rFonts w:ascii="Times New Roman" w:hAnsi="Times New Roman" w:cs="Times New Roman"/>
          <w:szCs w:val="21"/>
        </w:rPr>
        <w:t xml:space="preserve"> </w:t>
      </w:r>
      <w:r>
        <w:rPr>
          <w:rFonts w:ascii="Times New Roman" w:hAnsi="Times New Roman" w:cs="Times New Roman"/>
          <w:b/>
          <w:bCs/>
          <w:szCs w:val="21"/>
        </w:rPr>
        <w:t>7</w:t>
      </w:r>
      <w:r>
        <w:rPr>
          <w:rFonts w:ascii="Times New Roman" w:hAnsi="Times New Roman" w:cs="Times New Roman"/>
          <w:szCs w:val="21"/>
        </w:rPr>
        <w:t>, 11566 (2016).</w:t>
      </w:r>
    </w:p>
    <w:p w14:paraId="48C81065" w14:textId="77777777" w:rsidR="00CA3996" w:rsidRDefault="00000000">
      <w:pPr>
        <w:pStyle w:val="11"/>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ab/>
        <w:t xml:space="preserve">Zhao, W. et al. Observation of hydrodynamic plasmons and energy waves in graphene. </w:t>
      </w:r>
      <w:r>
        <w:rPr>
          <w:rFonts w:ascii="Times New Roman" w:hAnsi="Times New Roman" w:cs="Times New Roman"/>
          <w:i/>
          <w:iCs/>
          <w:szCs w:val="21"/>
        </w:rPr>
        <w:t>Nature</w:t>
      </w:r>
      <w:r>
        <w:rPr>
          <w:rFonts w:ascii="Times New Roman" w:hAnsi="Times New Roman" w:cs="Times New Roman"/>
          <w:szCs w:val="21"/>
        </w:rPr>
        <w:t xml:space="preserve"> </w:t>
      </w:r>
      <w:r>
        <w:rPr>
          <w:rFonts w:ascii="Times New Roman" w:hAnsi="Times New Roman" w:cs="Times New Roman"/>
          <w:b/>
          <w:bCs/>
          <w:szCs w:val="21"/>
        </w:rPr>
        <w:t>614</w:t>
      </w:r>
      <w:r>
        <w:rPr>
          <w:rFonts w:ascii="Times New Roman" w:hAnsi="Times New Roman" w:cs="Times New Roman"/>
          <w:szCs w:val="21"/>
        </w:rPr>
        <w:t>, 688–693 (2023).</w:t>
      </w:r>
    </w:p>
    <w:p w14:paraId="3E29BDEB" w14:textId="77777777" w:rsidR="00CA3996" w:rsidRDefault="00000000">
      <w:pPr>
        <w:pStyle w:val="11"/>
        <w:rPr>
          <w:rFonts w:ascii="Times New Roman" w:hAnsi="Times New Roman" w:cs="Times New Roman"/>
          <w:szCs w:val="21"/>
        </w:rPr>
      </w:pPr>
      <w:r>
        <w:rPr>
          <w:rFonts w:ascii="Times New Roman" w:hAnsi="Times New Roman" w:cs="Times New Roman"/>
          <w:szCs w:val="21"/>
        </w:rPr>
        <w:t>9.</w:t>
      </w:r>
      <w:r>
        <w:rPr>
          <w:rFonts w:ascii="Times New Roman" w:hAnsi="Times New Roman" w:cs="Times New Roman"/>
          <w:szCs w:val="21"/>
        </w:rPr>
        <w:tab/>
        <w:t xml:space="preserve">Long, L., Deng, Q., Huang, R. &amp; Li, Z.-Y. Plasmonic enhanced fluorescence via 3D printing spiral conical tapered gold tip bound to optical fiber. </w:t>
      </w:r>
      <w:r>
        <w:rPr>
          <w:rFonts w:ascii="Times New Roman" w:hAnsi="Times New Roman" w:cs="Times New Roman"/>
          <w:i/>
          <w:iCs/>
          <w:szCs w:val="21"/>
        </w:rPr>
        <w:t>APL Photonics</w:t>
      </w:r>
      <w:r>
        <w:rPr>
          <w:rFonts w:ascii="Times New Roman" w:hAnsi="Times New Roman" w:cs="Times New Roman"/>
          <w:szCs w:val="21"/>
        </w:rPr>
        <w:t xml:space="preserve"> </w:t>
      </w:r>
      <w:r>
        <w:rPr>
          <w:rFonts w:ascii="Times New Roman" w:hAnsi="Times New Roman" w:cs="Times New Roman"/>
          <w:b/>
          <w:bCs/>
          <w:szCs w:val="21"/>
        </w:rPr>
        <w:t>7</w:t>
      </w:r>
      <w:r>
        <w:rPr>
          <w:rFonts w:ascii="Times New Roman" w:hAnsi="Times New Roman" w:cs="Times New Roman"/>
          <w:szCs w:val="21"/>
        </w:rPr>
        <w:t>, 46107 (2022).</w:t>
      </w:r>
    </w:p>
    <w:p w14:paraId="6267C84B" w14:textId="77777777" w:rsidR="00CA3996" w:rsidRDefault="00000000">
      <w:pPr>
        <w:pStyle w:val="11"/>
        <w:rPr>
          <w:rFonts w:ascii="Times New Roman" w:hAnsi="Times New Roman" w:cs="Times New Roman"/>
          <w:szCs w:val="21"/>
        </w:rPr>
      </w:pPr>
      <w:r>
        <w:rPr>
          <w:rFonts w:ascii="Times New Roman" w:hAnsi="Times New Roman" w:cs="Times New Roman"/>
          <w:szCs w:val="21"/>
        </w:rPr>
        <w:t>10.</w:t>
      </w:r>
      <w:r>
        <w:rPr>
          <w:rFonts w:ascii="Times New Roman" w:hAnsi="Times New Roman" w:cs="Times New Roman"/>
          <w:szCs w:val="21"/>
        </w:rPr>
        <w:tab/>
        <w:t xml:space="preserve">Güell-Grau, P. et al. Elastic plasmonic-enhanced fabry–pérot cavities with ultrasensitive stretching tunability. </w:t>
      </w:r>
      <w:r>
        <w:rPr>
          <w:rFonts w:ascii="Times New Roman" w:hAnsi="Times New Roman" w:cs="Times New Roman"/>
          <w:i/>
          <w:iCs/>
          <w:szCs w:val="21"/>
        </w:rPr>
        <w:t>Adv. Mater.</w:t>
      </w:r>
      <w:r>
        <w:rPr>
          <w:rFonts w:ascii="Times New Roman" w:hAnsi="Times New Roman" w:cs="Times New Roman"/>
          <w:szCs w:val="21"/>
        </w:rPr>
        <w:t xml:space="preserve"> </w:t>
      </w:r>
      <w:r>
        <w:rPr>
          <w:rFonts w:ascii="Times New Roman" w:hAnsi="Times New Roman" w:cs="Times New Roman"/>
          <w:b/>
          <w:bCs/>
          <w:szCs w:val="21"/>
        </w:rPr>
        <w:t>34</w:t>
      </w:r>
      <w:r>
        <w:rPr>
          <w:rFonts w:ascii="Times New Roman" w:hAnsi="Times New Roman" w:cs="Times New Roman"/>
          <w:szCs w:val="21"/>
        </w:rPr>
        <w:t>, 2106731 (2022).</w:t>
      </w:r>
    </w:p>
    <w:p w14:paraId="427BE2FA" w14:textId="77777777" w:rsidR="00CA3996" w:rsidRDefault="00000000">
      <w:pPr>
        <w:pStyle w:val="11"/>
        <w:rPr>
          <w:rFonts w:ascii="Times New Roman" w:hAnsi="Times New Roman" w:cs="Times New Roman"/>
          <w:szCs w:val="21"/>
        </w:rPr>
      </w:pPr>
      <w:r>
        <w:rPr>
          <w:rFonts w:ascii="Times New Roman" w:hAnsi="Times New Roman" w:cs="Times New Roman"/>
          <w:szCs w:val="21"/>
        </w:rPr>
        <w:t>11.</w:t>
      </w:r>
      <w:r>
        <w:rPr>
          <w:rFonts w:ascii="Times New Roman" w:hAnsi="Times New Roman" w:cs="Times New Roman"/>
          <w:szCs w:val="21"/>
        </w:rPr>
        <w:tab/>
        <w:t xml:space="preserve">Böckmann, H. et al. Near-field manipulation in a scanning tunneling microscope junction with plasmonic fabry-pérot tips. </w:t>
      </w:r>
      <w:r>
        <w:rPr>
          <w:rFonts w:ascii="Times New Roman" w:hAnsi="Times New Roman" w:cs="Times New Roman"/>
          <w:i/>
          <w:iCs/>
          <w:szCs w:val="21"/>
        </w:rPr>
        <w:t>Nano Lett.</w:t>
      </w:r>
      <w:r>
        <w:rPr>
          <w:rFonts w:ascii="Times New Roman" w:hAnsi="Times New Roman" w:cs="Times New Roman"/>
          <w:szCs w:val="21"/>
        </w:rPr>
        <w:t xml:space="preserve"> </w:t>
      </w:r>
      <w:r>
        <w:rPr>
          <w:rFonts w:ascii="Times New Roman" w:hAnsi="Times New Roman" w:cs="Times New Roman"/>
          <w:b/>
          <w:bCs/>
          <w:szCs w:val="21"/>
        </w:rPr>
        <w:t>19</w:t>
      </w:r>
      <w:r>
        <w:rPr>
          <w:rFonts w:ascii="Times New Roman" w:hAnsi="Times New Roman" w:cs="Times New Roman"/>
          <w:szCs w:val="21"/>
        </w:rPr>
        <w:t>, 3597–3602 (2019).</w:t>
      </w:r>
    </w:p>
    <w:p w14:paraId="25BF62B8" w14:textId="77777777" w:rsidR="00CA3996" w:rsidRDefault="00000000">
      <w:pPr>
        <w:pStyle w:val="11"/>
        <w:rPr>
          <w:rFonts w:ascii="Times New Roman" w:hAnsi="Times New Roman" w:cs="Times New Roman"/>
          <w:szCs w:val="21"/>
        </w:rPr>
      </w:pPr>
      <w:r>
        <w:rPr>
          <w:rFonts w:ascii="Times New Roman" w:hAnsi="Times New Roman" w:cs="Times New Roman"/>
          <w:szCs w:val="21"/>
        </w:rPr>
        <w:t>12.</w:t>
      </w:r>
      <w:r>
        <w:rPr>
          <w:rFonts w:ascii="Times New Roman" w:hAnsi="Times New Roman" w:cs="Times New Roman"/>
          <w:szCs w:val="21"/>
        </w:rPr>
        <w:tab/>
        <w:t xml:space="preserve">Wang, F. et al. A flat-based plasmonic fiber probe for nanoimaging. </w:t>
      </w:r>
      <w:r>
        <w:rPr>
          <w:rFonts w:ascii="Times New Roman" w:hAnsi="Times New Roman" w:cs="Times New Roman"/>
          <w:i/>
          <w:iCs/>
          <w:szCs w:val="21"/>
        </w:rPr>
        <w:t>Nano Res.</w:t>
      </w:r>
      <w:r>
        <w:rPr>
          <w:rFonts w:ascii="Times New Roman" w:hAnsi="Times New Roman" w:cs="Times New Roman"/>
          <w:szCs w:val="21"/>
        </w:rPr>
        <w:t xml:space="preserve"> </w:t>
      </w:r>
      <w:r>
        <w:rPr>
          <w:rFonts w:ascii="Times New Roman" w:hAnsi="Times New Roman" w:cs="Times New Roman"/>
          <w:b/>
          <w:bCs/>
          <w:szCs w:val="21"/>
        </w:rPr>
        <w:t>16</w:t>
      </w:r>
      <w:r>
        <w:rPr>
          <w:rFonts w:ascii="Times New Roman" w:hAnsi="Times New Roman" w:cs="Times New Roman"/>
          <w:szCs w:val="21"/>
        </w:rPr>
        <w:t>, 7545–7549 (2023).</w:t>
      </w:r>
    </w:p>
    <w:p w14:paraId="3A3AF4C7" w14:textId="77777777" w:rsidR="00CA3996" w:rsidRDefault="00000000">
      <w:pPr>
        <w:pStyle w:val="11"/>
        <w:rPr>
          <w:rFonts w:ascii="Times New Roman" w:hAnsi="Times New Roman" w:cs="Times New Roman"/>
          <w:szCs w:val="21"/>
        </w:rPr>
      </w:pPr>
      <w:r>
        <w:rPr>
          <w:rFonts w:ascii="Times New Roman" w:hAnsi="Times New Roman" w:cs="Times New Roman"/>
          <w:szCs w:val="21"/>
        </w:rPr>
        <w:t>13.</w:t>
      </w:r>
      <w:r>
        <w:rPr>
          <w:rFonts w:ascii="Times New Roman" w:hAnsi="Times New Roman" w:cs="Times New Roman"/>
          <w:szCs w:val="21"/>
        </w:rPr>
        <w:tab/>
        <w:t xml:space="preserve">Liu, M. et al. Highly efficient plasmonic nanofocusing on a metallized fiber tip with internal illumination of the radial vector mode using an acousto-optic coupling approach. </w:t>
      </w:r>
      <w:r>
        <w:rPr>
          <w:rFonts w:ascii="Times New Roman" w:hAnsi="Times New Roman" w:cs="Times New Roman"/>
          <w:i/>
          <w:iCs/>
          <w:szCs w:val="21"/>
        </w:rPr>
        <w:t>Nanophotonics</w:t>
      </w:r>
      <w:r>
        <w:rPr>
          <w:rFonts w:ascii="Times New Roman" w:hAnsi="Times New Roman" w:cs="Times New Roman"/>
          <w:szCs w:val="21"/>
        </w:rPr>
        <w:t xml:space="preserve"> </w:t>
      </w:r>
      <w:r>
        <w:rPr>
          <w:rFonts w:ascii="Times New Roman" w:hAnsi="Times New Roman" w:cs="Times New Roman"/>
          <w:b/>
          <w:bCs/>
          <w:szCs w:val="21"/>
        </w:rPr>
        <w:t>8</w:t>
      </w:r>
      <w:r>
        <w:rPr>
          <w:rFonts w:ascii="Times New Roman" w:hAnsi="Times New Roman" w:cs="Times New Roman"/>
          <w:szCs w:val="21"/>
        </w:rPr>
        <w:t>, 921–929 (2019).</w:t>
      </w:r>
    </w:p>
    <w:p w14:paraId="02CD3829" w14:textId="77777777" w:rsidR="00CA3996" w:rsidRDefault="00000000">
      <w:pPr>
        <w:pStyle w:val="11"/>
        <w:rPr>
          <w:rFonts w:ascii="Times New Roman" w:hAnsi="Times New Roman" w:cs="Times New Roman"/>
          <w:szCs w:val="21"/>
        </w:rPr>
      </w:pPr>
      <w:r>
        <w:rPr>
          <w:rFonts w:ascii="Times New Roman" w:hAnsi="Times New Roman" w:cs="Times New Roman"/>
          <w:szCs w:val="21"/>
        </w:rPr>
        <w:t>14.</w:t>
      </w:r>
      <w:r>
        <w:rPr>
          <w:rFonts w:ascii="Times New Roman" w:hAnsi="Times New Roman" w:cs="Times New Roman"/>
          <w:szCs w:val="21"/>
        </w:rPr>
        <w:tab/>
        <w:t xml:space="preserve">Tugchin, B. N. et al. Plasmonic tip based on excitation of radially polarized conical surface plasmon polariton for detecting longitudinal and transversal fields. </w:t>
      </w:r>
      <w:r>
        <w:rPr>
          <w:rFonts w:ascii="Times New Roman" w:hAnsi="Times New Roman" w:cs="Times New Roman"/>
          <w:i/>
          <w:iCs/>
          <w:szCs w:val="21"/>
        </w:rPr>
        <w:t>ACS Photonics</w:t>
      </w:r>
      <w:r>
        <w:rPr>
          <w:rFonts w:ascii="Times New Roman" w:hAnsi="Times New Roman" w:cs="Times New Roman"/>
          <w:szCs w:val="21"/>
        </w:rPr>
        <w:t xml:space="preserve"> </w:t>
      </w:r>
      <w:r>
        <w:rPr>
          <w:rFonts w:ascii="Times New Roman" w:hAnsi="Times New Roman" w:cs="Times New Roman"/>
          <w:b/>
          <w:bCs/>
          <w:szCs w:val="21"/>
        </w:rPr>
        <w:t>2</w:t>
      </w:r>
      <w:r>
        <w:rPr>
          <w:rFonts w:ascii="Times New Roman" w:hAnsi="Times New Roman" w:cs="Times New Roman"/>
          <w:szCs w:val="21"/>
        </w:rPr>
        <w:t>, 1468–1475 (2015).</w:t>
      </w:r>
    </w:p>
    <w:p w14:paraId="15F02369" w14:textId="77777777" w:rsidR="00CA3996" w:rsidRDefault="00000000">
      <w:pPr>
        <w:pStyle w:val="11"/>
        <w:rPr>
          <w:rFonts w:ascii="Times New Roman" w:hAnsi="Times New Roman" w:cs="Times New Roman"/>
          <w:szCs w:val="21"/>
        </w:rPr>
      </w:pPr>
      <w:r>
        <w:rPr>
          <w:rFonts w:ascii="Times New Roman" w:hAnsi="Times New Roman" w:cs="Times New Roman"/>
          <w:szCs w:val="21"/>
        </w:rPr>
        <w:t>15.</w:t>
      </w:r>
      <w:r>
        <w:rPr>
          <w:rFonts w:ascii="Times New Roman" w:hAnsi="Times New Roman" w:cs="Times New Roman"/>
          <w:szCs w:val="21"/>
        </w:rPr>
        <w:tab/>
        <w:t xml:space="preserve">Kim, S. et al. High external-efficiency nanofocusing for lens-free near-field optical nanoscopy. </w:t>
      </w:r>
      <w:r>
        <w:rPr>
          <w:rFonts w:ascii="Times New Roman" w:hAnsi="Times New Roman" w:cs="Times New Roman"/>
          <w:i/>
          <w:iCs/>
          <w:szCs w:val="21"/>
        </w:rPr>
        <w:t>Nat. Photonics</w:t>
      </w:r>
      <w:r>
        <w:rPr>
          <w:rFonts w:ascii="Times New Roman" w:hAnsi="Times New Roman" w:cs="Times New Roman"/>
          <w:szCs w:val="21"/>
        </w:rPr>
        <w:t xml:space="preserve"> </w:t>
      </w:r>
      <w:r>
        <w:rPr>
          <w:rFonts w:ascii="Times New Roman" w:hAnsi="Times New Roman" w:cs="Times New Roman"/>
          <w:b/>
          <w:bCs/>
          <w:szCs w:val="21"/>
        </w:rPr>
        <w:t>13</w:t>
      </w:r>
      <w:r>
        <w:rPr>
          <w:rFonts w:ascii="Times New Roman" w:hAnsi="Times New Roman" w:cs="Times New Roman"/>
          <w:szCs w:val="21"/>
        </w:rPr>
        <w:t>, 636–643 (2019).</w:t>
      </w:r>
    </w:p>
    <w:p w14:paraId="388B348F" w14:textId="77777777" w:rsidR="00CA3996" w:rsidRDefault="00000000">
      <w:pPr>
        <w:pStyle w:val="11"/>
        <w:rPr>
          <w:rFonts w:ascii="Times New Roman" w:hAnsi="Times New Roman" w:cs="Times New Roman"/>
          <w:szCs w:val="21"/>
        </w:rPr>
      </w:pPr>
      <w:r>
        <w:rPr>
          <w:rFonts w:ascii="Times New Roman" w:hAnsi="Times New Roman" w:cs="Times New Roman"/>
          <w:szCs w:val="21"/>
        </w:rPr>
        <w:t>16.</w:t>
      </w:r>
      <w:r>
        <w:rPr>
          <w:rFonts w:ascii="Times New Roman" w:hAnsi="Times New Roman" w:cs="Times New Roman"/>
          <w:szCs w:val="21"/>
        </w:rPr>
        <w:tab/>
        <w:t xml:space="preserve">Dong, H. et al. Broadband plasmon modulation and high-intensity nanofocusing for high-resolution nanoscale imaging using fabry–pérot probes. </w:t>
      </w:r>
      <w:r>
        <w:rPr>
          <w:rFonts w:ascii="Times New Roman" w:hAnsi="Times New Roman" w:cs="Times New Roman"/>
          <w:i/>
          <w:iCs/>
          <w:szCs w:val="21"/>
        </w:rPr>
        <w:t>Microsyst. Nanoeng.</w:t>
      </w:r>
      <w:r>
        <w:rPr>
          <w:rFonts w:ascii="Times New Roman" w:hAnsi="Times New Roman" w:cs="Times New Roman"/>
          <w:szCs w:val="21"/>
        </w:rPr>
        <w:t xml:space="preserve"> </w:t>
      </w:r>
      <w:r>
        <w:rPr>
          <w:rFonts w:ascii="Times New Roman" w:hAnsi="Times New Roman" w:cs="Times New Roman"/>
          <w:b/>
          <w:bCs/>
          <w:szCs w:val="21"/>
        </w:rPr>
        <w:t>12</w:t>
      </w:r>
      <w:r>
        <w:rPr>
          <w:rFonts w:ascii="Times New Roman" w:hAnsi="Times New Roman" w:cs="Times New Roman"/>
          <w:szCs w:val="21"/>
        </w:rPr>
        <w:t>, 71–82 (2026).</w:t>
      </w:r>
    </w:p>
    <w:p w14:paraId="4F6C3262" w14:textId="77777777" w:rsidR="00CA3996" w:rsidRDefault="00000000">
      <w:pPr>
        <w:pStyle w:val="11"/>
        <w:rPr>
          <w:rFonts w:ascii="Times New Roman" w:hAnsi="Times New Roman" w:cs="Times New Roman"/>
          <w:szCs w:val="21"/>
        </w:rPr>
      </w:pPr>
      <w:r>
        <w:rPr>
          <w:rFonts w:ascii="Times New Roman" w:hAnsi="Times New Roman" w:cs="Times New Roman"/>
          <w:szCs w:val="21"/>
        </w:rPr>
        <w:t>17.</w:t>
      </w:r>
      <w:r>
        <w:rPr>
          <w:rFonts w:ascii="Times New Roman" w:hAnsi="Times New Roman" w:cs="Times New Roman"/>
          <w:szCs w:val="21"/>
        </w:rPr>
        <w:tab/>
        <w:t xml:space="preserve">Taguchi, K., Umakoshi, T., Inoue, S. &amp; Verma, P. Broadband plasmon nanofocusing: comprehensive study of broadband nanoscale light source. </w:t>
      </w:r>
      <w:r>
        <w:rPr>
          <w:rFonts w:ascii="Times New Roman" w:hAnsi="Times New Roman" w:cs="Times New Roman"/>
          <w:i/>
          <w:iCs/>
          <w:szCs w:val="21"/>
        </w:rPr>
        <w:t>J. Phys. Chem. C</w:t>
      </w:r>
      <w:r>
        <w:rPr>
          <w:rFonts w:ascii="Times New Roman" w:hAnsi="Times New Roman" w:cs="Times New Roman"/>
          <w:szCs w:val="21"/>
        </w:rPr>
        <w:t xml:space="preserve"> </w:t>
      </w:r>
      <w:r>
        <w:rPr>
          <w:rFonts w:ascii="Times New Roman" w:hAnsi="Times New Roman" w:cs="Times New Roman"/>
          <w:b/>
          <w:bCs/>
          <w:szCs w:val="21"/>
        </w:rPr>
        <w:t>125</w:t>
      </w:r>
      <w:r>
        <w:rPr>
          <w:rFonts w:ascii="Times New Roman" w:hAnsi="Times New Roman" w:cs="Times New Roman"/>
          <w:szCs w:val="21"/>
        </w:rPr>
        <w:t>, 6378–6386 (2021).</w:t>
      </w:r>
    </w:p>
    <w:p w14:paraId="04D5AAAE" w14:textId="77777777" w:rsidR="00CA3996" w:rsidRDefault="00000000">
      <w:pPr>
        <w:pStyle w:val="11"/>
        <w:rPr>
          <w:rFonts w:ascii="Times New Roman" w:hAnsi="Times New Roman" w:cs="Times New Roman"/>
          <w:szCs w:val="21"/>
        </w:rPr>
      </w:pPr>
      <w:r>
        <w:rPr>
          <w:rFonts w:ascii="Times New Roman" w:hAnsi="Times New Roman" w:cs="Times New Roman"/>
          <w:szCs w:val="21"/>
        </w:rPr>
        <w:t>18.</w:t>
      </w:r>
      <w:r>
        <w:rPr>
          <w:rFonts w:ascii="Times New Roman" w:hAnsi="Times New Roman" w:cs="Times New Roman"/>
          <w:szCs w:val="21"/>
        </w:rPr>
        <w:tab/>
        <w:t xml:space="preserve">Umakoshi, T., Tanaka, M., Saito, Y. &amp; Verma, P. White nanolight source for optical nanoimaging. </w:t>
      </w:r>
      <w:r>
        <w:rPr>
          <w:rFonts w:ascii="Times New Roman" w:hAnsi="Times New Roman" w:cs="Times New Roman"/>
          <w:i/>
          <w:iCs/>
          <w:szCs w:val="21"/>
        </w:rPr>
        <w:t>Sci. Adv.</w:t>
      </w:r>
      <w:r>
        <w:rPr>
          <w:rFonts w:ascii="Times New Roman" w:hAnsi="Times New Roman" w:cs="Times New Roman"/>
          <w:szCs w:val="21"/>
        </w:rPr>
        <w:t xml:space="preserve"> </w:t>
      </w:r>
      <w:r>
        <w:rPr>
          <w:rFonts w:ascii="Times New Roman" w:hAnsi="Times New Roman" w:cs="Times New Roman"/>
          <w:b/>
          <w:bCs/>
          <w:szCs w:val="21"/>
        </w:rPr>
        <w:t>6</w:t>
      </w:r>
      <w:r>
        <w:rPr>
          <w:rFonts w:ascii="Times New Roman" w:hAnsi="Times New Roman" w:cs="Times New Roman"/>
          <w:szCs w:val="21"/>
        </w:rPr>
        <w:t>, eaba4179 (2020).</w:t>
      </w:r>
    </w:p>
    <w:p w14:paraId="140176DB" w14:textId="77777777" w:rsidR="00CA3996" w:rsidRDefault="00000000">
      <w:pPr>
        <w:pStyle w:val="11"/>
        <w:rPr>
          <w:rFonts w:cs="Times New Roman"/>
        </w:rPr>
      </w:pPr>
      <w:r>
        <w:rPr>
          <w:rFonts w:ascii="Times New Roman" w:hAnsi="Times New Roman" w:cs="Times New Roman"/>
          <w:szCs w:val="21"/>
        </w:rPr>
        <w:fldChar w:fldCharType="end"/>
      </w:r>
    </w:p>
    <w:sectPr w:rsidR="00CA3996">
      <w:pgSz w:w="11906" w:h="16838"/>
      <w:pgMar w:top="1440" w:right="1083" w:bottom="1440" w:left="108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441605"/>
    <w:rsid w:val="0000016C"/>
    <w:rsid w:val="00002106"/>
    <w:rsid w:val="00014EE4"/>
    <w:rsid w:val="00022890"/>
    <w:rsid w:val="00022A4E"/>
    <w:rsid w:val="00024E9D"/>
    <w:rsid w:val="000274F0"/>
    <w:rsid w:val="00027E5F"/>
    <w:rsid w:val="00031716"/>
    <w:rsid w:val="00033C1C"/>
    <w:rsid w:val="00036B84"/>
    <w:rsid w:val="000421C1"/>
    <w:rsid w:val="00046B6C"/>
    <w:rsid w:val="00050519"/>
    <w:rsid w:val="00050AFE"/>
    <w:rsid w:val="000541F4"/>
    <w:rsid w:val="00065421"/>
    <w:rsid w:val="00065A42"/>
    <w:rsid w:val="000719CC"/>
    <w:rsid w:val="00072D85"/>
    <w:rsid w:val="00080B19"/>
    <w:rsid w:val="00084C7E"/>
    <w:rsid w:val="000A07B6"/>
    <w:rsid w:val="000A294C"/>
    <w:rsid w:val="000A51DD"/>
    <w:rsid w:val="000A7883"/>
    <w:rsid w:val="000A7B49"/>
    <w:rsid w:val="000B257F"/>
    <w:rsid w:val="000B31E9"/>
    <w:rsid w:val="000C0973"/>
    <w:rsid w:val="000D09E6"/>
    <w:rsid w:val="000D4F4B"/>
    <w:rsid w:val="000D5F1F"/>
    <w:rsid w:val="000E1B96"/>
    <w:rsid w:val="000E592A"/>
    <w:rsid w:val="000E5DDB"/>
    <w:rsid w:val="000F05EA"/>
    <w:rsid w:val="00107B14"/>
    <w:rsid w:val="00117097"/>
    <w:rsid w:val="001268B0"/>
    <w:rsid w:val="001277EA"/>
    <w:rsid w:val="00131A2F"/>
    <w:rsid w:val="001366D5"/>
    <w:rsid w:val="00137009"/>
    <w:rsid w:val="00137923"/>
    <w:rsid w:val="001445BD"/>
    <w:rsid w:val="00150B1F"/>
    <w:rsid w:val="00154508"/>
    <w:rsid w:val="001565C7"/>
    <w:rsid w:val="00163126"/>
    <w:rsid w:val="001776A9"/>
    <w:rsid w:val="00185D94"/>
    <w:rsid w:val="00190C58"/>
    <w:rsid w:val="001A2410"/>
    <w:rsid w:val="001B4157"/>
    <w:rsid w:val="001D2A51"/>
    <w:rsid w:val="001D3EA3"/>
    <w:rsid w:val="001E336A"/>
    <w:rsid w:val="001E44DF"/>
    <w:rsid w:val="001E5E10"/>
    <w:rsid w:val="001E6CE3"/>
    <w:rsid w:val="001F6448"/>
    <w:rsid w:val="001F7374"/>
    <w:rsid w:val="0020302B"/>
    <w:rsid w:val="00210E87"/>
    <w:rsid w:val="0021481B"/>
    <w:rsid w:val="002234B6"/>
    <w:rsid w:val="00226650"/>
    <w:rsid w:val="00246C33"/>
    <w:rsid w:val="00253474"/>
    <w:rsid w:val="002707B8"/>
    <w:rsid w:val="00275183"/>
    <w:rsid w:val="00286D0D"/>
    <w:rsid w:val="00295DFA"/>
    <w:rsid w:val="002B1742"/>
    <w:rsid w:val="002B47CD"/>
    <w:rsid w:val="002C38AE"/>
    <w:rsid w:val="002C397D"/>
    <w:rsid w:val="002D2518"/>
    <w:rsid w:val="002E5271"/>
    <w:rsid w:val="002E7FCC"/>
    <w:rsid w:val="002F41AF"/>
    <w:rsid w:val="00300BC3"/>
    <w:rsid w:val="00301FBE"/>
    <w:rsid w:val="00305171"/>
    <w:rsid w:val="003320E5"/>
    <w:rsid w:val="00334EF4"/>
    <w:rsid w:val="003432CC"/>
    <w:rsid w:val="0034693D"/>
    <w:rsid w:val="0034756B"/>
    <w:rsid w:val="00372E68"/>
    <w:rsid w:val="00373F49"/>
    <w:rsid w:val="00376563"/>
    <w:rsid w:val="00382F19"/>
    <w:rsid w:val="0038672D"/>
    <w:rsid w:val="00390F57"/>
    <w:rsid w:val="003A24E4"/>
    <w:rsid w:val="003A3925"/>
    <w:rsid w:val="003A5DC7"/>
    <w:rsid w:val="003A6023"/>
    <w:rsid w:val="003B3E97"/>
    <w:rsid w:val="003B4BCF"/>
    <w:rsid w:val="003C0E7B"/>
    <w:rsid w:val="003C5280"/>
    <w:rsid w:val="003D6583"/>
    <w:rsid w:val="003D7F69"/>
    <w:rsid w:val="003E4F9B"/>
    <w:rsid w:val="003F330B"/>
    <w:rsid w:val="00401714"/>
    <w:rsid w:val="00410F9E"/>
    <w:rsid w:val="00414079"/>
    <w:rsid w:val="004143D6"/>
    <w:rsid w:val="00415226"/>
    <w:rsid w:val="00417A96"/>
    <w:rsid w:val="004240B4"/>
    <w:rsid w:val="00431BC5"/>
    <w:rsid w:val="00433903"/>
    <w:rsid w:val="004345E9"/>
    <w:rsid w:val="0043773C"/>
    <w:rsid w:val="00461054"/>
    <w:rsid w:val="00470FA9"/>
    <w:rsid w:val="00476FC2"/>
    <w:rsid w:val="004770A9"/>
    <w:rsid w:val="00481C96"/>
    <w:rsid w:val="00484EC6"/>
    <w:rsid w:val="0049303C"/>
    <w:rsid w:val="004A268D"/>
    <w:rsid w:val="004A64F5"/>
    <w:rsid w:val="004B1933"/>
    <w:rsid w:val="004B3DAA"/>
    <w:rsid w:val="004B4E81"/>
    <w:rsid w:val="004B6229"/>
    <w:rsid w:val="004C486A"/>
    <w:rsid w:val="004C77CB"/>
    <w:rsid w:val="004E36D7"/>
    <w:rsid w:val="004F79EB"/>
    <w:rsid w:val="005020D2"/>
    <w:rsid w:val="0050493C"/>
    <w:rsid w:val="00505D5D"/>
    <w:rsid w:val="00505DFC"/>
    <w:rsid w:val="005072EC"/>
    <w:rsid w:val="00514ED7"/>
    <w:rsid w:val="00516036"/>
    <w:rsid w:val="0052100F"/>
    <w:rsid w:val="005412AF"/>
    <w:rsid w:val="00542DE6"/>
    <w:rsid w:val="00544F13"/>
    <w:rsid w:val="00567328"/>
    <w:rsid w:val="0057035A"/>
    <w:rsid w:val="00584E18"/>
    <w:rsid w:val="00587D90"/>
    <w:rsid w:val="005947D0"/>
    <w:rsid w:val="005976C0"/>
    <w:rsid w:val="005A25C1"/>
    <w:rsid w:val="005A44AB"/>
    <w:rsid w:val="005B42F3"/>
    <w:rsid w:val="005B439C"/>
    <w:rsid w:val="005B7E17"/>
    <w:rsid w:val="005C1762"/>
    <w:rsid w:val="005C1CFE"/>
    <w:rsid w:val="005C27D7"/>
    <w:rsid w:val="005C3C8C"/>
    <w:rsid w:val="005D1075"/>
    <w:rsid w:val="005D4E5E"/>
    <w:rsid w:val="005E1067"/>
    <w:rsid w:val="005E15DF"/>
    <w:rsid w:val="005E5F94"/>
    <w:rsid w:val="005F465A"/>
    <w:rsid w:val="00605256"/>
    <w:rsid w:val="00612688"/>
    <w:rsid w:val="0061580B"/>
    <w:rsid w:val="00622765"/>
    <w:rsid w:val="0062629B"/>
    <w:rsid w:val="00644426"/>
    <w:rsid w:val="006536B0"/>
    <w:rsid w:val="00653F90"/>
    <w:rsid w:val="0067068E"/>
    <w:rsid w:val="006713D1"/>
    <w:rsid w:val="00674224"/>
    <w:rsid w:val="0067627E"/>
    <w:rsid w:val="00676809"/>
    <w:rsid w:val="00686B57"/>
    <w:rsid w:val="006877E8"/>
    <w:rsid w:val="006960B2"/>
    <w:rsid w:val="0069721D"/>
    <w:rsid w:val="006972C9"/>
    <w:rsid w:val="006A5DA3"/>
    <w:rsid w:val="006A73CB"/>
    <w:rsid w:val="006B7238"/>
    <w:rsid w:val="006D45CD"/>
    <w:rsid w:val="006D5B46"/>
    <w:rsid w:val="006E2373"/>
    <w:rsid w:val="006F0210"/>
    <w:rsid w:val="006F1423"/>
    <w:rsid w:val="00701094"/>
    <w:rsid w:val="0070553A"/>
    <w:rsid w:val="00706FF7"/>
    <w:rsid w:val="007144EB"/>
    <w:rsid w:val="00717F7A"/>
    <w:rsid w:val="00721A01"/>
    <w:rsid w:val="00722045"/>
    <w:rsid w:val="0072477B"/>
    <w:rsid w:val="007335FD"/>
    <w:rsid w:val="0074171E"/>
    <w:rsid w:val="00744D31"/>
    <w:rsid w:val="00753F8E"/>
    <w:rsid w:val="00754CB7"/>
    <w:rsid w:val="00756128"/>
    <w:rsid w:val="00756C68"/>
    <w:rsid w:val="0076004B"/>
    <w:rsid w:val="00776D72"/>
    <w:rsid w:val="00777506"/>
    <w:rsid w:val="00792C7A"/>
    <w:rsid w:val="0079559E"/>
    <w:rsid w:val="0079603A"/>
    <w:rsid w:val="0079682E"/>
    <w:rsid w:val="00797407"/>
    <w:rsid w:val="007A0245"/>
    <w:rsid w:val="007A5705"/>
    <w:rsid w:val="007A709C"/>
    <w:rsid w:val="007B1E95"/>
    <w:rsid w:val="007B593F"/>
    <w:rsid w:val="007D16D5"/>
    <w:rsid w:val="007D2252"/>
    <w:rsid w:val="007D48B6"/>
    <w:rsid w:val="007D4D7E"/>
    <w:rsid w:val="007D64F0"/>
    <w:rsid w:val="007D784C"/>
    <w:rsid w:val="007E2791"/>
    <w:rsid w:val="007E7791"/>
    <w:rsid w:val="007F63C5"/>
    <w:rsid w:val="00802639"/>
    <w:rsid w:val="00804173"/>
    <w:rsid w:val="008046C3"/>
    <w:rsid w:val="00817B2F"/>
    <w:rsid w:val="00820DCF"/>
    <w:rsid w:val="00834664"/>
    <w:rsid w:val="00840692"/>
    <w:rsid w:val="0084627A"/>
    <w:rsid w:val="008814F0"/>
    <w:rsid w:val="00884761"/>
    <w:rsid w:val="00884AC3"/>
    <w:rsid w:val="00884F2C"/>
    <w:rsid w:val="008852C0"/>
    <w:rsid w:val="00893F6B"/>
    <w:rsid w:val="008A6C3A"/>
    <w:rsid w:val="008B3FAF"/>
    <w:rsid w:val="008B5950"/>
    <w:rsid w:val="008C2FEA"/>
    <w:rsid w:val="008C4D18"/>
    <w:rsid w:val="008C7795"/>
    <w:rsid w:val="008D55FC"/>
    <w:rsid w:val="008E0EB7"/>
    <w:rsid w:val="008E39FB"/>
    <w:rsid w:val="008E4761"/>
    <w:rsid w:val="008F0008"/>
    <w:rsid w:val="00917E3A"/>
    <w:rsid w:val="00921314"/>
    <w:rsid w:val="00923E8A"/>
    <w:rsid w:val="00925157"/>
    <w:rsid w:val="00931DC9"/>
    <w:rsid w:val="00933E43"/>
    <w:rsid w:val="009355C6"/>
    <w:rsid w:val="00936F58"/>
    <w:rsid w:val="009450D7"/>
    <w:rsid w:val="00945944"/>
    <w:rsid w:val="00946073"/>
    <w:rsid w:val="00971704"/>
    <w:rsid w:val="00977202"/>
    <w:rsid w:val="00984B64"/>
    <w:rsid w:val="00985DCB"/>
    <w:rsid w:val="00993EF9"/>
    <w:rsid w:val="0099507E"/>
    <w:rsid w:val="009B35E2"/>
    <w:rsid w:val="009C3376"/>
    <w:rsid w:val="009C7E01"/>
    <w:rsid w:val="009D11B3"/>
    <w:rsid w:val="009D39BC"/>
    <w:rsid w:val="009D42F5"/>
    <w:rsid w:val="009E62F0"/>
    <w:rsid w:val="009F0052"/>
    <w:rsid w:val="009F00A8"/>
    <w:rsid w:val="009F15DC"/>
    <w:rsid w:val="009F21D9"/>
    <w:rsid w:val="00A00DE1"/>
    <w:rsid w:val="00A0144F"/>
    <w:rsid w:val="00A21F15"/>
    <w:rsid w:val="00A26124"/>
    <w:rsid w:val="00A4041D"/>
    <w:rsid w:val="00A40739"/>
    <w:rsid w:val="00A45733"/>
    <w:rsid w:val="00A52B47"/>
    <w:rsid w:val="00A52E83"/>
    <w:rsid w:val="00A633FB"/>
    <w:rsid w:val="00A661F8"/>
    <w:rsid w:val="00A72DEB"/>
    <w:rsid w:val="00A7740E"/>
    <w:rsid w:val="00A82D31"/>
    <w:rsid w:val="00A90A83"/>
    <w:rsid w:val="00A963BB"/>
    <w:rsid w:val="00A9750C"/>
    <w:rsid w:val="00AB3731"/>
    <w:rsid w:val="00AB5FF6"/>
    <w:rsid w:val="00AB6BFB"/>
    <w:rsid w:val="00AC07E1"/>
    <w:rsid w:val="00AC50B2"/>
    <w:rsid w:val="00AC789A"/>
    <w:rsid w:val="00AD27AF"/>
    <w:rsid w:val="00AD33CB"/>
    <w:rsid w:val="00AF1302"/>
    <w:rsid w:val="00AF4F8C"/>
    <w:rsid w:val="00B16AC5"/>
    <w:rsid w:val="00B27CF4"/>
    <w:rsid w:val="00B3422E"/>
    <w:rsid w:val="00B4065F"/>
    <w:rsid w:val="00B43F60"/>
    <w:rsid w:val="00B502F9"/>
    <w:rsid w:val="00B60E36"/>
    <w:rsid w:val="00B62047"/>
    <w:rsid w:val="00B656A8"/>
    <w:rsid w:val="00B724D2"/>
    <w:rsid w:val="00B735A8"/>
    <w:rsid w:val="00B814F0"/>
    <w:rsid w:val="00B839B5"/>
    <w:rsid w:val="00B84614"/>
    <w:rsid w:val="00B8542E"/>
    <w:rsid w:val="00B963EB"/>
    <w:rsid w:val="00BC250F"/>
    <w:rsid w:val="00BC2F93"/>
    <w:rsid w:val="00BC76A7"/>
    <w:rsid w:val="00BD13BE"/>
    <w:rsid w:val="00BD62B5"/>
    <w:rsid w:val="00BE1183"/>
    <w:rsid w:val="00BE6282"/>
    <w:rsid w:val="00BE6AC1"/>
    <w:rsid w:val="00BF0F9A"/>
    <w:rsid w:val="00BF3136"/>
    <w:rsid w:val="00C0045A"/>
    <w:rsid w:val="00C013A2"/>
    <w:rsid w:val="00C02803"/>
    <w:rsid w:val="00C033E5"/>
    <w:rsid w:val="00C06163"/>
    <w:rsid w:val="00C11035"/>
    <w:rsid w:val="00C16F8E"/>
    <w:rsid w:val="00C213F1"/>
    <w:rsid w:val="00C271FF"/>
    <w:rsid w:val="00C47D8C"/>
    <w:rsid w:val="00C50D86"/>
    <w:rsid w:val="00C5476C"/>
    <w:rsid w:val="00C60E55"/>
    <w:rsid w:val="00C63B1D"/>
    <w:rsid w:val="00C77C43"/>
    <w:rsid w:val="00C81903"/>
    <w:rsid w:val="00C81E9B"/>
    <w:rsid w:val="00C8205E"/>
    <w:rsid w:val="00C8216F"/>
    <w:rsid w:val="00C85B48"/>
    <w:rsid w:val="00C8664C"/>
    <w:rsid w:val="00C87281"/>
    <w:rsid w:val="00CA105D"/>
    <w:rsid w:val="00CA3996"/>
    <w:rsid w:val="00CB4060"/>
    <w:rsid w:val="00CB7061"/>
    <w:rsid w:val="00CB7260"/>
    <w:rsid w:val="00CC245F"/>
    <w:rsid w:val="00CC3809"/>
    <w:rsid w:val="00CC664F"/>
    <w:rsid w:val="00CC6D6C"/>
    <w:rsid w:val="00CD177A"/>
    <w:rsid w:val="00CD4F05"/>
    <w:rsid w:val="00CD54A3"/>
    <w:rsid w:val="00CE4C0A"/>
    <w:rsid w:val="00CF3752"/>
    <w:rsid w:val="00D06FAC"/>
    <w:rsid w:val="00D11120"/>
    <w:rsid w:val="00D161C3"/>
    <w:rsid w:val="00D21D60"/>
    <w:rsid w:val="00D25335"/>
    <w:rsid w:val="00D271D1"/>
    <w:rsid w:val="00D32B91"/>
    <w:rsid w:val="00D42000"/>
    <w:rsid w:val="00D5254E"/>
    <w:rsid w:val="00D561BD"/>
    <w:rsid w:val="00D56269"/>
    <w:rsid w:val="00D6046A"/>
    <w:rsid w:val="00D65804"/>
    <w:rsid w:val="00D71803"/>
    <w:rsid w:val="00D73D1F"/>
    <w:rsid w:val="00D76E34"/>
    <w:rsid w:val="00D77166"/>
    <w:rsid w:val="00D81EEA"/>
    <w:rsid w:val="00D8318C"/>
    <w:rsid w:val="00D86895"/>
    <w:rsid w:val="00D87655"/>
    <w:rsid w:val="00D91701"/>
    <w:rsid w:val="00D92D48"/>
    <w:rsid w:val="00DA2E52"/>
    <w:rsid w:val="00DA5C53"/>
    <w:rsid w:val="00DB1182"/>
    <w:rsid w:val="00DB3A22"/>
    <w:rsid w:val="00DD0D09"/>
    <w:rsid w:val="00DD771B"/>
    <w:rsid w:val="00DF0281"/>
    <w:rsid w:val="00DF23D0"/>
    <w:rsid w:val="00E04515"/>
    <w:rsid w:val="00E05221"/>
    <w:rsid w:val="00E12F98"/>
    <w:rsid w:val="00E1676B"/>
    <w:rsid w:val="00E22692"/>
    <w:rsid w:val="00E26B2F"/>
    <w:rsid w:val="00E43801"/>
    <w:rsid w:val="00E55ABA"/>
    <w:rsid w:val="00E665B4"/>
    <w:rsid w:val="00E73434"/>
    <w:rsid w:val="00E757D6"/>
    <w:rsid w:val="00E809F5"/>
    <w:rsid w:val="00E85EBD"/>
    <w:rsid w:val="00E94AC1"/>
    <w:rsid w:val="00E968EB"/>
    <w:rsid w:val="00EA065D"/>
    <w:rsid w:val="00EA2B70"/>
    <w:rsid w:val="00EA3C74"/>
    <w:rsid w:val="00EB0D40"/>
    <w:rsid w:val="00EB439B"/>
    <w:rsid w:val="00EB4FC9"/>
    <w:rsid w:val="00EC6105"/>
    <w:rsid w:val="00ED00A0"/>
    <w:rsid w:val="00ED0352"/>
    <w:rsid w:val="00ED64AE"/>
    <w:rsid w:val="00ED76CD"/>
    <w:rsid w:val="00EE6784"/>
    <w:rsid w:val="00EE7541"/>
    <w:rsid w:val="00F02A9F"/>
    <w:rsid w:val="00F04C48"/>
    <w:rsid w:val="00F10697"/>
    <w:rsid w:val="00F15FE5"/>
    <w:rsid w:val="00F3365C"/>
    <w:rsid w:val="00F361DD"/>
    <w:rsid w:val="00F37D66"/>
    <w:rsid w:val="00F471B0"/>
    <w:rsid w:val="00F6444E"/>
    <w:rsid w:val="00F651D9"/>
    <w:rsid w:val="00F66DBC"/>
    <w:rsid w:val="00F70B1C"/>
    <w:rsid w:val="00F9181B"/>
    <w:rsid w:val="00F92775"/>
    <w:rsid w:val="00FB35AA"/>
    <w:rsid w:val="00FB5352"/>
    <w:rsid w:val="00FB6F8A"/>
    <w:rsid w:val="00FB7CD2"/>
    <w:rsid w:val="00FC20D5"/>
    <w:rsid w:val="00FD21ED"/>
    <w:rsid w:val="00FF55DE"/>
    <w:rsid w:val="01243EE0"/>
    <w:rsid w:val="012F41F1"/>
    <w:rsid w:val="01341807"/>
    <w:rsid w:val="016826E3"/>
    <w:rsid w:val="017B11E4"/>
    <w:rsid w:val="01B62938"/>
    <w:rsid w:val="01C41B44"/>
    <w:rsid w:val="01D408F4"/>
    <w:rsid w:val="01ED048F"/>
    <w:rsid w:val="01F13F3B"/>
    <w:rsid w:val="02181129"/>
    <w:rsid w:val="0256755B"/>
    <w:rsid w:val="02671407"/>
    <w:rsid w:val="02946189"/>
    <w:rsid w:val="02B96008"/>
    <w:rsid w:val="02BC0060"/>
    <w:rsid w:val="02EF1E8A"/>
    <w:rsid w:val="03131EAA"/>
    <w:rsid w:val="03407427"/>
    <w:rsid w:val="03516971"/>
    <w:rsid w:val="03DC4884"/>
    <w:rsid w:val="042E0790"/>
    <w:rsid w:val="045C6B71"/>
    <w:rsid w:val="046046C1"/>
    <w:rsid w:val="04B35139"/>
    <w:rsid w:val="04B54A0D"/>
    <w:rsid w:val="04E0513C"/>
    <w:rsid w:val="04E946B7"/>
    <w:rsid w:val="04ED41A7"/>
    <w:rsid w:val="052D0A47"/>
    <w:rsid w:val="05386E6C"/>
    <w:rsid w:val="055C30DB"/>
    <w:rsid w:val="056401E1"/>
    <w:rsid w:val="05972365"/>
    <w:rsid w:val="059E60FE"/>
    <w:rsid w:val="05A47918"/>
    <w:rsid w:val="05C054C9"/>
    <w:rsid w:val="05C43C91"/>
    <w:rsid w:val="05DD2639"/>
    <w:rsid w:val="06137352"/>
    <w:rsid w:val="065A6B29"/>
    <w:rsid w:val="06AB0D36"/>
    <w:rsid w:val="06CA5462"/>
    <w:rsid w:val="06F913D7"/>
    <w:rsid w:val="0705220C"/>
    <w:rsid w:val="072F2309"/>
    <w:rsid w:val="07385401"/>
    <w:rsid w:val="0738703F"/>
    <w:rsid w:val="074004F7"/>
    <w:rsid w:val="07442078"/>
    <w:rsid w:val="078D1C71"/>
    <w:rsid w:val="07AD5E6F"/>
    <w:rsid w:val="07CA23E9"/>
    <w:rsid w:val="08536A17"/>
    <w:rsid w:val="08C96CD9"/>
    <w:rsid w:val="08FB2C0B"/>
    <w:rsid w:val="0997655F"/>
    <w:rsid w:val="09A2382B"/>
    <w:rsid w:val="09A82D92"/>
    <w:rsid w:val="09B07E99"/>
    <w:rsid w:val="09BF1E8A"/>
    <w:rsid w:val="09D45935"/>
    <w:rsid w:val="09ED69F7"/>
    <w:rsid w:val="0A1B3512"/>
    <w:rsid w:val="0A287A2F"/>
    <w:rsid w:val="0A34054E"/>
    <w:rsid w:val="0A40121D"/>
    <w:rsid w:val="0A791276"/>
    <w:rsid w:val="0A9617A0"/>
    <w:rsid w:val="0B220922"/>
    <w:rsid w:val="0B2C1341"/>
    <w:rsid w:val="0B586A2E"/>
    <w:rsid w:val="0B5E525D"/>
    <w:rsid w:val="0B6E5FE8"/>
    <w:rsid w:val="0B8A1F9A"/>
    <w:rsid w:val="0BA27697"/>
    <w:rsid w:val="0BA47589"/>
    <w:rsid w:val="0BC11EE9"/>
    <w:rsid w:val="0BC1638D"/>
    <w:rsid w:val="0BC36FC1"/>
    <w:rsid w:val="0BF16C73"/>
    <w:rsid w:val="0C0F70F9"/>
    <w:rsid w:val="0C2C2928"/>
    <w:rsid w:val="0C7C51CC"/>
    <w:rsid w:val="0C943AA2"/>
    <w:rsid w:val="0C965756"/>
    <w:rsid w:val="0D0429D6"/>
    <w:rsid w:val="0D0441AD"/>
    <w:rsid w:val="0D0F3604"/>
    <w:rsid w:val="0D25201C"/>
    <w:rsid w:val="0D2941EA"/>
    <w:rsid w:val="0D2C7836"/>
    <w:rsid w:val="0D517404"/>
    <w:rsid w:val="0D566142"/>
    <w:rsid w:val="0D7322F5"/>
    <w:rsid w:val="0D8B4AF4"/>
    <w:rsid w:val="0D913B3D"/>
    <w:rsid w:val="0DC10D94"/>
    <w:rsid w:val="0DCA4354"/>
    <w:rsid w:val="0DD7380E"/>
    <w:rsid w:val="0DEB76F2"/>
    <w:rsid w:val="0DF5231E"/>
    <w:rsid w:val="0E3966AF"/>
    <w:rsid w:val="0E430AEB"/>
    <w:rsid w:val="0E4D3CFB"/>
    <w:rsid w:val="0E6954F6"/>
    <w:rsid w:val="0E75024E"/>
    <w:rsid w:val="0E8B6948"/>
    <w:rsid w:val="0E955C1B"/>
    <w:rsid w:val="0E9E2B7A"/>
    <w:rsid w:val="0EAC1165"/>
    <w:rsid w:val="0EB126E9"/>
    <w:rsid w:val="0EDC703A"/>
    <w:rsid w:val="0F1D1B2D"/>
    <w:rsid w:val="0F7729A5"/>
    <w:rsid w:val="0F9F69E6"/>
    <w:rsid w:val="0FBB1EB2"/>
    <w:rsid w:val="1001144E"/>
    <w:rsid w:val="10294501"/>
    <w:rsid w:val="10913ABF"/>
    <w:rsid w:val="10BF78DE"/>
    <w:rsid w:val="10EB7CBC"/>
    <w:rsid w:val="10ED6A57"/>
    <w:rsid w:val="114F7F97"/>
    <w:rsid w:val="11917AC1"/>
    <w:rsid w:val="11A472C7"/>
    <w:rsid w:val="11CB0233"/>
    <w:rsid w:val="11D84431"/>
    <w:rsid w:val="11FA4BEA"/>
    <w:rsid w:val="12254C85"/>
    <w:rsid w:val="12376B78"/>
    <w:rsid w:val="129465AA"/>
    <w:rsid w:val="12B50FBD"/>
    <w:rsid w:val="12B5207C"/>
    <w:rsid w:val="12D90460"/>
    <w:rsid w:val="13454ACA"/>
    <w:rsid w:val="13610A53"/>
    <w:rsid w:val="136E2957"/>
    <w:rsid w:val="139870FA"/>
    <w:rsid w:val="13DB17CD"/>
    <w:rsid w:val="13DF4554"/>
    <w:rsid w:val="13E40E6B"/>
    <w:rsid w:val="14114FCE"/>
    <w:rsid w:val="143811B7"/>
    <w:rsid w:val="145D284F"/>
    <w:rsid w:val="146401FE"/>
    <w:rsid w:val="14681A9C"/>
    <w:rsid w:val="147321EF"/>
    <w:rsid w:val="147B4FD6"/>
    <w:rsid w:val="14A27D6B"/>
    <w:rsid w:val="14AB3737"/>
    <w:rsid w:val="14C60571"/>
    <w:rsid w:val="14F275B8"/>
    <w:rsid w:val="15126F42"/>
    <w:rsid w:val="151E79FA"/>
    <w:rsid w:val="15472CB0"/>
    <w:rsid w:val="15567B46"/>
    <w:rsid w:val="15695ACC"/>
    <w:rsid w:val="156E30E2"/>
    <w:rsid w:val="159F1441"/>
    <w:rsid w:val="15AC3C0A"/>
    <w:rsid w:val="15C56A7A"/>
    <w:rsid w:val="15CC605B"/>
    <w:rsid w:val="161A7ADE"/>
    <w:rsid w:val="16365CA2"/>
    <w:rsid w:val="16445BF1"/>
    <w:rsid w:val="16493207"/>
    <w:rsid w:val="165414A2"/>
    <w:rsid w:val="167D1983"/>
    <w:rsid w:val="16832BBD"/>
    <w:rsid w:val="16DF61E6"/>
    <w:rsid w:val="16E05825"/>
    <w:rsid w:val="16EC0753"/>
    <w:rsid w:val="173858C9"/>
    <w:rsid w:val="176C3B22"/>
    <w:rsid w:val="177D39CE"/>
    <w:rsid w:val="17887D5F"/>
    <w:rsid w:val="17A56B63"/>
    <w:rsid w:val="17D15614"/>
    <w:rsid w:val="17D856DD"/>
    <w:rsid w:val="17E205E8"/>
    <w:rsid w:val="184323A2"/>
    <w:rsid w:val="186D7C85"/>
    <w:rsid w:val="18910E95"/>
    <w:rsid w:val="18E8642A"/>
    <w:rsid w:val="190478B9"/>
    <w:rsid w:val="190944AC"/>
    <w:rsid w:val="19383892"/>
    <w:rsid w:val="19502AFF"/>
    <w:rsid w:val="19E8178A"/>
    <w:rsid w:val="19ED659F"/>
    <w:rsid w:val="19EF40C6"/>
    <w:rsid w:val="19F45B80"/>
    <w:rsid w:val="1A253F8B"/>
    <w:rsid w:val="1A642653"/>
    <w:rsid w:val="1A8011C2"/>
    <w:rsid w:val="1A9F3D3E"/>
    <w:rsid w:val="1AAA5032"/>
    <w:rsid w:val="1AC24C3A"/>
    <w:rsid w:val="1AD0039B"/>
    <w:rsid w:val="1AE45BF4"/>
    <w:rsid w:val="1B4B758D"/>
    <w:rsid w:val="1B843D5A"/>
    <w:rsid w:val="1BA84E74"/>
    <w:rsid w:val="1BCD79AD"/>
    <w:rsid w:val="1BFD0D1C"/>
    <w:rsid w:val="1C085913"/>
    <w:rsid w:val="1C092A55"/>
    <w:rsid w:val="1C484A6E"/>
    <w:rsid w:val="1C6B5530"/>
    <w:rsid w:val="1C84143D"/>
    <w:rsid w:val="1CAF738A"/>
    <w:rsid w:val="1CD072E0"/>
    <w:rsid w:val="1CEE68B6"/>
    <w:rsid w:val="1CFD216B"/>
    <w:rsid w:val="1D014CC1"/>
    <w:rsid w:val="1D0B49DE"/>
    <w:rsid w:val="1D352FAA"/>
    <w:rsid w:val="1D8E42B8"/>
    <w:rsid w:val="1D992CC6"/>
    <w:rsid w:val="1DAD0520"/>
    <w:rsid w:val="1DBC7DB4"/>
    <w:rsid w:val="1DBF000C"/>
    <w:rsid w:val="1DC839D2"/>
    <w:rsid w:val="1DCD2970"/>
    <w:rsid w:val="1DED4048"/>
    <w:rsid w:val="1E075E82"/>
    <w:rsid w:val="1E0F445D"/>
    <w:rsid w:val="1E164317"/>
    <w:rsid w:val="1E403142"/>
    <w:rsid w:val="1ED761AD"/>
    <w:rsid w:val="1EDD2E21"/>
    <w:rsid w:val="1EF34658"/>
    <w:rsid w:val="1F021EDA"/>
    <w:rsid w:val="1F5A6485"/>
    <w:rsid w:val="1F83565A"/>
    <w:rsid w:val="1F982676"/>
    <w:rsid w:val="1FAB0434"/>
    <w:rsid w:val="1FC96DC2"/>
    <w:rsid w:val="1FF01D02"/>
    <w:rsid w:val="201557E0"/>
    <w:rsid w:val="2026530A"/>
    <w:rsid w:val="204F475A"/>
    <w:rsid w:val="20637B7A"/>
    <w:rsid w:val="209F1E1F"/>
    <w:rsid w:val="20C94088"/>
    <w:rsid w:val="20DF6FB2"/>
    <w:rsid w:val="212705E9"/>
    <w:rsid w:val="21380A48"/>
    <w:rsid w:val="21477724"/>
    <w:rsid w:val="219C0FD7"/>
    <w:rsid w:val="21D01108"/>
    <w:rsid w:val="21DA62E0"/>
    <w:rsid w:val="21E604A4"/>
    <w:rsid w:val="221E3BBB"/>
    <w:rsid w:val="222114DC"/>
    <w:rsid w:val="225B3A00"/>
    <w:rsid w:val="229121BE"/>
    <w:rsid w:val="22954F33"/>
    <w:rsid w:val="22A306DF"/>
    <w:rsid w:val="22B67E76"/>
    <w:rsid w:val="22E20377"/>
    <w:rsid w:val="22EA3F29"/>
    <w:rsid w:val="232079E6"/>
    <w:rsid w:val="232272BA"/>
    <w:rsid w:val="232474D6"/>
    <w:rsid w:val="23264FFC"/>
    <w:rsid w:val="23344974"/>
    <w:rsid w:val="2369054F"/>
    <w:rsid w:val="236A3B2E"/>
    <w:rsid w:val="237D6817"/>
    <w:rsid w:val="23AA652A"/>
    <w:rsid w:val="23E57E73"/>
    <w:rsid w:val="245F009A"/>
    <w:rsid w:val="246150EE"/>
    <w:rsid w:val="248F6BD1"/>
    <w:rsid w:val="249808C3"/>
    <w:rsid w:val="24981900"/>
    <w:rsid w:val="24F74099"/>
    <w:rsid w:val="251470D6"/>
    <w:rsid w:val="25227A45"/>
    <w:rsid w:val="2527114A"/>
    <w:rsid w:val="253A4D8F"/>
    <w:rsid w:val="256B7B2F"/>
    <w:rsid w:val="25A31F87"/>
    <w:rsid w:val="25C66622"/>
    <w:rsid w:val="25FF7D86"/>
    <w:rsid w:val="26153106"/>
    <w:rsid w:val="26257FDA"/>
    <w:rsid w:val="26CC26F9"/>
    <w:rsid w:val="26D455CD"/>
    <w:rsid w:val="26D73A91"/>
    <w:rsid w:val="26DE446E"/>
    <w:rsid w:val="26EE19AF"/>
    <w:rsid w:val="270C406B"/>
    <w:rsid w:val="27363334"/>
    <w:rsid w:val="276237A8"/>
    <w:rsid w:val="27840FB4"/>
    <w:rsid w:val="27A6495D"/>
    <w:rsid w:val="27B30E28"/>
    <w:rsid w:val="27B4797D"/>
    <w:rsid w:val="27B9222B"/>
    <w:rsid w:val="27C44A42"/>
    <w:rsid w:val="27C63156"/>
    <w:rsid w:val="27F966F1"/>
    <w:rsid w:val="280B47C0"/>
    <w:rsid w:val="2824525A"/>
    <w:rsid w:val="28372592"/>
    <w:rsid w:val="284B2E0F"/>
    <w:rsid w:val="284D4DD9"/>
    <w:rsid w:val="2858552C"/>
    <w:rsid w:val="286345FC"/>
    <w:rsid w:val="28687E65"/>
    <w:rsid w:val="289C366A"/>
    <w:rsid w:val="28B828FD"/>
    <w:rsid w:val="28BF3BE1"/>
    <w:rsid w:val="28C97A0F"/>
    <w:rsid w:val="28E829B1"/>
    <w:rsid w:val="290336EA"/>
    <w:rsid w:val="290E3144"/>
    <w:rsid w:val="291E49C7"/>
    <w:rsid w:val="29260ADA"/>
    <w:rsid w:val="29B50452"/>
    <w:rsid w:val="29DC4516"/>
    <w:rsid w:val="2A102562"/>
    <w:rsid w:val="2A154580"/>
    <w:rsid w:val="2A4D10C0"/>
    <w:rsid w:val="2AD76BDC"/>
    <w:rsid w:val="2B043792"/>
    <w:rsid w:val="2B1716CE"/>
    <w:rsid w:val="2B5A55FB"/>
    <w:rsid w:val="2B811113"/>
    <w:rsid w:val="2B97636B"/>
    <w:rsid w:val="2BA44E76"/>
    <w:rsid w:val="2BAB248B"/>
    <w:rsid w:val="2BDF21EC"/>
    <w:rsid w:val="2BE77AA4"/>
    <w:rsid w:val="2C2422F5"/>
    <w:rsid w:val="2C251BC9"/>
    <w:rsid w:val="2C460942"/>
    <w:rsid w:val="2CBF62EA"/>
    <w:rsid w:val="2CD535EF"/>
    <w:rsid w:val="2CDF7FCA"/>
    <w:rsid w:val="2CE455E0"/>
    <w:rsid w:val="2D583F59"/>
    <w:rsid w:val="2D853C48"/>
    <w:rsid w:val="2D8F76D3"/>
    <w:rsid w:val="2D9D410D"/>
    <w:rsid w:val="2DEA4514"/>
    <w:rsid w:val="2E187C37"/>
    <w:rsid w:val="2E206AEC"/>
    <w:rsid w:val="2EA4738B"/>
    <w:rsid w:val="2EC05B23"/>
    <w:rsid w:val="2F2E6FE6"/>
    <w:rsid w:val="2F300FB0"/>
    <w:rsid w:val="2F880DEC"/>
    <w:rsid w:val="2FD24756"/>
    <w:rsid w:val="2FDA7AF5"/>
    <w:rsid w:val="30084D41"/>
    <w:rsid w:val="3013573C"/>
    <w:rsid w:val="30701104"/>
    <w:rsid w:val="307720F7"/>
    <w:rsid w:val="309A299A"/>
    <w:rsid w:val="30B05F05"/>
    <w:rsid w:val="30D7507B"/>
    <w:rsid w:val="30E16A06"/>
    <w:rsid w:val="31012C04"/>
    <w:rsid w:val="311A1F18"/>
    <w:rsid w:val="316675EC"/>
    <w:rsid w:val="3171034C"/>
    <w:rsid w:val="317C228B"/>
    <w:rsid w:val="318A76C9"/>
    <w:rsid w:val="31BE04CC"/>
    <w:rsid w:val="31DD40CC"/>
    <w:rsid w:val="31FE0E55"/>
    <w:rsid w:val="321C75CA"/>
    <w:rsid w:val="3250258B"/>
    <w:rsid w:val="32537490"/>
    <w:rsid w:val="327E68F7"/>
    <w:rsid w:val="32AB213F"/>
    <w:rsid w:val="32BD6FFF"/>
    <w:rsid w:val="32D700C1"/>
    <w:rsid w:val="32E60304"/>
    <w:rsid w:val="330C7C15"/>
    <w:rsid w:val="33345FCD"/>
    <w:rsid w:val="339B7340"/>
    <w:rsid w:val="33F24BEC"/>
    <w:rsid w:val="34456A6E"/>
    <w:rsid w:val="34480DAE"/>
    <w:rsid w:val="345A6E02"/>
    <w:rsid w:val="3464130E"/>
    <w:rsid w:val="34650117"/>
    <w:rsid w:val="34784F8C"/>
    <w:rsid w:val="350E3B42"/>
    <w:rsid w:val="35497409"/>
    <w:rsid w:val="35690D78"/>
    <w:rsid w:val="357E0CC8"/>
    <w:rsid w:val="35C31ADE"/>
    <w:rsid w:val="35E349D7"/>
    <w:rsid w:val="35F43A54"/>
    <w:rsid w:val="36015B85"/>
    <w:rsid w:val="36035862"/>
    <w:rsid w:val="36112914"/>
    <w:rsid w:val="3637524F"/>
    <w:rsid w:val="36755F92"/>
    <w:rsid w:val="367873E8"/>
    <w:rsid w:val="367A3449"/>
    <w:rsid w:val="36C82C47"/>
    <w:rsid w:val="36FB77C2"/>
    <w:rsid w:val="37094303"/>
    <w:rsid w:val="375F2433"/>
    <w:rsid w:val="377B3F4F"/>
    <w:rsid w:val="377C2FE5"/>
    <w:rsid w:val="378D028E"/>
    <w:rsid w:val="37EE5143"/>
    <w:rsid w:val="38450404"/>
    <w:rsid w:val="384F4255"/>
    <w:rsid w:val="38A071A7"/>
    <w:rsid w:val="38B16CBE"/>
    <w:rsid w:val="38B90269"/>
    <w:rsid w:val="38C74734"/>
    <w:rsid w:val="38C74B99"/>
    <w:rsid w:val="38DB1BCA"/>
    <w:rsid w:val="39406294"/>
    <w:rsid w:val="39761CB6"/>
    <w:rsid w:val="397D3044"/>
    <w:rsid w:val="39822409"/>
    <w:rsid w:val="39A52F16"/>
    <w:rsid w:val="39CD20D9"/>
    <w:rsid w:val="39E430C3"/>
    <w:rsid w:val="39E60BE9"/>
    <w:rsid w:val="3A053765"/>
    <w:rsid w:val="3A125A89"/>
    <w:rsid w:val="3A4E00F8"/>
    <w:rsid w:val="3AA0348E"/>
    <w:rsid w:val="3ADE3FB6"/>
    <w:rsid w:val="3B1A3FE7"/>
    <w:rsid w:val="3B2B1C89"/>
    <w:rsid w:val="3B471B5C"/>
    <w:rsid w:val="3B530AC0"/>
    <w:rsid w:val="3B8406BA"/>
    <w:rsid w:val="3BC9468F"/>
    <w:rsid w:val="3BD827B4"/>
    <w:rsid w:val="3BE57EB5"/>
    <w:rsid w:val="3BE949C1"/>
    <w:rsid w:val="3C1E215D"/>
    <w:rsid w:val="3C1F03E3"/>
    <w:rsid w:val="3C277297"/>
    <w:rsid w:val="3D087E91"/>
    <w:rsid w:val="3D160305"/>
    <w:rsid w:val="3D18555E"/>
    <w:rsid w:val="3D535D24"/>
    <w:rsid w:val="3D5D3ADB"/>
    <w:rsid w:val="3DDB658B"/>
    <w:rsid w:val="3E157CEF"/>
    <w:rsid w:val="3E34580E"/>
    <w:rsid w:val="3E405240"/>
    <w:rsid w:val="3E4110B8"/>
    <w:rsid w:val="3E441605"/>
    <w:rsid w:val="3E4660FB"/>
    <w:rsid w:val="3E7228CE"/>
    <w:rsid w:val="3E8F6CC2"/>
    <w:rsid w:val="3EBA0BED"/>
    <w:rsid w:val="3ED74FA5"/>
    <w:rsid w:val="3EF21DDE"/>
    <w:rsid w:val="3EFB4FB1"/>
    <w:rsid w:val="3F185CE9"/>
    <w:rsid w:val="3FCD3E98"/>
    <w:rsid w:val="40124538"/>
    <w:rsid w:val="40155D85"/>
    <w:rsid w:val="40161AFD"/>
    <w:rsid w:val="40183AC7"/>
    <w:rsid w:val="404322C4"/>
    <w:rsid w:val="40644767"/>
    <w:rsid w:val="408B24EB"/>
    <w:rsid w:val="40953369"/>
    <w:rsid w:val="40A96630"/>
    <w:rsid w:val="40EB11DB"/>
    <w:rsid w:val="40ED4F53"/>
    <w:rsid w:val="41013A16"/>
    <w:rsid w:val="411E510D"/>
    <w:rsid w:val="411F78B8"/>
    <w:rsid w:val="41297A53"/>
    <w:rsid w:val="413B05FB"/>
    <w:rsid w:val="413B49A7"/>
    <w:rsid w:val="415154E1"/>
    <w:rsid w:val="417B0F8F"/>
    <w:rsid w:val="419B49AF"/>
    <w:rsid w:val="419B675D"/>
    <w:rsid w:val="41A06FEC"/>
    <w:rsid w:val="41A154A0"/>
    <w:rsid w:val="41B17D2F"/>
    <w:rsid w:val="41CE0F85"/>
    <w:rsid w:val="41F4499C"/>
    <w:rsid w:val="421A1D78"/>
    <w:rsid w:val="42320AA1"/>
    <w:rsid w:val="42B06238"/>
    <w:rsid w:val="42C56017"/>
    <w:rsid w:val="42E421CA"/>
    <w:rsid w:val="42F419D4"/>
    <w:rsid w:val="42FB0537"/>
    <w:rsid w:val="43040088"/>
    <w:rsid w:val="43482915"/>
    <w:rsid w:val="435B2648"/>
    <w:rsid w:val="435B7B93"/>
    <w:rsid w:val="437E6337"/>
    <w:rsid w:val="43A608FF"/>
    <w:rsid w:val="43CF691E"/>
    <w:rsid w:val="43D010B0"/>
    <w:rsid w:val="43D217F0"/>
    <w:rsid w:val="44076EEB"/>
    <w:rsid w:val="441445A5"/>
    <w:rsid w:val="446077EA"/>
    <w:rsid w:val="44AB1CA8"/>
    <w:rsid w:val="451172DF"/>
    <w:rsid w:val="45716CDC"/>
    <w:rsid w:val="45AF27D7"/>
    <w:rsid w:val="45CD3650"/>
    <w:rsid w:val="462474A6"/>
    <w:rsid w:val="46A240EA"/>
    <w:rsid w:val="46E34F06"/>
    <w:rsid w:val="46EB3CE3"/>
    <w:rsid w:val="47280A93"/>
    <w:rsid w:val="472F7303"/>
    <w:rsid w:val="478B183F"/>
    <w:rsid w:val="47EC7D13"/>
    <w:rsid w:val="48174664"/>
    <w:rsid w:val="481B7D99"/>
    <w:rsid w:val="486C629B"/>
    <w:rsid w:val="487C3FBA"/>
    <w:rsid w:val="487D096B"/>
    <w:rsid w:val="48945CB4"/>
    <w:rsid w:val="48A44149"/>
    <w:rsid w:val="48DA1CE7"/>
    <w:rsid w:val="48FD385A"/>
    <w:rsid w:val="493676CD"/>
    <w:rsid w:val="493D634C"/>
    <w:rsid w:val="49883A6B"/>
    <w:rsid w:val="499A379E"/>
    <w:rsid w:val="49E1317B"/>
    <w:rsid w:val="49F25388"/>
    <w:rsid w:val="4A174DEF"/>
    <w:rsid w:val="4A196056"/>
    <w:rsid w:val="4A9401EE"/>
    <w:rsid w:val="4AB368C6"/>
    <w:rsid w:val="4AD137DB"/>
    <w:rsid w:val="4AFB7D50"/>
    <w:rsid w:val="4B166E55"/>
    <w:rsid w:val="4B1C363A"/>
    <w:rsid w:val="4B254E8B"/>
    <w:rsid w:val="4B296B88"/>
    <w:rsid w:val="4B3F0159"/>
    <w:rsid w:val="4B4C0AC8"/>
    <w:rsid w:val="4B8F7333"/>
    <w:rsid w:val="4BA3693A"/>
    <w:rsid w:val="4BD31925"/>
    <w:rsid w:val="4C066EC9"/>
    <w:rsid w:val="4C406AFA"/>
    <w:rsid w:val="4C4C359E"/>
    <w:rsid w:val="4C5B5467"/>
    <w:rsid w:val="4C8B4D74"/>
    <w:rsid w:val="4CB42DC9"/>
    <w:rsid w:val="4CB64358"/>
    <w:rsid w:val="4CC254E6"/>
    <w:rsid w:val="4CC72EFD"/>
    <w:rsid w:val="4CCA6149"/>
    <w:rsid w:val="4CCA7EF7"/>
    <w:rsid w:val="4D394024"/>
    <w:rsid w:val="4D4A41A2"/>
    <w:rsid w:val="4D6F7DC2"/>
    <w:rsid w:val="4D9D3D7A"/>
    <w:rsid w:val="4D9F6313"/>
    <w:rsid w:val="4DB964A1"/>
    <w:rsid w:val="4DDA685F"/>
    <w:rsid w:val="4E455429"/>
    <w:rsid w:val="4E471200"/>
    <w:rsid w:val="4E5C1022"/>
    <w:rsid w:val="4E636855"/>
    <w:rsid w:val="4E9040B9"/>
    <w:rsid w:val="4ED240DA"/>
    <w:rsid w:val="4F0E4A13"/>
    <w:rsid w:val="4F600C7C"/>
    <w:rsid w:val="4F7F023F"/>
    <w:rsid w:val="4FB37B89"/>
    <w:rsid w:val="4FD95020"/>
    <w:rsid w:val="4FFA6DD9"/>
    <w:rsid w:val="50123BAF"/>
    <w:rsid w:val="501A79D9"/>
    <w:rsid w:val="502C325A"/>
    <w:rsid w:val="507B2AF5"/>
    <w:rsid w:val="50830AE8"/>
    <w:rsid w:val="50BD3FD5"/>
    <w:rsid w:val="50CA6717"/>
    <w:rsid w:val="50CC07FE"/>
    <w:rsid w:val="50CD0D36"/>
    <w:rsid w:val="50E579F5"/>
    <w:rsid w:val="51064007"/>
    <w:rsid w:val="51134562"/>
    <w:rsid w:val="51145BE4"/>
    <w:rsid w:val="5125272A"/>
    <w:rsid w:val="513904D3"/>
    <w:rsid w:val="51DC3D76"/>
    <w:rsid w:val="51E16D7A"/>
    <w:rsid w:val="526112FD"/>
    <w:rsid w:val="52660AD6"/>
    <w:rsid w:val="527D1229"/>
    <w:rsid w:val="52852249"/>
    <w:rsid w:val="529A036B"/>
    <w:rsid w:val="52CC7378"/>
    <w:rsid w:val="530028C4"/>
    <w:rsid w:val="53214ABA"/>
    <w:rsid w:val="532C190B"/>
    <w:rsid w:val="53394028"/>
    <w:rsid w:val="53513120"/>
    <w:rsid w:val="53933738"/>
    <w:rsid w:val="53B37937"/>
    <w:rsid w:val="53CC6C4A"/>
    <w:rsid w:val="53D44FAF"/>
    <w:rsid w:val="542919A7"/>
    <w:rsid w:val="542A75DE"/>
    <w:rsid w:val="543C16DA"/>
    <w:rsid w:val="544D0F50"/>
    <w:rsid w:val="54686973"/>
    <w:rsid w:val="547E6196"/>
    <w:rsid w:val="547F3CBD"/>
    <w:rsid w:val="5492579E"/>
    <w:rsid w:val="549A7C30"/>
    <w:rsid w:val="54AD6A7C"/>
    <w:rsid w:val="54C7759C"/>
    <w:rsid w:val="54D20381"/>
    <w:rsid w:val="54D45DB6"/>
    <w:rsid w:val="54DD177A"/>
    <w:rsid w:val="54E104D3"/>
    <w:rsid w:val="54FB77E7"/>
    <w:rsid w:val="551E7032"/>
    <w:rsid w:val="5528196E"/>
    <w:rsid w:val="553F785F"/>
    <w:rsid w:val="554F1C17"/>
    <w:rsid w:val="55943946"/>
    <w:rsid w:val="55C04D73"/>
    <w:rsid w:val="55F06C20"/>
    <w:rsid w:val="560C77D2"/>
    <w:rsid w:val="561072C2"/>
    <w:rsid w:val="56532B2E"/>
    <w:rsid w:val="565B4181"/>
    <w:rsid w:val="566413BC"/>
    <w:rsid w:val="5694496D"/>
    <w:rsid w:val="56BE5142"/>
    <w:rsid w:val="56CD0D0F"/>
    <w:rsid w:val="571B5F1F"/>
    <w:rsid w:val="57521214"/>
    <w:rsid w:val="579840A9"/>
    <w:rsid w:val="57C14700"/>
    <w:rsid w:val="57D64006"/>
    <w:rsid w:val="58296419"/>
    <w:rsid w:val="583967EF"/>
    <w:rsid w:val="583D0117"/>
    <w:rsid w:val="589113DD"/>
    <w:rsid w:val="58CA2CAF"/>
    <w:rsid w:val="58F5279F"/>
    <w:rsid w:val="59023F6F"/>
    <w:rsid w:val="5923730C"/>
    <w:rsid w:val="593212FE"/>
    <w:rsid w:val="59352B9C"/>
    <w:rsid w:val="59714B05"/>
    <w:rsid w:val="59A35121"/>
    <w:rsid w:val="59B34546"/>
    <w:rsid w:val="59B44408"/>
    <w:rsid w:val="59BB0EC8"/>
    <w:rsid w:val="59BC791C"/>
    <w:rsid w:val="59DB3743"/>
    <w:rsid w:val="59DE1485"/>
    <w:rsid w:val="59E87FD4"/>
    <w:rsid w:val="5A172684"/>
    <w:rsid w:val="5A5B2AD6"/>
    <w:rsid w:val="5A785436"/>
    <w:rsid w:val="5A8A61CA"/>
    <w:rsid w:val="5A8E07B6"/>
    <w:rsid w:val="5A9D701A"/>
    <w:rsid w:val="5AA71877"/>
    <w:rsid w:val="5AB50438"/>
    <w:rsid w:val="5B2F01EA"/>
    <w:rsid w:val="5B3C492C"/>
    <w:rsid w:val="5B7C71A8"/>
    <w:rsid w:val="5B80694B"/>
    <w:rsid w:val="5BD20B76"/>
    <w:rsid w:val="5C2515ED"/>
    <w:rsid w:val="5C300335"/>
    <w:rsid w:val="5C4D7A4A"/>
    <w:rsid w:val="5C537F09"/>
    <w:rsid w:val="5C6A0E52"/>
    <w:rsid w:val="5C95407D"/>
    <w:rsid w:val="5C9E54E5"/>
    <w:rsid w:val="5CC901CB"/>
    <w:rsid w:val="5CFB4558"/>
    <w:rsid w:val="5D3F223B"/>
    <w:rsid w:val="5D6A0443"/>
    <w:rsid w:val="5D9C768D"/>
    <w:rsid w:val="5DB7763E"/>
    <w:rsid w:val="5E024645"/>
    <w:rsid w:val="5E8B4CB4"/>
    <w:rsid w:val="5F061262"/>
    <w:rsid w:val="5F117C07"/>
    <w:rsid w:val="5F244D44"/>
    <w:rsid w:val="5F335DCF"/>
    <w:rsid w:val="5F420DBD"/>
    <w:rsid w:val="5F556591"/>
    <w:rsid w:val="5F852350"/>
    <w:rsid w:val="5F93686E"/>
    <w:rsid w:val="5FCA6734"/>
    <w:rsid w:val="5FD0052C"/>
    <w:rsid w:val="5FFE462F"/>
    <w:rsid w:val="603D0FAD"/>
    <w:rsid w:val="60415813"/>
    <w:rsid w:val="604D2EC1"/>
    <w:rsid w:val="60765F74"/>
    <w:rsid w:val="60805044"/>
    <w:rsid w:val="60844B35"/>
    <w:rsid w:val="608F5287"/>
    <w:rsid w:val="60A17B38"/>
    <w:rsid w:val="60A52A1D"/>
    <w:rsid w:val="60C03693"/>
    <w:rsid w:val="60C459A3"/>
    <w:rsid w:val="60EC6935"/>
    <w:rsid w:val="61237B75"/>
    <w:rsid w:val="61443C20"/>
    <w:rsid w:val="61720E31"/>
    <w:rsid w:val="619169E7"/>
    <w:rsid w:val="61B56F70"/>
    <w:rsid w:val="61BC20AC"/>
    <w:rsid w:val="61CE1DDF"/>
    <w:rsid w:val="61DB2D8E"/>
    <w:rsid w:val="61E909C7"/>
    <w:rsid w:val="62206ADF"/>
    <w:rsid w:val="62404A8B"/>
    <w:rsid w:val="62433AEF"/>
    <w:rsid w:val="624F6F1A"/>
    <w:rsid w:val="6267026A"/>
    <w:rsid w:val="62695B4F"/>
    <w:rsid w:val="626D784A"/>
    <w:rsid w:val="62970A67"/>
    <w:rsid w:val="62C030D1"/>
    <w:rsid w:val="62C213D1"/>
    <w:rsid w:val="62D45CCA"/>
    <w:rsid w:val="630A7280"/>
    <w:rsid w:val="63387E58"/>
    <w:rsid w:val="633D546F"/>
    <w:rsid w:val="634B5349"/>
    <w:rsid w:val="638E7A78"/>
    <w:rsid w:val="639C2195"/>
    <w:rsid w:val="63B07EEF"/>
    <w:rsid w:val="63B533BB"/>
    <w:rsid w:val="63D21B1C"/>
    <w:rsid w:val="63D86F45"/>
    <w:rsid w:val="63DA4A6C"/>
    <w:rsid w:val="63E36B26"/>
    <w:rsid w:val="63E7093E"/>
    <w:rsid w:val="63F7386F"/>
    <w:rsid w:val="641D2C08"/>
    <w:rsid w:val="644B5969"/>
    <w:rsid w:val="645A019B"/>
    <w:rsid w:val="647D446A"/>
    <w:rsid w:val="648844C8"/>
    <w:rsid w:val="64BF393E"/>
    <w:rsid w:val="64D66A32"/>
    <w:rsid w:val="65046244"/>
    <w:rsid w:val="652C7549"/>
    <w:rsid w:val="656942F9"/>
    <w:rsid w:val="65710BB6"/>
    <w:rsid w:val="65A34757"/>
    <w:rsid w:val="65B80DDC"/>
    <w:rsid w:val="65DA02E5"/>
    <w:rsid w:val="65EB4803"/>
    <w:rsid w:val="661E3C03"/>
    <w:rsid w:val="668524C6"/>
    <w:rsid w:val="66AE7F8C"/>
    <w:rsid w:val="66B75538"/>
    <w:rsid w:val="66BE68C6"/>
    <w:rsid w:val="66C57C55"/>
    <w:rsid w:val="66E34831"/>
    <w:rsid w:val="67140294"/>
    <w:rsid w:val="671E2D7E"/>
    <w:rsid w:val="677F3718"/>
    <w:rsid w:val="678B49FB"/>
    <w:rsid w:val="67A23AF2"/>
    <w:rsid w:val="67BB4BB4"/>
    <w:rsid w:val="67BC47A7"/>
    <w:rsid w:val="67F47879"/>
    <w:rsid w:val="68195FCE"/>
    <w:rsid w:val="687234C5"/>
    <w:rsid w:val="687731D1"/>
    <w:rsid w:val="688551AF"/>
    <w:rsid w:val="689A0B09"/>
    <w:rsid w:val="68C21B41"/>
    <w:rsid w:val="68E1064A"/>
    <w:rsid w:val="68F9154B"/>
    <w:rsid w:val="6954706E"/>
    <w:rsid w:val="69665A40"/>
    <w:rsid w:val="69A45BAC"/>
    <w:rsid w:val="6A1C55DC"/>
    <w:rsid w:val="6A276531"/>
    <w:rsid w:val="6AA933EA"/>
    <w:rsid w:val="6AF35113"/>
    <w:rsid w:val="6B59096C"/>
    <w:rsid w:val="6B603BA1"/>
    <w:rsid w:val="6B6A0DCB"/>
    <w:rsid w:val="6B6D63B2"/>
    <w:rsid w:val="6BA047ED"/>
    <w:rsid w:val="6BA2423E"/>
    <w:rsid w:val="6BDF6DD5"/>
    <w:rsid w:val="6BE62619"/>
    <w:rsid w:val="6C1101C3"/>
    <w:rsid w:val="6C3D64DF"/>
    <w:rsid w:val="6C5C4855"/>
    <w:rsid w:val="6C856090"/>
    <w:rsid w:val="6CEA21C3"/>
    <w:rsid w:val="6CF342D7"/>
    <w:rsid w:val="6D145867"/>
    <w:rsid w:val="6D156B14"/>
    <w:rsid w:val="6D301BA0"/>
    <w:rsid w:val="6D3F1BA4"/>
    <w:rsid w:val="6D4A2C62"/>
    <w:rsid w:val="6D7E0B5E"/>
    <w:rsid w:val="6D960CB3"/>
    <w:rsid w:val="6D967C55"/>
    <w:rsid w:val="6DB51D37"/>
    <w:rsid w:val="6DB77BCC"/>
    <w:rsid w:val="6DC01176"/>
    <w:rsid w:val="6DDF784E"/>
    <w:rsid w:val="6DE704B1"/>
    <w:rsid w:val="6DEC1F6B"/>
    <w:rsid w:val="6E005A16"/>
    <w:rsid w:val="6E182D60"/>
    <w:rsid w:val="6E425AE3"/>
    <w:rsid w:val="6E7B6E4B"/>
    <w:rsid w:val="6E9A5DCF"/>
    <w:rsid w:val="6EA000D7"/>
    <w:rsid w:val="6EAE0FCF"/>
    <w:rsid w:val="6EC02AFB"/>
    <w:rsid w:val="6F1C1864"/>
    <w:rsid w:val="6F4B0F13"/>
    <w:rsid w:val="6F857F81"/>
    <w:rsid w:val="6FE26830"/>
    <w:rsid w:val="701B08E6"/>
    <w:rsid w:val="701D21A2"/>
    <w:rsid w:val="70901F17"/>
    <w:rsid w:val="70B328CC"/>
    <w:rsid w:val="70BD4D72"/>
    <w:rsid w:val="70D72A5F"/>
    <w:rsid w:val="70D81887"/>
    <w:rsid w:val="70DD5B9B"/>
    <w:rsid w:val="70E97B6E"/>
    <w:rsid w:val="70F03B20"/>
    <w:rsid w:val="71186BD3"/>
    <w:rsid w:val="711C4C0D"/>
    <w:rsid w:val="71392B46"/>
    <w:rsid w:val="71452196"/>
    <w:rsid w:val="71535E5D"/>
    <w:rsid w:val="7169742F"/>
    <w:rsid w:val="716A5647"/>
    <w:rsid w:val="71724535"/>
    <w:rsid w:val="71771B4C"/>
    <w:rsid w:val="717A762F"/>
    <w:rsid w:val="71833060"/>
    <w:rsid w:val="71876662"/>
    <w:rsid w:val="71A85F2A"/>
    <w:rsid w:val="71BA51B5"/>
    <w:rsid w:val="71C110AA"/>
    <w:rsid w:val="71CA6589"/>
    <w:rsid w:val="71D40A62"/>
    <w:rsid w:val="71F17B50"/>
    <w:rsid w:val="721E646B"/>
    <w:rsid w:val="72200435"/>
    <w:rsid w:val="723614E2"/>
    <w:rsid w:val="724D63AB"/>
    <w:rsid w:val="72565C05"/>
    <w:rsid w:val="7258197D"/>
    <w:rsid w:val="72677E12"/>
    <w:rsid w:val="729D3834"/>
    <w:rsid w:val="72CD0D1A"/>
    <w:rsid w:val="72E902E9"/>
    <w:rsid w:val="73045661"/>
    <w:rsid w:val="731A5EF0"/>
    <w:rsid w:val="73610D05"/>
    <w:rsid w:val="736401D7"/>
    <w:rsid w:val="73683E42"/>
    <w:rsid w:val="73A40BF2"/>
    <w:rsid w:val="73D03795"/>
    <w:rsid w:val="73F27BAF"/>
    <w:rsid w:val="74421DA6"/>
    <w:rsid w:val="744925C1"/>
    <w:rsid w:val="747351A5"/>
    <w:rsid w:val="749705E3"/>
    <w:rsid w:val="74BB250E"/>
    <w:rsid w:val="74BB3500"/>
    <w:rsid w:val="74E1260C"/>
    <w:rsid w:val="75341C5F"/>
    <w:rsid w:val="75703ACA"/>
    <w:rsid w:val="759F1D98"/>
    <w:rsid w:val="75B80093"/>
    <w:rsid w:val="75E14466"/>
    <w:rsid w:val="75EC5689"/>
    <w:rsid w:val="763444AF"/>
    <w:rsid w:val="76FF4ABD"/>
    <w:rsid w:val="77421D8C"/>
    <w:rsid w:val="775E07AC"/>
    <w:rsid w:val="77620523"/>
    <w:rsid w:val="77A86F03"/>
    <w:rsid w:val="77D44597"/>
    <w:rsid w:val="77FB3C9F"/>
    <w:rsid w:val="7856003B"/>
    <w:rsid w:val="785E5813"/>
    <w:rsid w:val="78703875"/>
    <w:rsid w:val="787C6BFE"/>
    <w:rsid w:val="788066C5"/>
    <w:rsid w:val="78A91184"/>
    <w:rsid w:val="78C82339"/>
    <w:rsid w:val="78D87A64"/>
    <w:rsid w:val="795A3DD0"/>
    <w:rsid w:val="79604FB2"/>
    <w:rsid w:val="79977184"/>
    <w:rsid w:val="79A26325"/>
    <w:rsid w:val="79A47B9E"/>
    <w:rsid w:val="79C618C2"/>
    <w:rsid w:val="7A170861"/>
    <w:rsid w:val="7A232871"/>
    <w:rsid w:val="7A2D5427"/>
    <w:rsid w:val="7A305927"/>
    <w:rsid w:val="7A3D062C"/>
    <w:rsid w:val="7A56118E"/>
    <w:rsid w:val="7AB65BB0"/>
    <w:rsid w:val="7AD50315"/>
    <w:rsid w:val="7AFA43DD"/>
    <w:rsid w:val="7B0C3EBB"/>
    <w:rsid w:val="7B14665D"/>
    <w:rsid w:val="7B1623D5"/>
    <w:rsid w:val="7B1818A4"/>
    <w:rsid w:val="7B7641A3"/>
    <w:rsid w:val="7BA93249"/>
    <w:rsid w:val="7BF05F17"/>
    <w:rsid w:val="7C633D37"/>
    <w:rsid w:val="7C6F511F"/>
    <w:rsid w:val="7C9131E9"/>
    <w:rsid w:val="7D203AF9"/>
    <w:rsid w:val="7D3134F6"/>
    <w:rsid w:val="7D3F662B"/>
    <w:rsid w:val="7D576018"/>
    <w:rsid w:val="7D5E0064"/>
    <w:rsid w:val="7D902913"/>
    <w:rsid w:val="7D926C74"/>
    <w:rsid w:val="7DAE0FEB"/>
    <w:rsid w:val="7DB81CEF"/>
    <w:rsid w:val="7DDA4B38"/>
    <w:rsid w:val="7E995A0C"/>
    <w:rsid w:val="7EA85A3A"/>
    <w:rsid w:val="7EC00FD6"/>
    <w:rsid w:val="7EF433ED"/>
    <w:rsid w:val="7EF52B13"/>
    <w:rsid w:val="7F01339C"/>
    <w:rsid w:val="7F016DD8"/>
    <w:rsid w:val="7F154C76"/>
    <w:rsid w:val="7F1B7FBA"/>
    <w:rsid w:val="7F370B6C"/>
    <w:rsid w:val="7F3B240A"/>
    <w:rsid w:val="7F526C7A"/>
    <w:rsid w:val="7F5B485B"/>
    <w:rsid w:val="7F89761A"/>
    <w:rsid w:val="7FC01931"/>
    <w:rsid w:val="7FE5408D"/>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DF7EA9"/>
  <w14:defaultImageDpi w14:val="32767"/>
  <w15:docId w15:val="{0548BA69-5353-459D-8117-F412E5DAB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pPr>
      <w:tabs>
        <w:tab w:val="center" w:pos="4153"/>
        <w:tab w:val="right" w:pos="8306"/>
      </w:tabs>
      <w:snapToGrid w:val="0"/>
      <w:jc w:val="left"/>
    </w:pPr>
    <w:rPr>
      <w:sz w:val="18"/>
      <w:szCs w:val="18"/>
    </w:rPr>
  </w:style>
  <w:style w:type="paragraph" w:styleId="a6">
    <w:name w:val="header"/>
    <w:basedOn w:val="a"/>
    <w:link w:val="a7"/>
    <w:pP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qFormat/>
    <w:rPr>
      <w:color w:val="0000FF"/>
      <w:u w:val="single"/>
    </w:rPr>
  </w:style>
  <w:style w:type="character" w:customStyle="1" w:styleId="a7">
    <w:name w:val="页眉 字符"/>
    <w:basedOn w:val="a0"/>
    <w:link w:val="a6"/>
    <w:rPr>
      <w:rFonts w:asciiTheme="minorHAnsi" w:eastAsiaTheme="minorEastAsia" w:hAnsiTheme="minorHAnsi" w:cstheme="minorBidi"/>
      <w:kern w:val="2"/>
      <w:sz w:val="18"/>
      <w:szCs w:val="18"/>
    </w:rPr>
  </w:style>
  <w:style w:type="character" w:customStyle="1" w:styleId="a5">
    <w:name w:val="页脚 字符"/>
    <w:basedOn w:val="a0"/>
    <w:link w:val="a4"/>
    <w:rPr>
      <w:rFonts w:asciiTheme="minorHAnsi" w:eastAsiaTheme="minorEastAsia" w:hAnsiTheme="minorHAnsi" w:cstheme="minorBidi"/>
      <w:kern w:val="2"/>
      <w:sz w:val="18"/>
      <w:szCs w:val="18"/>
    </w:rPr>
  </w:style>
  <w:style w:type="paragraph" w:customStyle="1" w:styleId="1">
    <w:name w:val="书目1"/>
    <w:basedOn w:val="a"/>
    <w:next w:val="a"/>
    <w:uiPriority w:val="37"/>
    <w:unhideWhenUsed/>
    <w:pPr>
      <w:tabs>
        <w:tab w:val="left" w:pos="384"/>
      </w:tabs>
      <w:spacing w:line="480" w:lineRule="auto"/>
      <w:ind w:left="384" w:hanging="384"/>
    </w:pPr>
  </w:style>
  <w:style w:type="paragraph" w:customStyle="1" w:styleId="26References">
    <w:name w:val="26. References"/>
    <w:qFormat/>
    <w:rPr>
      <w:rFonts w:eastAsiaTheme="minorEastAsia" w:cstheme="minorBidi"/>
      <w:sz w:val="16"/>
      <w:szCs w:val="22"/>
      <w:lang w:eastAsia="en-US"/>
    </w:rPr>
  </w:style>
  <w:style w:type="paragraph" w:customStyle="1" w:styleId="BATitle">
    <w:name w:val="BA_Title"/>
    <w:basedOn w:val="a"/>
    <w:next w:val="BBAuthorName"/>
    <w:pPr>
      <w:widowControl/>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a"/>
    <w:next w:val="BCAuthorAddress"/>
    <w:pPr>
      <w:widowControl/>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a"/>
    <w:pPr>
      <w:widowControl/>
      <w:spacing w:after="240" w:line="480" w:lineRule="auto"/>
      <w:jc w:val="center"/>
    </w:pPr>
    <w:rPr>
      <w:rFonts w:ascii="Times" w:hAnsi="Times" w:cs="Times New Roman"/>
      <w:kern w:val="0"/>
      <w:sz w:val="24"/>
      <w:szCs w:val="20"/>
      <w:lang w:eastAsia="en-US"/>
    </w:rPr>
  </w:style>
  <w:style w:type="character" w:customStyle="1" w:styleId="10">
    <w:name w:val="未处理的提及1"/>
    <w:basedOn w:val="a0"/>
    <w:uiPriority w:val="99"/>
    <w:semiHidden/>
    <w:unhideWhenUsed/>
    <w:rPr>
      <w:color w:val="605E5C"/>
      <w:shd w:val="clear" w:color="auto" w:fill="E1DFDD"/>
    </w:rPr>
  </w:style>
  <w:style w:type="paragraph" w:customStyle="1" w:styleId="11">
    <w:name w:val="书目1"/>
    <w:basedOn w:val="a"/>
    <w:next w:val="a"/>
    <w:uiPriority w:val="37"/>
    <w:unhideWhenUsed/>
    <w:qFormat/>
    <w:pPr>
      <w:tabs>
        <w:tab w:val="left" w:pos="504"/>
      </w:tabs>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9705</Words>
  <Characters>55325</Characters>
  <Application>Microsoft Office Word</Application>
  <DocSecurity>0</DocSecurity>
  <Lines>461</Lines>
  <Paragraphs>129</Paragraphs>
  <ScaleCrop>false</ScaleCrop>
  <Company/>
  <LinksUpToDate>false</LinksUpToDate>
  <CharactersWithSpaces>64901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董涵瑾</dc:creator>
  <cp:lastModifiedBy>涵瑾 董</cp:lastModifiedBy>
  <cp:revision>143</cp:revision>
  <dcterms:created xsi:type="dcterms:W3CDTF">2026-05-28T12:16:00Z</dcterms:created>
  <dcterms:modified xsi:type="dcterms:W3CDTF">2026-06-29T17:46:00Z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F86F4CAC9CC34252B1FF919DCF3BEC38_13</vt:lpwstr>
  </property>
  <property fmtid="{D5CDD505-2E9C-101B-9397-08002B2CF9AE}" pid="4" name="KSOTemplateDocerSaveRecord">
    <vt:lpwstr>eyJoZGlkIjoiNjgyNzEwYjZlMTU1MzkyNzM5NGI3YzVmOTMzMmQ2NjUiLCJ1c2VySWQiOiI0Nzg4MDU4MzEifQ==</vt:lpwstr>
  </property>
  <property fmtid="{D5CDD505-2E9C-101B-9397-08002B2CF9AE}" pid="5" name="ZOTERO_PREF_1">
    <vt:lpwstr>&lt;data data-version="3" zotero-version="9.0.5"&gt;&lt;session id="NR0RWxzG"/&gt;&lt;style id="http://www.zotero.org/styles/nature" hasBibliography="1" bibliographyStyleHasBeenSet="1"/&gt;&lt;prefs&gt;&lt;pref name="fieldType" value="Field"/&gt;&lt;/prefs&gt;&lt;/data&gt;</vt:lpwstr>
  </property>
</Properties>
</file>