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19C612" w14:textId="77777777" w:rsidR="0013282C" w:rsidRDefault="0013282C" w:rsidP="0013282C">
      <w:pPr>
        <w:spacing w:line="480" w:lineRule="auto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Supplemental Table </w:t>
      </w:r>
      <w:r>
        <w:rPr>
          <w:rFonts w:ascii="Times New Roman" w:hAnsi="Times New Roman" w:cs="Times New Roman"/>
          <w:b/>
          <w:szCs w:val="21"/>
          <w:lang w:val="en-GB"/>
        </w:rPr>
        <w:t xml:space="preserve">1: </w:t>
      </w:r>
      <w:r>
        <w:rPr>
          <w:rFonts w:ascii="Times New Roman" w:hAnsi="Times New Roman" w:cs="Times New Roman"/>
          <w:b/>
          <w:szCs w:val="21"/>
        </w:rPr>
        <w:t xml:space="preserve">Characteristics of patients and cycles between the NC-IUI and COS-IUI groups stratified by </w:t>
      </w:r>
      <w:proofErr w:type="spellStart"/>
      <w:proofErr w:type="gramStart"/>
      <w:r>
        <w:rPr>
          <w:rFonts w:ascii="Times New Roman" w:hAnsi="Times New Roman" w:cs="Times New Roman"/>
          <w:b/>
          <w:szCs w:val="21"/>
        </w:rPr>
        <w:t>TPSMC</w:t>
      </w:r>
      <w:proofErr w:type="spellEnd"/>
      <w:proofErr w:type="gramEnd"/>
    </w:p>
    <w:tbl>
      <w:tblPr>
        <w:tblStyle w:val="TableGrid"/>
        <w:tblpPr w:leftFromText="180" w:rightFromText="180" w:vertAnchor="text" w:horzAnchor="margin" w:tblpXSpec="center" w:tblpY="283"/>
        <w:tblW w:w="1149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9"/>
        <w:gridCol w:w="885"/>
        <w:gridCol w:w="992"/>
        <w:gridCol w:w="62"/>
        <w:gridCol w:w="788"/>
        <w:gridCol w:w="284"/>
        <w:gridCol w:w="993"/>
        <w:gridCol w:w="993"/>
        <w:gridCol w:w="852"/>
        <w:gridCol w:w="264"/>
        <w:gridCol w:w="1013"/>
        <w:gridCol w:w="993"/>
        <w:gridCol w:w="852"/>
      </w:tblGrid>
      <w:tr w:rsidR="0013282C" w14:paraId="5C515153" w14:textId="77777777" w:rsidTr="0013282C">
        <w:tc>
          <w:tcPr>
            <w:tcW w:w="251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CD071C2" w14:textId="77777777" w:rsidR="0013282C" w:rsidRDefault="0013282C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Characteristics</w:t>
            </w:r>
          </w:p>
        </w:tc>
        <w:tc>
          <w:tcPr>
            <w:tcW w:w="272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3A91BC8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TPSMC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&lt; 5 × 10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28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99BAEAE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489400D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TPSMC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5-10 × 10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26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06AE958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5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086BEC4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TPSMC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≥ 5 × 10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6</w:t>
            </w:r>
          </w:p>
        </w:tc>
      </w:tr>
      <w:tr w:rsidR="0013282C" w14:paraId="7E0469E6" w14:textId="77777777" w:rsidTr="0013282C">
        <w:tc>
          <w:tcPr>
            <w:tcW w:w="2518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6A9BB1D" w14:textId="77777777" w:rsidR="0013282C" w:rsidRDefault="0013282C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87C18D6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NC</w:t>
            </w:r>
          </w:p>
        </w:tc>
        <w:tc>
          <w:tcPr>
            <w:tcW w:w="105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BD1804A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COS</w:t>
            </w:r>
          </w:p>
        </w:tc>
        <w:tc>
          <w:tcPr>
            <w:tcW w:w="78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F3379B6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P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4D12B5D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7794629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NC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2854F49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COS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F3F8CCB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P</w:t>
            </w:r>
          </w:p>
        </w:tc>
        <w:tc>
          <w:tcPr>
            <w:tcW w:w="26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4092974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E881B97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NC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697182B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COS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D86F8D2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P</w:t>
            </w:r>
          </w:p>
        </w:tc>
      </w:tr>
      <w:tr w:rsidR="0013282C" w14:paraId="26219AD8" w14:textId="77777777" w:rsidTr="0013282C">
        <w:tc>
          <w:tcPr>
            <w:tcW w:w="251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A5FA60D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88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2720031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A7E0582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85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FA61E6D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2E9F909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503CC60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98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DC44D53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ED749CE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437702E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DD7506D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291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8355CE2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125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2392A89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3282C" w14:paraId="72504B75" w14:textId="77777777" w:rsidTr="0013282C">
        <w:tc>
          <w:tcPr>
            <w:tcW w:w="2518" w:type="dxa"/>
            <w:vAlign w:val="center"/>
            <w:hideMark/>
          </w:tcPr>
          <w:p w14:paraId="723E1879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Female age (years)</w:t>
            </w:r>
          </w:p>
        </w:tc>
        <w:tc>
          <w:tcPr>
            <w:tcW w:w="885" w:type="dxa"/>
            <w:vAlign w:val="center"/>
            <w:hideMark/>
          </w:tcPr>
          <w:p w14:paraId="533DC926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29.0±4.2</w:t>
            </w:r>
          </w:p>
        </w:tc>
        <w:tc>
          <w:tcPr>
            <w:tcW w:w="992" w:type="dxa"/>
            <w:vAlign w:val="center"/>
            <w:hideMark/>
          </w:tcPr>
          <w:p w14:paraId="045AA5ED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29.2±4.5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249C36E3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0.983</w:t>
            </w:r>
          </w:p>
        </w:tc>
        <w:tc>
          <w:tcPr>
            <w:tcW w:w="284" w:type="dxa"/>
            <w:vAlign w:val="center"/>
          </w:tcPr>
          <w:p w14:paraId="17F26860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  <w:hideMark/>
          </w:tcPr>
          <w:p w14:paraId="499AF068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31.3±4.6</w:t>
            </w:r>
          </w:p>
        </w:tc>
        <w:tc>
          <w:tcPr>
            <w:tcW w:w="992" w:type="dxa"/>
            <w:vAlign w:val="center"/>
            <w:hideMark/>
          </w:tcPr>
          <w:p w14:paraId="5805B533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30.5±5.0</w:t>
            </w:r>
          </w:p>
        </w:tc>
        <w:tc>
          <w:tcPr>
            <w:tcW w:w="851" w:type="dxa"/>
            <w:vAlign w:val="center"/>
            <w:hideMark/>
          </w:tcPr>
          <w:p w14:paraId="6E05432F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0.318</w:t>
            </w:r>
          </w:p>
        </w:tc>
        <w:tc>
          <w:tcPr>
            <w:tcW w:w="264" w:type="dxa"/>
            <w:vAlign w:val="center"/>
          </w:tcPr>
          <w:p w14:paraId="5AEF6439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2" w:type="dxa"/>
            <w:vAlign w:val="center"/>
            <w:hideMark/>
          </w:tcPr>
          <w:p w14:paraId="2CE4CC2E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31.6±4.9</w:t>
            </w:r>
          </w:p>
        </w:tc>
        <w:tc>
          <w:tcPr>
            <w:tcW w:w="992" w:type="dxa"/>
            <w:vAlign w:val="center"/>
            <w:hideMark/>
          </w:tcPr>
          <w:p w14:paraId="6079C2A5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31.5±4.3</w:t>
            </w:r>
          </w:p>
        </w:tc>
        <w:tc>
          <w:tcPr>
            <w:tcW w:w="851" w:type="dxa"/>
            <w:vAlign w:val="center"/>
            <w:hideMark/>
          </w:tcPr>
          <w:p w14:paraId="3A2D2E26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0.962</w:t>
            </w:r>
          </w:p>
        </w:tc>
      </w:tr>
      <w:tr w:rsidR="0013282C" w14:paraId="1A47D679" w14:textId="77777777" w:rsidTr="0013282C">
        <w:tc>
          <w:tcPr>
            <w:tcW w:w="2518" w:type="dxa"/>
            <w:vAlign w:val="center"/>
            <w:hideMark/>
          </w:tcPr>
          <w:p w14:paraId="0D6BB7AD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Male age (years)</w:t>
            </w:r>
          </w:p>
        </w:tc>
        <w:tc>
          <w:tcPr>
            <w:tcW w:w="885" w:type="dxa"/>
            <w:vAlign w:val="center"/>
            <w:hideMark/>
          </w:tcPr>
          <w:p w14:paraId="7872182C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31.0±4.6</w:t>
            </w:r>
          </w:p>
        </w:tc>
        <w:tc>
          <w:tcPr>
            <w:tcW w:w="992" w:type="dxa"/>
            <w:vAlign w:val="center"/>
            <w:hideMark/>
          </w:tcPr>
          <w:p w14:paraId="4C165641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33.4±6.9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FF7E8A3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0.473</w:t>
            </w:r>
          </w:p>
        </w:tc>
        <w:tc>
          <w:tcPr>
            <w:tcW w:w="284" w:type="dxa"/>
            <w:vAlign w:val="center"/>
          </w:tcPr>
          <w:p w14:paraId="34A473B5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  <w:hideMark/>
          </w:tcPr>
          <w:p w14:paraId="23F7ACF7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34.0±6.1</w:t>
            </w:r>
          </w:p>
        </w:tc>
        <w:tc>
          <w:tcPr>
            <w:tcW w:w="992" w:type="dxa"/>
            <w:vAlign w:val="center"/>
            <w:hideMark/>
          </w:tcPr>
          <w:p w14:paraId="6FB33AC5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33.4±5.5</w:t>
            </w:r>
          </w:p>
        </w:tc>
        <w:tc>
          <w:tcPr>
            <w:tcW w:w="851" w:type="dxa"/>
            <w:vAlign w:val="center"/>
            <w:hideMark/>
          </w:tcPr>
          <w:p w14:paraId="49E29CDD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0.757</w:t>
            </w:r>
          </w:p>
        </w:tc>
        <w:tc>
          <w:tcPr>
            <w:tcW w:w="264" w:type="dxa"/>
            <w:vAlign w:val="center"/>
          </w:tcPr>
          <w:p w14:paraId="15A8A986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2" w:type="dxa"/>
            <w:vAlign w:val="center"/>
            <w:hideMark/>
          </w:tcPr>
          <w:p w14:paraId="027C27FD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33.8±5.7</w:t>
            </w:r>
          </w:p>
        </w:tc>
        <w:tc>
          <w:tcPr>
            <w:tcW w:w="992" w:type="dxa"/>
            <w:vAlign w:val="center"/>
            <w:hideMark/>
          </w:tcPr>
          <w:p w14:paraId="7016D220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33.5±5.0</w:t>
            </w:r>
          </w:p>
        </w:tc>
        <w:tc>
          <w:tcPr>
            <w:tcW w:w="851" w:type="dxa"/>
            <w:vAlign w:val="center"/>
            <w:hideMark/>
          </w:tcPr>
          <w:p w14:paraId="3687FED4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0.765</w:t>
            </w:r>
          </w:p>
        </w:tc>
      </w:tr>
      <w:tr w:rsidR="0013282C" w14:paraId="3B015CAB" w14:textId="77777777" w:rsidTr="0013282C">
        <w:tc>
          <w:tcPr>
            <w:tcW w:w="2518" w:type="dxa"/>
            <w:vAlign w:val="center"/>
            <w:hideMark/>
          </w:tcPr>
          <w:p w14:paraId="50FB900F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Type of infertility (n (%))</w:t>
            </w:r>
          </w:p>
        </w:tc>
        <w:tc>
          <w:tcPr>
            <w:tcW w:w="885" w:type="dxa"/>
            <w:vAlign w:val="center"/>
          </w:tcPr>
          <w:p w14:paraId="5DD280D0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6FA4A4F2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Align w:val="center"/>
            <w:hideMark/>
          </w:tcPr>
          <w:p w14:paraId="1A58BBA5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0.746</w:t>
            </w:r>
          </w:p>
        </w:tc>
        <w:tc>
          <w:tcPr>
            <w:tcW w:w="284" w:type="dxa"/>
            <w:vAlign w:val="center"/>
          </w:tcPr>
          <w:p w14:paraId="592379CA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410413D9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547A4106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  <w:hideMark/>
          </w:tcPr>
          <w:p w14:paraId="711D712C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0.838</w:t>
            </w:r>
          </w:p>
        </w:tc>
        <w:tc>
          <w:tcPr>
            <w:tcW w:w="264" w:type="dxa"/>
            <w:vAlign w:val="center"/>
          </w:tcPr>
          <w:p w14:paraId="118B97B4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2" w:type="dxa"/>
            <w:vAlign w:val="center"/>
          </w:tcPr>
          <w:p w14:paraId="33478B77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5ABE1B1D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  <w:hideMark/>
          </w:tcPr>
          <w:p w14:paraId="4A22FAEE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0.101</w:t>
            </w:r>
          </w:p>
        </w:tc>
      </w:tr>
      <w:tr w:rsidR="0013282C" w14:paraId="07E0983B" w14:textId="77777777" w:rsidTr="0013282C">
        <w:tc>
          <w:tcPr>
            <w:tcW w:w="2518" w:type="dxa"/>
            <w:vAlign w:val="center"/>
            <w:hideMark/>
          </w:tcPr>
          <w:p w14:paraId="3E4CEEA7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Primary</w:t>
            </w:r>
          </w:p>
        </w:tc>
        <w:tc>
          <w:tcPr>
            <w:tcW w:w="885" w:type="dxa"/>
            <w:vAlign w:val="center"/>
            <w:hideMark/>
          </w:tcPr>
          <w:p w14:paraId="286C510A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25(69.4)</w:t>
            </w:r>
          </w:p>
        </w:tc>
        <w:tc>
          <w:tcPr>
            <w:tcW w:w="992" w:type="dxa"/>
            <w:vAlign w:val="center"/>
            <w:hideMark/>
          </w:tcPr>
          <w:p w14:paraId="5E6DB456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9(64.3)</w:t>
            </w:r>
          </w:p>
        </w:tc>
        <w:tc>
          <w:tcPr>
            <w:tcW w:w="850" w:type="dxa"/>
            <w:gridSpan w:val="2"/>
            <w:vAlign w:val="center"/>
          </w:tcPr>
          <w:p w14:paraId="31AC40ED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14:paraId="38439D57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  <w:hideMark/>
          </w:tcPr>
          <w:p w14:paraId="14F7D2E6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68(69.4)</w:t>
            </w:r>
          </w:p>
        </w:tc>
        <w:tc>
          <w:tcPr>
            <w:tcW w:w="992" w:type="dxa"/>
            <w:vAlign w:val="center"/>
            <w:hideMark/>
          </w:tcPr>
          <w:p w14:paraId="02626F31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25(67.6)</w:t>
            </w:r>
          </w:p>
        </w:tc>
        <w:tc>
          <w:tcPr>
            <w:tcW w:w="851" w:type="dxa"/>
            <w:vAlign w:val="center"/>
          </w:tcPr>
          <w:p w14:paraId="15504FAB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4" w:type="dxa"/>
            <w:vAlign w:val="center"/>
          </w:tcPr>
          <w:p w14:paraId="450D14B0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2" w:type="dxa"/>
            <w:vAlign w:val="center"/>
            <w:hideMark/>
          </w:tcPr>
          <w:p w14:paraId="21DF6BF2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170(58.4)</w:t>
            </w:r>
          </w:p>
        </w:tc>
        <w:tc>
          <w:tcPr>
            <w:tcW w:w="992" w:type="dxa"/>
            <w:vAlign w:val="center"/>
            <w:hideMark/>
          </w:tcPr>
          <w:p w14:paraId="133CEBBF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84(67.2)</w:t>
            </w:r>
          </w:p>
        </w:tc>
        <w:tc>
          <w:tcPr>
            <w:tcW w:w="851" w:type="dxa"/>
            <w:vAlign w:val="center"/>
          </w:tcPr>
          <w:p w14:paraId="232CC725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3282C" w14:paraId="0AAD2B7F" w14:textId="77777777" w:rsidTr="0013282C">
        <w:tc>
          <w:tcPr>
            <w:tcW w:w="2518" w:type="dxa"/>
            <w:vAlign w:val="center"/>
            <w:hideMark/>
          </w:tcPr>
          <w:p w14:paraId="4E3CD557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Secondary</w:t>
            </w:r>
          </w:p>
        </w:tc>
        <w:tc>
          <w:tcPr>
            <w:tcW w:w="885" w:type="dxa"/>
            <w:vAlign w:val="center"/>
            <w:hideMark/>
          </w:tcPr>
          <w:p w14:paraId="0ED15681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11(30.6)</w:t>
            </w:r>
          </w:p>
        </w:tc>
        <w:tc>
          <w:tcPr>
            <w:tcW w:w="992" w:type="dxa"/>
            <w:vAlign w:val="center"/>
            <w:hideMark/>
          </w:tcPr>
          <w:p w14:paraId="0FF05BEC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5(35.7)</w:t>
            </w:r>
          </w:p>
        </w:tc>
        <w:tc>
          <w:tcPr>
            <w:tcW w:w="850" w:type="dxa"/>
            <w:gridSpan w:val="2"/>
            <w:vAlign w:val="center"/>
          </w:tcPr>
          <w:p w14:paraId="13032409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14:paraId="7A8A22B1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  <w:hideMark/>
          </w:tcPr>
          <w:p w14:paraId="2061CDB3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30(30.6)</w:t>
            </w:r>
          </w:p>
        </w:tc>
        <w:tc>
          <w:tcPr>
            <w:tcW w:w="992" w:type="dxa"/>
            <w:vAlign w:val="center"/>
            <w:hideMark/>
          </w:tcPr>
          <w:p w14:paraId="631D06FE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12(32.4)</w:t>
            </w:r>
          </w:p>
        </w:tc>
        <w:tc>
          <w:tcPr>
            <w:tcW w:w="851" w:type="dxa"/>
            <w:vAlign w:val="center"/>
          </w:tcPr>
          <w:p w14:paraId="6BA23C9A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4" w:type="dxa"/>
            <w:vAlign w:val="center"/>
          </w:tcPr>
          <w:p w14:paraId="49FBC33A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2" w:type="dxa"/>
            <w:vAlign w:val="center"/>
            <w:hideMark/>
          </w:tcPr>
          <w:p w14:paraId="5A7D5578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121(41.6)</w:t>
            </w:r>
          </w:p>
        </w:tc>
        <w:tc>
          <w:tcPr>
            <w:tcW w:w="992" w:type="dxa"/>
            <w:vAlign w:val="center"/>
            <w:hideMark/>
          </w:tcPr>
          <w:p w14:paraId="1544CECA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41(32.8)</w:t>
            </w:r>
          </w:p>
        </w:tc>
        <w:tc>
          <w:tcPr>
            <w:tcW w:w="851" w:type="dxa"/>
            <w:vAlign w:val="center"/>
          </w:tcPr>
          <w:p w14:paraId="0BBDC7F8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3282C" w14:paraId="5CD675FB" w14:textId="77777777" w:rsidTr="0013282C">
        <w:tc>
          <w:tcPr>
            <w:tcW w:w="2518" w:type="dxa"/>
            <w:vAlign w:val="center"/>
            <w:hideMark/>
          </w:tcPr>
          <w:p w14:paraId="306A55AB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Duration of infertility (years)</w:t>
            </w:r>
          </w:p>
        </w:tc>
        <w:tc>
          <w:tcPr>
            <w:tcW w:w="885" w:type="dxa"/>
            <w:vAlign w:val="center"/>
            <w:hideMark/>
          </w:tcPr>
          <w:p w14:paraId="7A65533D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3.0±2.0</w:t>
            </w:r>
          </w:p>
        </w:tc>
        <w:tc>
          <w:tcPr>
            <w:tcW w:w="992" w:type="dxa"/>
            <w:vAlign w:val="center"/>
            <w:hideMark/>
          </w:tcPr>
          <w:p w14:paraId="1C374E5D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2.8±1.6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0C5FB5D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0.767</w:t>
            </w:r>
          </w:p>
        </w:tc>
        <w:tc>
          <w:tcPr>
            <w:tcW w:w="284" w:type="dxa"/>
            <w:vAlign w:val="center"/>
          </w:tcPr>
          <w:p w14:paraId="1648CD65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  <w:hideMark/>
          </w:tcPr>
          <w:p w14:paraId="01FC4E6C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3.3±2.3</w:t>
            </w:r>
          </w:p>
        </w:tc>
        <w:tc>
          <w:tcPr>
            <w:tcW w:w="992" w:type="dxa"/>
            <w:vAlign w:val="center"/>
            <w:hideMark/>
          </w:tcPr>
          <w:p w14:paraId="47593796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2.9±2.8</w:t>
            </w:r>
          </w:p>
        </w:tc>
        <w:tc>
          <w:tcPr>
            <w:tcW w:w="851" w:type="dxa"/>
            <w:vAlign w:val="center"/>
            <w:hideMark/>
          </w:tcPr>
          <w:p w14:paraId="44B651BB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0.023*</w:t>
            </w:r>
          </w:p>
        </w:tc>
        <w:tc>
          <w:tcPr>
            <w:tcW w:w="264" w:type="dxa"/>
            <w:vAlign w:val="center"/>
          </w:tcPr>
          <w:p w14:paraId="216A546B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2" w:type="dxa"/>
            <w:vAlign w:val="center"/>
            <w:hideMark/>
          </w:tcPr>
          <w:p w14:paraId="07354C6A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2.8±1.9</w:t>
            </w:r>
          </w:p>
        </w:tc>
        <w:tc>
          <w:tcPr>
            <w:tcW w:w="992" w:type="dxa"/>
            <w:vAlign w:val="center"/>
            <w:hideMark/>
          </w:tcPr>
          <w:p w14:paraId="22C1332F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3.0±2.1</w:t>
            </w:r>
          </w:p>
        </w:tc>
        <w:tc>
          <w:tcPr>
            <w:tcW w:w="851" w:type="dxa"/>
            <w:vAlign w:val="center"/>
            <w:hideMark/>
          </w:tcPr>
          <w:p w14:paraId="68D56026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0.400</w:t>
            </w:r>
          </w:p>
        </w:tc>
      </w:tr>
      <w:tr w:rsidR="0013282C" w14:paraId="3FCDE6D5" w14:textId="77777777" w:rsidTr="0013282C">
        <w:tc>
          <w:tcPr>
            <w:tcW w:w="2518" w:type="dxa"/>
            <w:vAlign w:val="center"/>
            <w:hideMark/>
          </w:tcPr>
          <w:p w14:paraId="2A7918C5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No. of dominant follicles ≥16 mm</w:t>
            </w:r>
          </w:p>
        </w:tc>
        <w:tc>
          <w:tcPr>
            <w:tcW w:w="885" w:type="dxa"/>
            <w:vAlign w:val="center"/>
            <w:hideMark/>
          </w:tcPr>
          <w:p w14:paraId="02B7F757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1.0±0.2</w:t>
            </w:r>
          </w:p>
        </w:tc>
        <w:tc>
          <w:tcPr>
            <w:tcW w:w="992" w:type="dxa"/>
            <w:vAlign w:val="center"/>
            <w:hideMark/>
          </w:tcPr>
          <w:p w14:paraId="669879CD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1.6±0.5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0285AC55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&lt;0.001*</w:t>
            </w:r>
          </w:p>
        </w:tc>
        <w:tc>
          <w:tcPr>
            <w:tcW w:w="284" w:type="dxa"/>
            <w:vAlign w:val="center"/>
          </w:tcPr>
          <w:p w14:paraId="5D30F0D9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  <w:hideMark/>
          </w:tcPr>
          <w:p w14:paraId="3994A8F9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1.0±0.1</w:t>
            </w:r>
          </w:p>
        </w:tc>
        <w:tc>
          <w:tcPr>
            <w:tcW w:w="992" w:type="dxa"/>
            <w:vAlign w:val="center"/>
            <w:hideMark/>
          </w:tcPr>
          <w:p w14:paraId="172337C5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1.6±0.6</w:t>
            </w:r>
          </w:p>
        </w:tc>
        <w:tc>
          <w:tcPr>
            <w:tcW w:w="851" w:type="dxa"/>
            <w:vAlign w:val="center"/>
            <w:hideMark/>
          </w:tcPr>
          <w:p w14:paraId="3D1F35D7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&lt;0.001*</w:t>
            </w:r>
          </w:p>
        </w:tc>
        <w:tc>
          <w:tcPr>
            <w:tcW w:w="264" w:type="dxa"/>
            <w:vAlign w:val="center"/>
          </w:tcPr>
          <w:p w14:paraId="71615890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2" w:type="dxa"/>
            <w:vAlign w:val="center"/>
            <w:hideMark/>
          </w:tcPr>
          <w:p w14:paraId="3E8F75E3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1.0±0.1</w:t>
            </w:r>
          </w:p>
        </w:tc>
        <w:tc>
          <w:tcPr>
            <w:tcW w:w="992" w:type="dxa"/>
            <w:vAlign w:val="center"/>
            <w:hideMark/>
          </w:tcPr>
          <w:p w14:paraId="20AA5CC2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1.4±0.5</w:t>
            </w:r>
          </w:p>
        </w:tc>
        <w:tc>
          <w:tcPr>
            <w:tcW w:w="851" w:type="dxa"/>
            <w:vAlign w:val="center"/>
            <w:hideMark/>
          </w:tcPr>
          <w:p w14:paraId="42B54968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&lt;0.001*</w:t>
            </w:r>
          </w:p>
        </w:tc>
      </w:tr>
      <w:tr w:rsidR="0013282C" w14:paraId="724A66DC" w14:textId="77777777" w:rsidTr="0013282C">
        <w:tc>
          <w:tcPr>
            <w:tcW w:w="2518" w:type="dxa"/>
            <w:vAlign w:val="center"/>
            <w:hideMark/>
          </w:tcPr>
          <w:p w14:paraId="591D613A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Endometrium thickness (mm)</w:t>
            </w:r>
          </w:p>
        </w:tc>
        <w:tc>
          <w:tcPr>
            <w:tcW w:w="885" w:type="dxa"/>
            <w:vAlign w:val="center"/>
            <w:hideMark/>
          </w:tcPr>
          <w:p w14:paraId="5727E4D5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9.6±1.4</w:t>
            </w:r>
          </w:p>
        </w:tc>
        <w:tc>
          <w:tcPr>
            <w:tcW w:w="992" w:type="dxa"/>
            <w:vAlign w:val="center"/>
            <w:hideMark/>
          </w:tcPr>
          <w:p w14:paraId="30829566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9.9±1.7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1CAA319D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0.440</w:t>
            </w:r>
          </w:p>
        </w:tc>
        <w:tc>
          <w:tcPr>
            <w:tcW w:w="284" w:type="dxa"/>
            <w:vAlign w:val="center"/>
          </w:tcPr>
          <w:p w14:paraId="483E196B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  <w:hideMark/>
          </w:tcPr>
          <w:p w14:paraId="1161FF5B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9.9±1.7</w:t>
            </w:r>
          </w:p>
        </w:tc>
        <w:tc>
          <w:tcPr>
            <w:tcW w:w="992" w:type="dxa"/>
            <w:vAlign w:val="center"/>
            <w:hideMark/>
          </w:tcPr>
          <w:p w14:paraId="778E0598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10.1±1.7</w:t>
            </w:r>
          </w:p>
        </w:tc>
        <w:tc>
          <w:tcPr>
            <w:tcW w:w="851" w:type="dxa"/>
            <w:vAlign w:val="center"/>
            <w:hideMark/>
          </w:tcPr>
          <w:p w14:paraId="1E79999F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0.331</w:t>
            </w:r>
          </w:p>
        </w:tc>
        <w:tc>
          <w:tcPr>
            <w:tcW w:w="264" w:type="dxa"/>
            <w:vAlign w:val="center"/>
          </w:tcPr>
          <w:p w14:paraId="3A0736EA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2" w:type="dxa"/>
            <w:vAlign w:val="center"/>
            <w:hideMark/>
          </w:tcPr>
          <w:p w14:paraId="41D273CB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9.9±1.4</w:t>
            </w:r>
          </w:p>
        </w:tc>
        <w:tc>
          <w:tcPr>
            <w:tcW w:w="992" w:type="dxa"/>
            <w:vAlign w:val="center"/>
            <w:hideMark/>
          </w:tcPr>
          <w:p w14:paraId="41B102D8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9.8±1.6</w:t>
            </w:r>
          </w:p>
        </w:tc>
        <w:tc>
          <w:tcPr>
            <w:tcW w:w="851" w:type="dxa"/>
            <w:vAlign w:val="center"/>
            <w:hideMark/>
          </w:tcPr>
          <w:p w14:paraId="3EC6F8FA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0.359</w:t>
            </w:r>
          </w:p>
        </w:tc>
      </w:tr>
      <w:tr w:rsidR="0013282C" w14:paraId="59814658" w14:textId="77777777" w:rsidTr="0013282C">
        <w:tc>
          <w:tcPr>
            <w:tcW w:w="2518" w:type="dxa"/>
            <w:vAlign w:val="center"/>
            <w:hideMark/>
          </w:tcPr>
          <w:p w14:paraId="2B58F02C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TPMSC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 ×106)</w:t>
            </w:r>
          </w:p>
        </w:tc>
        <w:tc>
          <w:tcPr>
            <w:tcW w:w="885" w:type="dxa"/>
            <w:vAlign w:val="center"/>
          </w:tcPr>
          <w:p w14:paraId="0E029158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138E89C7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5E486298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14:paraId="19FB501E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593D3BC7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1D2B39EE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1E5A23DF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4" w:type="dxa"/>
            <w:vAlign w:val="center"/>
          </w:tcPr>
          <w:p w14:paraId="031EF5A3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2" w:type="dxa"/>
            <w:vAlign w:val="center"/>
          </w:tcPr>
          <w:p w14:paraId="55C2169A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11E9E81E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557A8D08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3282C" w14:paraId="78FE6B3B" w14:textId="77777777" w:rsidTr="0013282C">
        <w:tc>
          <w:tcPr>
            <w:tcW w:w="2518" w:type="dxa"/>
            <w:vAlign w:val="center"/>
            <w:hideMark/>
          </w:tcPr>
          <w:p w14:paraId="4F748106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pre-wash</w:t>
            </w:r>
          </w:p>
        </w:tc>
        <w:tc>
          <w:tcPr>
            <w:tcW w:w="885" w:type="dxa"/>
            <w:vAlign w:val="center"/>
            <w:hideMark/>
          </w:tcPr>
          <w:p w14:paraId="4386A1F7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11.9±5.1</w:t>
            </w:r>
          </w:p>
        </w:tc>
        <w:tc>
          <w:tcPr>
            <w:tcW w:w="992" w:type="dxa"/>
            <w:vAlign w:val="center"/>
            <w:hideMark/>
          </w:tcPr>
          <w:p w14:paraId="1F0051F4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12.2±6.3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6A54D395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  <w:tc>
          <w:tcPr>
            <w:tcW w:w="284" w:type="dxa"/>
            <w:vAlign w:val="center"/>
          </w:tcPr>
          <w:p w14:paraId="5345E214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  <w:hideMark/>
          </w:tcPr>
          <w:p w14:paraId="3AFF0922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21.4±12.9</w:t>
            </w:r>
          </w:p>
        </w:tc>
        <w:tc>
          <w:tcPr>
            <w:tcW w:w="992" w:type="dxa"/>
            <w:vAlign w:val="center"/>
            <w:hideMark/>
          </w:tcPr>
          <w:p w14:paraId="650E3E75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23.4±20.0</w:t>
            </w:r>
          </w:p>
        </w:tc>
        <w:tc>
          <w:tcPr>
            <w:tcW w:w="851" w:type="dxa"/>
            <w:vAlign w:val="center"/>
            <w:hideMark/>
          </w:tcPr>
          <w:p w14:paraId="6E7EF7ED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0.842</w:t>
            </w:r>
          </w:p>
        </w:tc>
        <w:tc>
          <w:tcPr>
            <w:tcW w:w="264" w:type="dxa"/>
            <w:vAlign w:val="center"/>
          </w:tcPr>
          <w:p w14:paraId="17FA2EBE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2" w:type="dxa"/>
            <w:vAlign w:val="center"/>
            <w:hideMark/>
          </w:tcPr>
          <w:p w14:paraId="73DFFB5F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72.8±64.6</w:t>
            </w:r>
          </w:p>
        </w:tc>
        <w:tc>
          <w:tcPr>
            <w:tcW w:w="992" w:type="dxa"/>
            <w:vAlign w:val="center"/>
            <w:hideMark/>
          </w:tcPr>
          <w:p w14:paraId="72BB6F3C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66.7±35.5</w:t>
            </w:r>
          </w:p>
        </w:tc>
        <w:tc>
          <w:tcPr>
            <w:tcW w:w="851" w:type="dxa"/>
            <w:vAlign w:val="center"/>
            <w:hideMark/>
          </w:tcPr>
          <w:p w14:paraId="1BA7373A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0.655</w:t>
            </w:r>
          </w:p>
        </w:tc>
      </w:tr>
      <w:tr w:rsidR="0013282C" w14:paraId="3226C17B" w14:textId="77777777" w:rsidTr="0013282C">
        <w:tc>
          <w:tcPr>
            <w:tcW w:w="2518" w:type="dxa"/>
            <w:vAlign w:val="center"/>
            <w:hideMark/>
          </w:tcPr>
          <w:p w14:paraId="5364BB5B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post-wash</w:t>
            </w:r>
          </w:p>
        </w:tc>
        <w:tc>
          <w:tcPr>
            <w:tcW w:w="885" w:type="dxa"/>
            <w:vAlign w:val="center"/>
            <w:hideMark/>
          </w:tcPr>
          <w:p w14:paraId="5A7474E3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4.0±0.8</w:t>
            </w:r>
          </w:p>
        </w:tc>
        <w:tc>
          <w:tcPr>
            <w:tcW w:w="992" w:type="dxa"/>
            <w:vAlign w:val="center"/>
            <w:hideMark/>
          </w:tcPr>
          <w:p w14:paraId="40B518B5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3.8±1.0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7E81B556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0.484</w:t>
            </w:r>
          </w:p>
        </w:tc>
        <w:tc>
          <w:tcPr>
            <w:tcW w:w="284" w:type="dxa"/>
            <w:vAlign w:val="center"/>
          </w:tcPr>
          <w:p w14:paraId="51169F6C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  <w:hideMark/>
          </w:tcPr>
          <w:p w14:paraId="6BEEE3C0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7.2±1.4</w:t>
            </w:r>
          </w:p>
        </w:tc>
        <w:tc>
          <w:tcPr>
            <w:tcW w:w="992" w:type="dxa"/>
            <w:vAlign w:val="center"/>
            <w:hideMark/>
          </w:tcPr>
          <w:p w14:paraId="46A41DB5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7.3±1.6</w:t>
            </w:r>
          </w:p>
        </w:tc>
        <w:tc>
          <w:tcPr>
            <w:tcW w:w="851" w:type="dxa"/>
            <w:vAlign w:val="center"/>
            <w:hideMark/>
          </w:tcPr>
          <w:p w14:paraId="21148465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0.728</w:t>
            </w:r>
          </w:p>
        </w:tc>
        <w:tc>
          <w:tcPr>
            <w:tcW w:w="264" w:type="dxa"/>
            <w:vAlign w:val="center"/>
          </w:tcPr>
          <w:p w14:paraId="2B27CFCA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2" w:type="dxa"/>
            <w:vAlign w:val="center"/>
            <w:hideMark/>
          </w:tcPr>
          <w:p w14:paraId="315B3B98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23.6±12.4</w:t>
            </w:r>
          </w:p>
        </w:tc>
        <w:tc>
          <w:tcPr>
            <w:tcW w:w="992" w:type="dxa"/>
            <w:vAlign w:val="center"/>
            <w:hideMark/>
          </w:tcPr>
          <w:p w14:paraId="140A0D70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24.2±10.4</w:t>
            </w:r>
          </w:p>
        </w:tc>
        <w:tc>
          <w:tcPr>
            <w:tcW w:w="851" w:type="dxa"/>
            <w:vAlign w:val="center"/>
            <w:hideMark/>
          </w:tcPr>
          <w:p w14:paraId="60B245A5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0.141</w:t>
            </w:r>
          </w:p>
        </w:tc>
      </w:tr>
      <w:tr w:rsidR="0013282C" w14:paraId="049DFA69" w14:textId="77777777" w:rsidTr="0013282C">
        <w:tc>
          <w:tcPr>
            <w:tcW w:w="2518" w:type="dxa"/>
            <w:vAlign w:val="center"/>
            <w:hideMark/>
          </w:tcPr>
          <w:p w14:paraId="13D94CCD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Normal morphology ( %)</w:t>
            </w:r>
          </w:p>
        </w:tc>
        <w:tc>
          <w:tcPr>
            <w:tcW w:w="885" w:type="dxa"/>
            <w:vAlign w:val="center"/>
          </w:tcPr>
          <w:p w14:paraId="12640208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21AEB12B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45CF844E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14:paraId="45137B54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176F1AF0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1C691F5D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07E4F2C7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4" w:type="dxa"/>
            <w:vAlign w:val="center"/>
          </w:tcPr>
          <w:p w14:paraId="75427469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2" w:type="dxa"/>
            <w:vAlign w:val="center"/>
          </w:tcPr>
          <w:p w14:paraId="1178E239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658B64C5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2FA5BF05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3282C" w14:paraId="2CB68CC8" w14:textId="77777777" w:rsidTr="0013282C">
        <w:tc>
          <w:tcPr>
            <w:tcW w:w="2518" w:type="dxa"/>
            <w:vAlign w:val="center"/>
            <w:hideMark/>
          </w:tcPr>
          <w:p w14:paraId="3B9C4E95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pre-wash</w:t>
            </w:r>
          </w:p>
        </w:tc>
        <w:tc>
          <w:tcPr>
            <w:tcW w:w="885" w:type="dxa"/>
            <w:vAlign w:val="center"/>
            <w:hideMark/>
          </w:tcPr>
          <w:p w14:paraId="767F8C0F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4.0±1.7</w:t>
            </w:r>
          </w:p>
        </w:tc>
        <w:tc>
          <w:tcPr>
            <w:tcW w:w="992" w:type="dxa"/>
            <w:vAlign w:val="center"/>
            <w:hideMark/>
          </w:tcPr>
          <w:p w14:paraId="162D04CD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3.7±2.5</w:t>
            </w:r>
          </w:p>
        </w:tc>
        <w:tc>
          <w:tcPr>
            <w:tcW w:w="850" w:type="dxa"/>
            <w:gridSpan w:val="2"/>
            <w:vAlign w:val="center"/>
            <w:hideMark/>
          </w:tcPr>
          <w:p w14:paraId="581DEEEF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0.359</w:t>
            </w:r>
          </w:p>
        </w:tc>
        <w:tc>
          <w:tcPr>
            <w:tcW w:w="284" w:type="dxa"/>
            <w:vAlign w:val="center"/>
          </w:tcPr>
          <w:p w14:paraId="0F642516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  <w:hideMark/>
          </w:tcPr>
          <w:p w14:paraId="0FEF83CD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4.4±1.8</w:t>
            </w:r>
          </w:p>
        </w:tc>
        <w:tc>
          <w:tcPr>
            <w:tcW w:w="992" w:type="dxa"/>
            <w:vAlign w:val="center"/>
            <w:hideMark/>
          </w:tcPr>
          <w:p w14:paraId="72A01BE6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4.1±2.0</w:t>
            </w:r>
          </w:p>
        </w:tc>
        <w:tc>
          <w:tcPr>
            <w:tcW w:w="851" w:type="dxa"/>
            <w:vAlign w:val="center"/>
            <w:hideMark/>
          </w:tcPr>
          <w:p w14:paraId="035B2AE3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0.275</w:t>
            </w:r>
          </w:p>
        </w:tc>
        <w:tc>
          <w:tcPr>
            <w:tcW w:w="264" w:type="dxa"/>
            <w:vAlign w:val="center"/>
          </w:tcPr>
          <w:p w14:paraId="5B890255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2" w:type="dxa"/>
            <w:vAlign w:val="center"/>
            <w:hideMark/>
          </w:tcPr>
          <w:p w14:paraId="322B55BD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4.4±2.1</w:t>
            </w:r>
          </w:p>
        </w:tc>
        <w:tc>
          <w:tcPr>
            <w:tcW w:w="992" w:type="dxa"/>
            <w:vAlign w:val="center"/>
            <w:hideMark/>
          </w:tcPr>
          <w:p w14:paraId="43850BDA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4.6±2.6</w:t>
            </w:r>
          </w:p>
        </w:tc>
        <w:tc>
          <w:tcPr>
            <w:tcW w:w="851" w:type="dxa"/>
            <w:vAlign w:val="center"/>
            <w:hideMark/>
          </w:tcPr>
          <w:p w14:paraId="62247C04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0.951</w:t>
            </w:r>
          </w:p>
        </w:tc>
      </w:tr>
      <w:tr w:rsidR="0013282C" w14:paraId="53040D38" w14:textId="77777777" w:rsidTr="0013282C">
        <w:tc>
          <w:tcPr>
            <w:tcW w:w="251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2439AA3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post-wash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6905215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5.8±2.1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9A9B4A4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6.0±3.3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E83B638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0.810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DF2567D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4ECD293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6.2±2.1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C573116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5.5±2.5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802F11C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0.068</w:t>
            </w:r>
          </w:p>
        </w:tc>
        <w:tc>
          <w:tcPr>
            <w:tcW w:w="26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3E88A07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B03F3A0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6.3±2.4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1A62D18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6.4±3.0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F1CE82E" w14:textId="77777777" w:rsidR="0013282C" w:rsidRDefault="0013282C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0.698</w:t>
            </w:r>
          </w:p>
        </w:tc>
      </w:tr>
    </w:tbl>
    <w:p w14:paraId="5D7BF562" w14:textId="77777777" w:rsidR="0013282C" w:rsidRDefault="0013282C" w:rsidP="0013282C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IUI, intrauterine insemination; NC, natural cycle; COS, controlled ovarian stimulation; </w:t>
      </w:r>
      <w:proofErr w:type="spellStart"/>
      <w:r>
        <w:rPr>
          <w:rFonts w:ascii="Times New Roman" w:hAnsi="Times New Roman" w:cs="Times New Roman"/>
          <w:sz w:val="18"/>
          <w:szCs w:val="18"/>
        </w:rPr>
        <w:t>TPMSC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, total progressive motile sperm count; *denotes a statistically significant </w:t>
      </w:r>
      <w:bookmarkStart w:id="0" w:name="_Hlk62709018"/>
      <w:r>
        <w:rPr>
          <w:rFonts w:ascii="Times New Roman" w:hAnsi="Times New Roman" w:cs="Times New Roman"/>
          <w:sz w:val="18"/>
          <w:szCs w:val="18"/>
        </w:rPr>
        <w:t>difference (</w:t>
      </w:r>
      <w:r>
        <w:rPr>
          <w:rFonts w:ascii="Times New Roman" w:hAnsi="Times New Roman" w:cs="Times New Roman"/>
          <w:i/>
          <w:sz w:val="18"/>
          <w:szCs w:val="18"/>
        </w:rPr>
        <w:t>P</w:t>
      </w:r>
      <w:r>
        <w:rPr>
          <w:rFonts w:ascii="Times New Roman" w:hAnsi="Times New Roman" w:cs="Times New Roman"/>
          <w:sz w:val="18"/>
          <w:szCs w:val="18"/>
        </w:rPr>
        <w:t>&lt;0.05).</w:t>
      </w:r>
      <w:bookmarkEnd w:id="0"/>
    </w:p>
    <w:p w14:paraId="6E4B6411" w14:textId="080E3FD6" w:rsidR="00FD2B8E" w:rsidRDefault="00FD2B8E"/>
    <w:sectPr w:rsidR="00FD2B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82D"/>
    <w:rsid w:val="0013282C"/>
    <w:rsid w:val="00755CC4"/>
    <w:rsid w:val="007605CD"/>
    <w:rsid w:val="0097282D"/>
    <w:rsid w:val="00FD2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5E8B4D"/>
  <w15:chartTrackingRefBased/>
  <w15:docId w15:val="{A1573962-924B-4CCD-997E-04DD0B4F5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282C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3282C"/>
    <w:pPr>
      <w:spacing w:after="0" w:line="240" w:lineRule="auto"/>
    </w:pPr>
    <w:rPr>
      <w:rFonts w:eastAsiaTheme="minorEastAsia"/>
      <w:kern w:val="2"/>
      <w:sz w:val="21"/>
      <w:lang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19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225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2021-02-04T10:53:00Z</dcterms:created>
  <dcterms:modified xsi:type="dcterms:W3CDTF">2021-02-04T11:30:00Z</dcterms:modified>
</cp:coreProperties>
</file>