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9A236" w14:textId="77777777" w:rsidR="001D5DFB" w:rsidRPr="00B312DF" w:rsidRDefault="001D5DFB" w:rsidP="001D5DFB">
      <w:pPr>
        <w:spacing w:line="360" w:lineRule="auto"/>
        <w:jc w:val="both"/>
        <w:rPr>
          <w:lang w:val="en-US"/>
        </w:rPr>
      </w:pPr>
      <w:r w:rsidRPr="78ADD8F2">
        <w:rPr>
          <w:lang w:val="en-US"/>
        </w:rPr>
        <w:t>Prompts used for the analyses to be inserted as supplementary material</w:t>
      </w:r>
    </w:p>
    <w:p w14:paraId="44F0F318" w14:textId="77777777" w:rsidR="001D5DFB" w:rsidRPr="00B312DF" w:rsidRDefault="001D5DFB" w:rsidP="001D5DFB">
      <w:pPr>
        <w:spacing w:after="240"/>
        <w:jc w:val="both"/>
        <w:rPr>
          <w:color w:val="1F1F1F"/>
          <w:lang w:val="en-US"/>
        </w:rPr>
      </w:pPr>
    </w:p>
    <w:p w14:paraId="6AAAB4C3" w14:textId="77777777" w:rsidR="001D5DFB" w:rsidRPr="00B312DF" w:rsidRDefault="001D5DFB" w:rsidP="001D5DFB">
      <w:pPr>
        <w:pStyle w:val="Heading3"/>
        <w:spacing w:before="0" w:after="120"/>
        <w:jc w:val="both"/>
        <w:rPr>
          <w:rFonts w:eastAsia="Times New Roman" w:cs="Times New Roman"/>
          <w:sz w:val="24"/>
          <w:szCs w:val="24"/>
          <w:lang w:val="en-US"/>
        </w:rPr>
      </w:pPr>
      <w:r w:rsidRPr="78ADD8F2">
        <w:rPr>
          <w:rFonts w:eastAsia="Times New Roman" w:cs="Times New Roman"/>
          <w:b/>
          <w:bCs/>
          <w:color w:val="1F1F1F"/>
          <w:sz w:val="24"/>
          <w:szCs w:val="24"/>
          <w:lang w:val="en-US"/>
        </w:rPr>
        <w:t>Statistical Analysis Protocols and Methodology</w:t>
      </w:r>
    </w:p>
    <w:p w14:paraId="31E57CE6" w14:textId="77777777" w:rsidR="001D5DFB" w:rsidRPr="00B312DF" w:rsidRDefault="001D5DFB" w:rsidP="001D5DFB">
      <w:pPr>
        <w:spacing w:after="240"/>
        <w:jc w:val="both"/>
        <w:rPr>
          <w:lang w:val="en-US"/>
        </w:rPr>
      </w:pPr>
      <w:r w:rsidRPr="78ADD8F2">
        <w:rPr>
          <w:color w:val="1F1F1F"/>
          <w:lang w:val="en-US"/>
        </w:rPr>
        <w:t>The following computational and statistical procedures were implemented to analyze the validation and reliability datasets:</w:t>
      </w:r>
    </w:p>
    <w:p w14:paraId="4BF55826" w14:textId="77777777" w:rsidR="001D5DFB" w:rsidRPr="00B312DF" w:rsidRDefault="001D5DFB" w:rsidP="001D5DFB">
      <w:pPr>
        <w:pStyle w:val="Heading4"/>
        <w:spacing w:before="0" w:after="120"/>
        <w:jc w:val="both"/>
        <w:rPr>
          <w:rFonts w:eastAsia="Times New Roman" w:cs="Times New Roman"/>
          <w:lang w:val="en-US"/>
        </w:rPr>
      </w:pPr>
      <w:r w:rsidRPr="78ADD8F2">
        <w:rPr>
          <w:rFonts w:eastAsia="Times New Roman" w:cs="Times New Roman"/>
          <w:b/>
          <w:bCs/>
          <w:color w:val="1F1F1F"/>
          <w:lang w:val="en-US"/>
        </w:rPr>
        <w:t>1. Data Pre-processing and Categorization</w:t>
      </w:r>
    </w:p>
    <w:p w14:paraId="1E43866B" w14:textId="77777777" w:rsidR="001D5DFB" w:rsidRPr="00B312DF" w:rsidRDefault="001D5DFB" w:rsidP="001D5DFB">
      <w:pPr>
        <w:spacing w:after="240"/>
        <w:jc w:val="both"/>
        <w:rPr>
          <w:lang w:val="en-US"/>
        </w:rPr>
      </w:pPr>
      <w:r w:rsidRPr="78ADD8F2">
        <w:rPr>
          <w:color w:val="1F1F1F"/>
          <w:lang w:val="en-US"/>
        </w:rPr>
        <w:t>The initial phase involved data cleaning and the harmonization of variables. Professional specialties were grouped into broader categories (e.g., Oral and Maxillofacial Surgeons, Implantodontists, and Others) to ensure statistical power for association tests. Likert-scale responses regarding utility and clinical reality were mapped to a numerical scale (1 to 4) to facilitate ordinal correlation analysis.</w:t>
      </w:r>
    </w:p>
    <w:p w14:paraId="1F887DD5" w14:textId="77777777" w:rsidR="001D5DFB" w:rsidRPr="00B312DF" w:rsidRDefault="001D5DFB" w:rsidP="001D5DFB">
      <w:pPr>
        <w:pStyle w:val="Heading4"/>
        <w:spacing w:before="0" w:after="120"/>
        <w:jc w:val="both"/>
        <w:rPr>
          <w:rFonts w:eastAsia="Times New Roman" w:cs="Times New Roman"/>
          <w:lang w:val="en-US"/>
        </w:rPr>
      </w:pPr>
      <w:r w:rsidRPr="78ADD8F2">
        <w:rPr>
          <w:rFonts w:eastAsia="Times New Roman" w:cs="Times New Roman"/>
          <w:b/>
          <w:bCs/>
          <w:color w:val="1F1F1F"/>
          <w:lang w:val="en-US"/>
        </w:rPr>
        <w:t>2. Descriptive and Frequency Analysis</w:t>
      </w:r>
    </w:p>
    <w:p w14:paraId="52500861" w14:textId="77777777" w:rsidR="001D5DFB" w:rsidRPr="00B312DF" w:rsidRDefault="001D5DFB" w:rsidP="001D5DFB">
      <w:pPr>
        <w:spacing w:after="240"/>
        <w:jc w:val="both"/>
        <w:rPr>
          <w:lang w:val="en-US"/>
        </w:rPr>
      </w:pPr>
      <w:r w:rsidRPr="78ADD8F2">
        <w:rPr>
          <w:color w:val="1F1F1F"/>
          <w:lang w:val="en-US"/>
        </w:rPr>
        <w:t>A descriptive study was conducted to determine the distribution of responses for each validation criterion. Frequencies and percentages were calculated to assess the level of professional agreement regarding the scale’s utility, graphic quality, and potential as a clinical reference.</w:t>
      </w:r>
    </w:p>
    <w:p w14:paraId="635E4D53" w14:textId="77777777" w:rsidR="001D5DFB" w:rsidRPr="00B312DF" w:rsidRDefault="001D5DFB" w:rsidP="001D5DFB">
      <w:pPr>
        <w:pStyle w:val="Heading4"/>
        <w:spacing w:before="0" w:after="120"/>
        <w:jc w:val="both"/>
        <w:rPr>
          <w:rFonts w:eastAsia="Times New Roman" w:cs="Times New Roman"/>
          <w:lang w:val="en-US"/>
        </w:rPr>
      </w:pPr>
      <w:r w:rsidRPr="78ADD8F2">
        <w:rPr>
          <w:rFonts w:eastAsia="Times New Roman" w:cs="Times New Roman"/>
          <w:b/>
          <w:bCs/>
          <w:color w:val="1F1F1F"/>
          <w:lang w:val="en-US"/>
        </w:rPr>
        <w:t>3. Reliability Analysis (Inter-rater Agreement)</w:t>
      </w:r>
    </w:p>
    <w:p w14:paraId="33C94C0F" w14:textId="77777777" w:rsidR="001D5DFB" w:rsidRPr="00B312DF" w:rsidRDefault="001D5DFB" w:rsidP="001D5DFB">
      <w:pPr>
        <w:spacing w:after="240"/>
        <w:jc w:val="both"/>
        <w:rPr>
          <w:lang w:val="en-US"/>
        </w:rPr>
      </w:pPr>
      <w:r w:rsidRPr="78ADD8F2">
        <w:rPr>
          <w:color w:val="1F1F1F"/>
          <w:lang w:val="en-US"/>
        </w:rPr>
        <w:t xml:space="preserve">To evaluate the consistency among the 83 independent examiners, </w:t>
      </w:r>
      <w:r w:rsidRPr="78ADD8F2">
        <w:rPr>
          <w:b/>
          <w:bCs/>
          <w:color w:val="1F1F1F"/>
          <w:lang w:val="en-US"/>
        </w:rPr>
        <w:t>Fleiss' Kappa (k)</w:t>
      </w:r>
      <w:r w:rsidRPr="78ADD8F2">
        <w:rPr>
          <w:color w:val="1F1F1F"/>
          <w:lang w:val="en-US"/>
        </w:rPr>
        <w:t xml:space="preserve"> was employed. This test was selected as the appropriate measure for multi-rater agreement when using categorical data (the four scores of the scale) across multiple subjects (the clinical images). The resulting coefficient was interpreted based on the Landis and Koch benchmarks.</w:t>
      </w:r>
    </w:p>
    <w:p w14:paraId="4C77AC4C" w14:textId="77777777" w:rsidR="001D5DFB" w:rsidRPr="00B312DF" w:rsidRDefault="001D5DFB" w:rsidP="001D5DFB">
      <w:pPr>
        <w:pStyle w:val="Heading4"/>
        <w:spacing w:before="0" w:after="120"/>
        <w:jc w:val="both"/>
        <w:rPr>
          <w:rFonts w:eastAsia="Times New Roman" w:cs="Times New Roman"/>
          <w:lang w:val="en-US"/>
        </w:rPr>
      </w:pPr>
      <w:r w:rsidRPr="78ADD8F2">
        <w:rPr>
          <w:rFonts w:eastAsia="Times New Roman" w:cs="Times New Roman"/>
          <w:b/>
          <w:bCs/>
          <w:color w:val="1F1F1F"/>
          <w:lang w:val="en-US"/>
        </w:rPr>
        <w:t>4. Accuracy and Correction Analysis</w:t>
      </w:r>
    </w:p>
    <w:p w14:paraId="2619B913" w14:textId="77777777" w:rsidR="001D5DFB" w:rsidRPr="00B312DF" w:rsidRDefault="001D5DFB" w:rsidP="001D5DFB">
      <w:pPr>
        <w:spacing w:after="120"/>
        <w:jc w:val="both"/>
        <w:rPr>
          <w:lang w:val="en-US"/>
        </w:rPr>
      </w:pPr>
      <w:r w:rsidRPr="78ADD8F2">
        <w:rPr>
          <w:color w:val="1F1F1F"/>
          <w:lang w:val="en-US"/>
        </w:rPr>
        <w:t xml:space="preserve">The "Correction Analysis" was performed by establishing the </w:t>
      </w:r>
      <w:r w:rsidRPr="78ADD8F2">
        <w:rPr>
          <w:b/>
          <w:bCs/>
          <w:color w:val="1F1F1F"/>
          <w:lang w:val="en-US"/>
        </w:rPr>
        <w:t>Modal Consensus</w:t>
      </w:r>
      <w:r w:rsidRPr="78ADD8F2">
        <w:rPr>
          <w:color w:val="1F1F1F"/>
          <w:lang w:val="en-US"/>
        </w:rPr>
        <w:t xml:space="preserve"> (the most frequent score assigned by the total cohort) as the </w:t>
      </w:r>
      <w:r w:rsidRPr="78ADD8F2">
        <w:rPr>
          <w:i/>
          <w:iCs/>
          <w:color w:val="1F1F1F"/>
          <w:lang w:val="en-US"/>
        </w:rPr>
        <w:t>de facto</w:t>
      </w:r>
      <w:r w:rsidRPr="78ADD8F2">
        <w:rPr>
          <w:color w:val="1F1F1F"/>
          <w:lang w:val="en-US"/>
        </w:rPr>
        <w:t xml:space="preserve"> gold standard for each image. Individual participant responses were compared against this consensus to calculate:</w:t>
      </w:r>
    </w:p>
    <w:p w14:paraId="43DDE319" w14:textId="77777777" w:rsidR="001D5DFB" w:rsidRPr="00B312DF" w:rsidRDefault="001D5DFB" w:rsidP="001D5DFB">
      <w:pPr>
        <w:pStyle w:val="ListParagraph"/>
        <w:numPr>
          <w:ilvl w:val="0"/>
          <w:numId w:val="3"/>
        </w:numPr>
        <w:spacing w:before="240" w:after="240"/>
        <w:jc w:val="both"/>
        <w:rPr>
          <w:color w:val="1F1F1F"/>
          <w:lang w:val="en-US"/>
        </w:rPr>
      </w:pPr>
      <w:r w:rsidRPr="78ADD8F2">
        <w:rPr>
          <w:b/>
          <w:bCs/>
          <w:color w:val="1F1F1F"/>
          <w:lang w:val="en-US"/>
        </w:rPr>
        <w:t>Overall Accuracy Rate:</w:t>
      </w:r>
      <w:r w:rsidRPr="78ADD8F2">
        <w:rPr>
          <w:color w:val="1F1F1F"/>
          <w:lang w:val="en-US"/>
        </w:rPr>
        <w:t xml:space="preserve"> The percentage of correct identifications per image.</w:t>
      </w:r>
    </w:p>
    <w:p w14:paraId="325DFDB7" w14:textId="77777777" w:rsidR="001D5DFB" w:rsidRPr="00B312DF" w:rsidRDefault="001D5DFB" w:rsidP="001D5DFB">
      <w:pPr>
        <w:pStyle w:val="ListParagraph"/>
        <w:numPr>
          <w:ilvl w:val="0"/>
          <w:numId w:val="3"/>
        </w:numPr>
        <w:spacing w:before="240" w:after="240"/>
        <w:jc w:val="both"/>
        <w:rPr>
          <w:color w:val="1F1F1F"/>
          <w:lang w:val="en-US"/>
        </w:rPr>
      </w:pPr>
      <w:r w:rsidRPr="78ADD8F2">
        <w:rPr>
          <w:b/>
          <w:bCs/>
          <w:color w:val="1F1F1F"/>
          <w:lang w:val="en-US"/>
        </w:rPr>
        <w:t>Error Distribution Analysis:</w:t>
      </w:r>
      <w:r w:rsidRPr="78ADD8F2">
        <w:rPr>
          <w:color w:val="1F1F1F"/>
          <w:lang w:val="en-US"/>
        </w:rPr>
        <w:t xml:space="preserve"> Identification of the "Most Common Error" to detect systematic misinterpretations between adjacent scores (e.g., confusion between Score 1 and Score 2).</w:t>
      </w:r>
    </w:p>
    <w:p w14:paraId="5ADB21D5" w14:textId="77777777" w:rsidR="001D5DFB" w:rsidRPr="00B312DF" w:rsidRDefault="001D5DFB" w:rsidP="001D5DFB">
      <w:pPr>
        <w:pStyle w:val="Heading4"/>
        <w:spacing w:before="0" w:after="120"/>
        <w:jc w:val="both"/>
        <w:rPr>
          <w:rFonts w:eastAsia="Times New Roman" w:cs="Times New Roman"/>
          <w:lang w:val="en-US"/>
        </w:rPr>
      </w:pPr>
      <w:r w:rsidRPr="78ADD8F2">
        <w:rPr>
          <w:rFonts w:eastAsia="Times New Roman" w:cs="Times New Roman"/>
          <w:b/>
          <w:bCs/>
          <w:color w:val="1F1F1F"/>
          <w:lang w:val="en-US"/>
        </w:rPr>
        <w:t>5. Inferential Statistics and Association Testing</w:t>
      </w:r>
    </w:p>
    <w:p w14:paraId="23ADC5BE" w14:textId="77777777" w:rsidR="001D5DFB" w:rsidRPr="00B312DF" w:rsidRDefault="001D5DFB" w:rsidP="001D5DFB">
      <w:pPr>
        <w:pStyle w:val="ListParagraph"/>
        <w:numPr>
          <w:ilvl w:val="0"/>
          <w:numId w:val="2"/>
        </w:numPr>
        <w:spacing w:before="240" w:after="240"/>
        <w:jc w:val="both"/>
        <w:rPr>
          <w:color w:val="1F1F1F"/>
          <w:lang w:val="en-US"/>
        </w:rPr>
      </w:pPr>
      <w:r w:rsidRPr="78ADD8F2">
        <w:rPr>
          <w:b/>
          <w:bCs/>
          <w:color w:val="1F1F1F"/>
          <w:lang w:val="en-US"/>
        </w:rPr>
        <w:t>Chi-Square Test (X</w:t>
      </w:r>
      <w:r w:rsidRPr="78ADD8F2">
        <w:rPr>
          <w:b/>
          <w:bCs/>
          <w:color w:val="1F1F1F"/>
          <w:vertAlign w:val="superscript"/>
          <w:lang w:val="en-US"/>
        </w:rPr>
        <w:t>2</w:t>
      </w:r>
      <w:r w:rsidRPr="78ADD8F2">
        <w:rPr>
          <w:b/>
          <w:bCs/>
          <w:color w:val="1F1F1F"/>
          <w:lang w:val="en-US"/>
        </w:rPr>
        <w:t>):</w:t>
      </w:r>
      <w:r w:rsidRPr="78ADD8F2">
        <w:rPr>
          <w:color w:val="1F1F1F"/>
          <w:lang w:val="en-US"/>
        </w:rPr>
        <w:t xml:space="preserve"> Used to determine if there were statistically significant associations between the participants' specialty (or level of expertise) and their perception of the scale. This test aimed to confirm the instrument's cross-disciplinary validity.</w:t>
      </w:r>
    </w:p>
    <w:p w14:paraId="5C87C9F0" w14:textId="77777777" w:rsidR="001D5DFB" w:rsidRPr="00B312DF" w:rsidRDefault="001D5DFB" w:rsidP="001D5DFB">
      <w:pPr>
        <w:pStyle w:val="ListParagraph"/>
        <w:numPr>
          <w:ilvl w:val="0"/>
          <w:numId w:val="2"/>
        </w:numPr>
        <w:spacing w:before="240" w:after="240"/>
        <w:jc w:val="both"/>
        <w:rPr>
          <w:color w:val="1F1F1F"/>
          <w:lang w:val="en-US"/>
        </w:rPr>
      </w:pPr>
      <w:r w:rsidRPr="78ADD8F2">
        <w:rPr>
          <w:b/>
          <w:bCs/>
          <w:color w:val="1F1F1F"/>
          <w:lang w:val="en-US"/>
        </w:rPr>
        <w:t>Spearman’s Rank Correlation (r):</w:t>
      </w:r>
      <w:r w:rsidRPr="78ADD8F2">
        <w:rPr>
          <w:color w:val="1F1F1F"/>
          <w:lang w:val="en-US"/>
        </w:rPr>
        <w:t xml:space="preserve"> Applied to measure the strength and direction of the relationship between ordinal variables, such as the correlation between the perceived visual quality of the images and their clinical representativeness.</w:t>
      </w:r>
    </w:p>
    <w:p w14:paraId="605AD3B4" w14:textId="77777777" w:rsidR="001D5DFB" w:rsidRPr="00B312DF" w:rsidRDefault="001D5DFB" w:rsidP="001D5DFB">
      <w:pPr>
        <w:pStyle w:val="Heading4"/>
        <w:spacing w:before="0" w:after="120"/>
        <w:jc w:val="both"/>
        <w:rPr>
          <w:rFonts w:eastAsia="Times New Roman" w:cs="Times New Roman"/>
          <w:lang w:val="en-US"/>
        </w:rPr>
      </w:pPr>
      <w:r w:rsidRPr="78ADD8F2">
        <w:rPr>
          <w:rFonts w:eastAsia="Times New Roman" w:cs="Times New Roman"/>
          <w:b/>
          <w:bCs/>
          <w:color w:val="1F1F1F"/>
          <w:lang w:val="en-US"/>
        </w:rPr>
        <w:t>6. Computational Tools</w:t>
      </w:r>
    </w:p>
    <w:p w14:paraId="1778803A" w14:textId="77777777" w:rsidR="001D5DFB" w:rsidRPr="00B312DF" w:rsidRDefault="001D5DFB" w:rsidP="001D5DFB">
      <w:pPr>
        <w:spacing w:after="120"/>
        <w:jc w:val="both"/>
        <w:rPr>
          <w:lang w:val="en-US"/>
        </w:rPr>
      </w:pPr>
      <w:r w:rsidRPr="78ADD8F2">
        <w:rPr>
          <w:color w:val="1F1F1F"/>
          <w:lang w:val="en-US"/>
        </w:rPr>
        <w:t xml:space="preserve">All analyses were performed using </w:t>
      </w:r>
      <w:r w:rsidRPr="78ADD8F2">
        <w:rPr>
          <w:b/>
          <w:bCs/>
          <w:color w:val="1F1F1F"/>
          <w:lang w:val="en-US"/>
        </w:rPr>
        <w:t>Python (v3.10)</w:t>
      </w:r>
      <w:r w:rsidRPr="78ADD8F2">
        <w:rPr>
          <w:color w:val="1F1F1F"/>
          <w:lang w:val="en-US"/>
        </w:rPr>
        <w:t xml:space="preserve"> with the following libraries:</w:t>
      </w:r>
    </w:p>
    <w:p w14:paraId="04DBF0C3" w14:textId="77777777" w:rsidR="001D5DFB" w:rsidRPr="00B312DF" w:rsidRDefault="001D5DFB" w:rsidP="001D5DFB">
      <w:pPr>
        <w:pStyle w:val="ListParagraph"/>
        <w:numPr>
          <w:ilvl w:val="0"/>
          <w:numId w:val="1"/>
        </w:numPr>
        <w:spacing w:before="240" w:after="240"/>
        <w:jc w:val="both"/>
        <w:rPr>
          <w:lang w:val="en-US"/>
        </w:rPr>
      </w:pPr>
      <w:r w:rsidRPr="78ADD8F2">
        <w:rPr>
          <w:color w:val="444746"/>
          <w:lang w:val="en-US"/>
        </w:rPr>
        <w:lastRenderedPageBreak/>
        <w:t>Pandas</w:t>
      </w:r>
      <w:r w:rsidRPr="78ADD8F2">
        <w:rPr>
          <w:color w:val="1F1F1F"/>
          <w:lang w:val="en-US"/>
        </w:rPr>
        <w:t xml:space="preserve"> and </w:t>
      </w:r>
      <w:r w:rsidRPr="78ADD8F2">
        <w:rPr>
          <w:color w:val="444746"/>
          <w:lang w:val="en-US"/>
        </w:rPr>
        <w:t>NumPy</w:t>
      </w:r>
      <w:r w:rsidRPr="78ADD8F2">
        <w:rPr>
          <w:color w:val="1F1F1F"/>
          <w:lang w:val="en-US"/>
        </w:rPr>
        <w:t xml:space="preserve"> for data arrangement</w:t>
      </w:r>
    </w:p>
    <w:p w14:paraId="04B02B74" w14:textId="77777777" w:rsidR="001D5DFB" w:rsidRPr="00B312DF" w:rsidRDefault="001D5DFB" w:rsidP="001D5DFB">
      <w:pPr>
        <w:pStyle w:val="ListParagraph"/>
        <w:numPr>
          <w:ilvl w:val="0"/>
          <w:numId w:val="1"/>
        </w:numPr>
        <w:spacing w:before="240" w:after="240"/>
        <w:jc w:val="both"/>
        <w:rPr>
          <w:color w:val="1F1F1F"/>
          <w:lang w:val="en-US"/>
        </w:rPr>
      </w:pPr>
      <w:r w:rsidRPr="78ADD8F2">
        <w:rPr>
          <w:color w:val="444746"/>
          <w:lang w:val="en-US"/>
        </w:rPr>
        <w:t>SciPy</w:t>
      </w:r>
      <w:r w:rsidRPr="78ADD8F2">
        <w:rPr>
          <w:color w:val="1F1F1F"/>
          <w:lang w:val="en-US"/>
        </w:rPr>
        <w:t xml:space="preserve"> and </w:t>
      </w:r>
      <w:r w:rsidRPr="78ADD8F2">
        <w:rPr>
          <w:color w:val="444746"/>
          <w:lang w:val="en-US"/>
        </w:rPr>
        <w:t>Statsmodels</w:t>
      </w:r>
      <w:r w:rsidRPr="78ADD8F2">
        <w:rPr>
          <w:color w:val="1F1F1F"/>
          <w:lang w:val="en-US"/>
        </w:rPr>
        <w:t xml:space="preserve"> for inferential testing and Fleiss' Kappa calculation.</w:t>
      </w:r>
    </w:p>
    <w:p w14:paraId="757FC6F9" w14:textId="77777777" w:rsidR="001D5DFB" w:rsidRPr="00B312DF" w:rsidRDefault="001D5DFB" w:rsidP="001D5DFB">
      <w:pPr>
        <w:pStyle w:val="ListParagraph"/>
        <w:numPr>
          <w:ilvl w:val="0"/>
          <w:numId w:val="1"/>
        </w:numPr>
        <w:spacing w:before="240" w:after="240"/>
        <w:jc w:val="both"/>
        <w:rPr>
          <w:color w:val="1F1F1F"/>
          <w:lang w:val="en-US"/>
        </w:rPr>
      </w:pPr>
      <w:r w:rsidRPr="78ADD8F2">
        <w:rPr>
          <w:color w:val="444746"/>
          <w:lang w:val="en-US"/>
        </w:rPr>
        <w:t>Matplotlib</w:t>
      </w:r>
      <w:r w:rsidRPr="78ADD8F2">
        <w:rPr>
          <w:color w:val="1F1F1F"/>
          <w:lang w:val="en-US"/>
        </w:rPr>
        <w:t xml:space="preserve"> for the generation of frequency and distribution charts.</w:t>
      </w:r>
    </w:p>
    <w:p w14:paraId="42012363" w14:textId="77777777" w:rsidR="001D5DFB" w:rsidRPr="00B312DF" w:rsidRDefault="001D5DFB" w:rsidP="001D5DFB">
      <w:pPr>
        <w:spacing w:after="240"/>
        <w:jc w:val="both"/>
        <w:rPr>
          <w:lang w:val="en-US"/>
        </w:rPr>
      </w:pPr>
      <w:r w:rsidRPr="78ADD8F2">
        <w:rPr>
          <w:color w:val="1F1F1F"/>
          <w:lang w:val="en-US"/>
        </w:rPr>
        <w:t xml:space="preserve">The level of statistical significance was set at </w:t>
      </w:r>
      <w:r w:rsidRPr="78ADD8F2">
        <w:rPr>
          <w:b/>
          <w:bCs/>
          <w:color w:val="1F1F1F"/>
          <w:lang w:val="en-US"/>
        </w:rPr>
        <w:t>p &lt; 0.05</w:t>
      </w:r>
      <w:r w:rsidRPr="78ADD8F2">
        <w:rPr>
          <w:color w:val="1F1F1F"/>
          <w:lang w:val="en-US"/>
        </w:rPr>
        <w:t xml:space="preserve"> for all hypothesis tests.</w:t>
      </w:r>
    </w:p>
    <w:p w14:paraId="40B75A37" w14:textId="77777777" w:rsidR="001D5DFB" w:rsidRPr="00B312DF" w:rsidRDefault="001D5DFB" w:rsidP="001D5DFB">
      <w:pPr>
        <w:spacing w:line="360" w:lineRule="auto"/>
        <w:rPr>
          <w:lang w:val="en-US"/>
        </w:rPr>
      </w:pPr>
    </w:p>
    <w:p w14:paraId="550CD43C" w14:textId="77777777" w:rsidR="001D5DFB" w:rsidRDefault="001D5DFB" w:rsidP="001D5DFB">
      <w:pPr>
        <w:spacing w:line="360" w:lineRule="auto"/>
        <w:rPr>
          <w:lang w:val="en-US"/>
        </w:rPr>
      </w:pPr>
    </w:p>
    <w:p w14:paraId="34F5C8EC" w14:textId="77777777" w:rsidR="00DE6AE2" w:rsidRPr="001D5DFB" w:rsidRDefault="00DE6AE2">
      <w:pPr>
        <w:rPr>
          <w:lang w:val="en-US"/>
        </w:rPr>
      </w:pPr>
    </w:p>
    <w:sectPr w:rsidR="00DE6AE2" w:rsidRPr="001D5DFB" w:rsidSect="001D5DFB">
      <w:pgSz w:w="11906" w:h="16838"/>
      <w:pgMar w:top="1701" w:right="1134"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B5EDF"/>
    <w:multiLevelType w:val="hybridMultilevel"/>
    <w:tmpl w:val="8B7EDD5E"/>
    <w:lvl w:ilvl="0" w:tplc="DA8A5B26">
      <w:start w:val="1"/>
      <w:numFmt w:val="bullet"/>
      <w:lvlText w:val=""/>
      <w:lvlJc w:val="left"/>
      <w:pPr>
        <w:ind w:left="720" w:hanging="360"/>
      </w:pPr>
      <w:rPr>
        <w:rFonts w:ascii="Symbol" w:hAnsi="Symbol" w:hint="default"/>
      </w:rPr>
    </w:lvl>
    <w:lvl w:ilvl="1" w:tplc="5D5E793E">
      <w:start w:val="1"/>
      <w:numFmt w:val="bullet"/>
      <w:lvlText w:val="o"/>
      <w:lvlJc w:val="left"/>
      <w:pPr>
        <w:ind w:left="1440" w:hanging="360"/>
      </w:pPr>
      <w:rPr>
        <w:rFonts w:ascii="Courier New" w:hAnsi="Courier New" w:hint="default"/>
      </w:rPr>
    </w:lvl>
    <w:lvl w:ilvl="2" w:tplc="E3B2B97A">
      <w:start w:val="1"/>
      <w:numFmt w:val="bullet"/>
      <w:lvlText w:val=""/>
      <w:lvlJc w:val="left"/>
      <w:pPr>
        <w:ind w:left="2160" w:hanging="360"/>
      </w:pPr>
      <w:rPr>
        <w:rFonts w:ascii="Wingdings" w:hAnsi="Wingdings" w:hint="default"/>
      </w:rPr>
    </w:lvl>
    <w:lvl w:ilvl="3" w:tplc="0C8CA512">
      <w:start w:val="1"/>
      <w:numFmt w:val="bullet"/>
      <w:lvlText w:val=""/>
      <w:lvlJc w:val="left"/>
      <w:pPr>
        <w:ind w:left="2880" w:hanging="360"/>
      </w:pPr>
      <w:rPr>
        <w:rFonts w:ascii="Symbol" w:hAnsi="Symbol" w:hint="default"/>
      </w:rPr>
    </w:lvl>
    <w:lvl w:ilvl="4" w:tplc="1FE84F76">
      <w:start w:val="1"/>
      <w:numFmt w:val="bullet"/>
      <w:lvlText w:val="o"/>
      <w:lvlJc w:val="left"/>
      <w:pPr>
        <w:ind w:left="3600" w:hanging="360"/>
      </w:pPr>
      <w:rPr>
        <w:rFonts w:ascii="Courier New" w:hAnsi="Courier New" w:hint="default"/>
      </w:rPr>
    </w:lvl>
    <w:lvl w:ilvl="5" w:tplc="B3240F60">
      <w:start w:val="1"/>
      <w:numFmt w:val="bullet"/>
      <w:lvlText w:val=""/>
      <w:lvlJc w:val="left"/>
      <w:pPr>
        <w:ind w:left="4320" w:hanging="360"/>
      </w:pPr>
      <w:rPr>
        <w:rFonts w:ascii="Wingdings" w:hAnsi="Wingdings" w:hint="default"/>
      </w:rPr>
    </w:lvl>
    <w:lvl w:ilvl="6" w:tplc="3D70459A">
      <w:start w:val="1"/>
      <w:numFmt w:val="bullet"/>
      <w:lvlText w:val=""/>
      <w:lvlJc w:val="left"/>
      <w:pPr>
        <w:ind w:left="5040" w:hanging="360"/>
      </w:pPr>
      <w:rPr>
        <w:rFonts w:ascii="Symbol" w:hAnsi="Symbol" w:hint="default"/>
      </w:rPr>
    </w:lvl>
    <w:lvl w:ilvl="7" w:tplc="A14C8A80">
      <w:start w:val="1"/>
      <w:numFmt w:val="bullet"/>
      <w:lvlText w:val="o"/>
      <w:lvlJc w:val="left"/>
      <w:pPr>
        <w:ind w:left="5760" w:hanging="360"/>
      </w:pPr>
      <w:rPr>
        <w:rFonts w:ascii="Courier New" w:hAnsi="Courier New" w:hint="default"/>
      </w:rPr>
    </w:lvl>
    <w:lvl w:ilvl="8" w:tplc="C86EE2A4">
      <w:start w:val="1"/>
      <w:numFmt w:val="bullet"/>
      <w:lvlText w:val=""/>
      <w:lvlJc w:val="left"/>
      <w:pPr>
        <w:ind w:left="6480" w:hanging="360"/>
      </w:pPr>
      <w:rPr>
        <w:rFonts w:ascii="Wingdings" w:hAnsi="Wingdings" w:hint="default"/>
      </w:rPr>
    </w:lvl>
  </w:abstractNum>
  <w:abstractNum w:abstractNumId="1" w15:restartNumberingAfterBreak="0">
    <w:nsid w:val="365F93AB"/>
    <w:multiLevelType w:val="hybridMultilevel"/>
    <w:tmpl w:val="4830A6FE"/>
    <w:lvl w:ilvl="0" w:tplc="00C84A78">
      <w:start w:val="1"/>
      <w:numFmt w:val="bullet"/>
      <w:lvlText w:val=""/>
      <w:lvlJc w:val="left"/>
      <w:pPr>
        <w:ind w:left="720" w:hanging="360"/>
      </w:pPr>
      <w:rPr>
        <w:rFonts w:ascii="Symbol" w:hAnsi="Symbol" w:hint="default"/>
      </w:rPr>
    </w:lvl>
    <w:lvl w:ilvl="1" w:tplc="53401716">
      <w:start w:val="1"/>
      <w:numFmt w:val="bullet"/>
      <w:lvlText w:val="o"/>
      <w:lvlJc w:val="left"/>
      <w:pPr>
        <w:ind w:left="1440" w:hanging="360"/>
      </w:pPr>
      <w:rPr>
        <w:rFonts w:ascii="Courier New" w:hAnsi="Courier New" w:hint="default"/>
      </w:rPr>
    </w:lvl>
    <w:lvl w:ilvl="2" w:tplc="FCFCE52C">
      <w:start w:val="1"/>
      <w:numFmt w:val="bullet"/>
      <w:lvlText w:val=""/>
      <w:lvlJc w:val="left"/>
      <w:pPr>
        <w:ind w:left="2160" w:hanging="360"/>
      </w:pPr>
      <w:rPr>
        <w:rFonts w:ascii="Wingdings" w:hAnsi="Wingdings" w:hint="default"/>
      </w:rPr>
    </w:lvl>
    <w:lvl w:ilvl="3" w:tplc="5B3A2998">
      <w:start w:val="1"/>
      <w:numFmt w:val="bullet"/>
      <w:lvlText w:val=""/>
      <w:lvlJc w:val="left"/>
      <w:pPr>
        <w:ind w:left="2880" w:hanging="360"/>
      </w:pPr>
      <w:rPr>
        <w:rFonts w:ascii="Symbol" w:hAnsi="Symbol" w:hint="default"/>
      </w:rPr>
    </w:lvl>
    <w:lvl w:ilvl="4" w:tplc="3438B976">
      <w:start w:val="1"/>
      <w:numFmt w:val="bullet"/>
      <w:lvlText w:val="o"/>
      <w:lvlJc w:val="left"/>
      <w:pPr>
        <w:ind w:left="3600" w:hanging="360"/>
      </w:pPr>
      <w:rPr>
        <w:rFonts w:ascii="Courier New" w:hAnsi="Courier New" w:hint="default"/>
      </w:rPr>
    </w:lvl>
    <w:lvl w:ilvl="5" w:tplc="5770FE64">
      <w:start w:val="1"/>
      <w:numFmt w:val="bullet"/>
      <w:lvlText w:val=""/>
      <w:lvlJc w:val="left"/>
      <w:pPr>
        <w:ind w:left="4320" w:hanging="360"/>
      </w:pPr>
      <w:rPr>
        <w:rFonts w:ascii="Wingdings" w:hAnsi="Wingdings" w:hint="default"/>
      </w:rPr>
    </w:lvl>
    <w:lvl w:ilvl="6" w:tplc="CC52EF0A">
      <w:start w:val="1"/>
      <w:numFmt w:val="bullet"/>
      <w:lvlText w:val=""/>
      <w:lvlJc w:val="left"/>
      <w:pPr>
        <w:ind w:left="5040" w:hanging="360"/>
      </w:pPr>
      <w:rPr>
        <w:rFonts w:ascii="Symbol" w:hAnsi="Symbol" w:hint="default"/>
      </w:rPr>
    </w:lvl>
    <w:lvl w:ilvl="7" w:tplc="05CCC1F8">
      <w:start w:val="1"/>
      <w:numFmt w:val="bullet"/>
      <w:lvlText w:val="o"/>
      <w:lvlJc w:val="left"/>
      <w:pPr>
        <w:ind w:left="5760" w:hanging="360"/>
      </w:pPr>
      <w:rPr>
        <w:rFonts w:ascii="Courier New" w:hAnsi="Courier New" w:hint="default"/>
      </w:rPr>
    </w:lvl>
    <w:lvl w:ilvl="8" w:tplc="D0B2D01C">
      <w:start w:val="1"/>
      <w:numFmt w:val="bullet"/>
      <w:lvlText w:val=""/>
      <w:lvlJc w:val="left"/>
      <w:pPr>
        <w:ind w:left="6480" w:hanging="360"/>
      </w:pPr>
      <w:rPr>
        <w:rFonts w:ascii="Wingdings" w:hAnsi="Wingdings" w:hint="default"/>
      </w:rPr>
    </w:lvl>
  </w:abstractNum>
  <w:abstractNum w:abstractNumId="2" w15:restartNumberingAfterBreak="0">
    <w:nsid w:val="56DAE988"/>
    <w:multiLevelType w:val="hybridMultilevel"/>
    <w:tmpl w:val="348893F8"/>
    <w:lvl w:ilvl="0" w:tplc="261EA0A0">
      <w:start w:val="1"/>
      <w:numFmt w:val="bullet"/>
      <w:lvlText w:val=""/>
      <w:lvlJc w:val="left"/>
      <w:pPr>
        <w:ind w:left="720" w:hanging="360"/>
      </w:pPr>
      <w:rPr>
        <w:rFonts w:ascii="Symbol" w:hAnsi="Symbol" w:hint="default"/>
      </w:rPr>
    </w:lvl>
    <w:lvl w:ilvl="1" w:tplc="88188DA4">
      <w:start w:val="1"/>
      <w:numFmt w:val="bullet"/>
      <w:lvlText w:val="o"/>
      <w:lvlJc w:val="left"/>
      <w:pPr>
        <w:ind w:left="1440" w:hanging="360"/>
      </w:pPr>
      <w:rPr>
        <w:rFonts w:ascii="Courier New" w:hAnsi="Courier New" w:hint="default"/>
      </w:rPr>
    </w:lvl>
    <w:lvl w:ilvl="2" w:tplc="7152BDD4">
      <w:start w:val="1"/>
      <w:numFmt w:val="bullet"/>
      <w:lvlText w:val=""/>
      <w:lvlJc w:val="left"/>
      <w:pPr>
        <w:ind w:left="2160" w:hanging="360"/>
      </w:pPr>
      <w:rPr>
        <w:rFonts w:ascii="Wingdings" w:hAnsi="Wingdings" w:hint="default"/>
      </w:rPr>
    </w:lvl>
    <w:lvl w:ilvl="3" w:tplc="F7D41D4E">
      <w:start w:val="1"/>
      <w:numFmt w:val="bullet"/>
      <w:lvlText w:val=""/>
      <w:lvlJc w:val="left"/>
      <w:pPr>
        <w:ind w:left="2880" w:hanging="360"/>
      </w:pPr>
      <w:rPr>
        <w:rFonts w:ascii="Symbol" w:hAnsi="Symbol" w:hint="default"/>
      </w:rPr>
    </w:lvl>
    <w:lvl w:ilvl="4" w:tplc="792898BC">
      <w:start w:val="1"/>
      <w:numFmt w:val="bullet"/>
      <w:lvlText w:val="o"/>
      <w:lvlJc w:val="left"/>
      <w:pPr>
        <w:ind w:left="3600" w:hanging="360"/>
      </w:pPr>
      <w:rPr>
        <w:rFonts w:ascii="Courier New" w:hAnsi="Courier New" w:hint="default"/>
      </w:rPr>
    </w:lvl>
    <w:lvl w:ilvl="5" w:tplc="0B94A130">
      <w:start w:val="1"/>
      <w:numFmt w:val="bullet"/>
      <w:lvlText w:val=""/>
      <w:lvlJc w:val="left"/>
      <w:pPr>
        <w:ind w:left="4320" w:hanging="360"/>
      </w:pPr>
      <w:rPr>
        <w:rFonts w:ascii="Wingdings" w:hAnsi="Wingdings" w:hint="default"/>
      </w:rPr>
    </w:lvl>
    <w:lvl w:ilvl="6" w:tplc="2EB4100E">
      <w:start w:val="1"/>
      <w:numFmt w:val="bullet"/>
      <w:lvlText w:val=""/>
      <w:lvlJc w:val="left"/>
      <w:pPr>
        <w:ind w:left="5040" w:hanging="360"/>
      </w:pPr>
      <w:rPr>
        <w:rFonts w:ascii="Symbol" w:hAnsi="Symbol" w:hint="default"/>
      </w:rPr>
    </w:lvl>
    <w:lvl w:ilvl="7" w:tplc="5B2AC374">
      <w:start w:val="1"/>
      <w:numFmt w:val="bullet"/>
      <w:lvlText w:val="o"/>
      <w:lvlJc w:val="left"/>
      <w:pPr>
        <w:ind w:left="5760" w:hanging="360"/>
      </w:pPr>
      <w:rPr>
        <w:rFonts w:ascii="Courier New" w:hAnsi="Courier New" w:hint="default"/>
      </w:rPr>
    </w:lvl>
    <w:lvl w:ilvl="8" w:tplc="F54A97DC">
      <w:start w:val="1"/>
      <w:numFmt w:val="bullet"/>
      <w:lvlText w:val=""/>
      <w:lvlJc w:val="left"/>
      <w:pPr>
        <w:ind w:left="6480" w:hanging="360"/>
      </w:pPr>
      <w:rPr>
        <w:rFonts w:ascii="Wingdings" w:hAnsi="Wingdings" w:hint="default"/>
      </w:rPr>
    </w:lvl>
  </w:abstractNum>
  <w:num w:numId="1" w16cid:durableId="1677615597">
    <w:abstractNumId w:val="0"/>
  </w:num>
  <w:num w:numId="2" w16cid:durableId="19674166">
    <w:abstractNumId w:val="2"/>
  </w:num>
  <w:num w:numId="3" w16cid:durableId="2060745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FB"/>
    <w:rsid w:val="00195413"/>
    <w:rsid w:val="001D5DFB"/>
    <w:rsid w:val="003A03A7"/>
    <w:rsid w:val="003D0186"/>
    <w:rsid w:val="007278E4"/>
    <w:rsid w:val="00A3738C"/>
    <w:rsid w:val="00B91ABC"/>
    <w:rsid w:val="00BC6C35"/>
    <w:rsid w:val="00CB270D"/>
    <w:rsid w:val="00CF7583"/>
    <w:rsid w:val="00DE6AE2"/>
    <w:rsid w:val="00E57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144C"/>
  <w15:chartTrackingRefBased/>
  <w15:docId w15:val="{4C7E63F1-6879-44E3-90C7-2CAB26A9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DFB"/>
    <w:pPr>
      <w:spacing w:after="0" w:line="240" w:lineRule="auto"/>
    </w:pPr>
    <w:rPr>
      <w:rFonts w:ascii="Times New Roman" w:eastAsia="Times New Roman" w:hAnsi="Times New Roman" w:cs="Times New Roman"/>
      <w:kern w:val="0"/>
      <w:lang w:val="pt-BR" w:eastAsia="pt-BR"/>
      <w14:ligatures w14:val="none"/>
    </w:rPr>
  </w:style>
  <w:style w:type="paragraph" w:styleId="Heading1">
    <w:name w:val="heading 1"/>
    <w:basedOn w:val="Normal"/>
    <w:next w:val="Normal"/>
    <w:link w:val="Heading1Char"/>
    <w:uiPriority w:val="9"/>
    <w:qFormat/>
    <w:rsid w:val="001D5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5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D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D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D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D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5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DFB"/>
    <w:rPr>
      <w:rFonts w:eastAsiaTheme="majorEastAsia" w:cstheme="majorBidi"/>
      <w:color w:val="272727" w:themeColor="text1" w:themeTint="D8"/>
    </w:rPr>
  </w:style>
  <w:style w:type="paragraph" w:styleId="Title">
    <w:name w:val="Title"/>
    <w:basedOn w:val="Normal"/>
    <w:next w:val="Normal"/>
    <w:link w:val="TitleChar"/>
    <w:uiPriority w:val="10"/>
    <w:qFormat/>
    <w:rsid w:val="001D5D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DFB"/>
    <w:pPr>
      <w:spacing w:before="160"/>
      <w:jc w:val="center"/>
    </w:pPr>
    <w:rPr>
      <w:i/>
      <w:iCs/>
      <w:color w:val="404040" w:themeColor="text1" w:themeTint="BF"/>
    </w:rPr>
  </w:style>
  <w:style w:type="character" w:customStyle="1" w:styleId="QuoteChar">
    <w:name w:val="Quote Char"/>
    <w:basedOn w:val="DefaultParagraphFont"/>
    <w:link w:val="Quote"/>
    <w:uiPriority w:val="29"/>
    <w:rsid w:val="001D5DFB"/>
    <w:rPr>
      <w:i/>
      <w:iCs/>
      <w:color w:val="404040" w:themeColor="text1" w:themeTint="BF"/>
    </w:rPr>
  </w:style>
  <w:style w:type="paragraph" w:styleId="ListParagraph">
    <w:name w:val="List Paragraph"/>
    <w:basedOn w:val="Normal"/>
    <w:uiPriority w:val="34"/>
    <w:qFormat/>
    <w:rsid w:val="001D5DFB"/>
    <w:pPr>
      <w:ind w:left="720"/>
      <w:contextualSpacing/>
    </w:pPr>
  </w:style>
  <w:style w:type="character" w:styleId="IntenseEmphasis">
    <w:name w:val="Intense Emphasis"/>
    <w:basedOn w:val="DefaultParagraphFont"/>
    <w:uiPriority w:val="21"/>
    <w:qFormat/>
    <w:rsid w:val="001D5DFB"/>
    <w:rPr>
      <w:i/>
      <w:iCs/>
      <w:color w:val="0F4761" w:themeColor="accent1" w:themeShade="BF"/>
    </w:rPr>
  </w:style>
  <w:style w:type="paragraph" w:styleId="IntenseQuote">
    <w:name w:val="Intense Quote"/>
    <w:basedOn w:val="Normal"/>
    <w:next w:val="Normal"/>
    <w:link w:val="IntenseQuoteChar"/>
    <w:uiPriority w:val="30"/>
    <w:qFormat/>
    <w:rsid w:val="001D5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DFB"/>
    <w:rPr>
      <w:i/>
      <w:iCs/>
      <w:color w:val="0F4761" w:themeColor="accent1" w:themeShade="BF"/>
    </w:rPr>
  </w:style>
  <w:style w:type="character" w:styleId="IntenseReference">
    <w:name w:val="Intense Reference"/>
    <w:basedOn w:val="DefaultParagraphFont"/>
    <w:uiPriority w:val="32"/>
    <w:qFormat/>
    <w:rsid w:val="001D5D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2471</Characters>
  <Application>Microsoft Office Word</Application>
  <DocSecurity>0</DocSecurity>
  <Lines>20</Lines>
  <Paragraphs>5</Paragraphs>
  <ScaleCrop>false</ScaleCrop>
  <Company>Springer Nature</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2026-07-02T06:23:00Z</dcterms:created>
  <dcterms:modified xsi:type="dcterms:W3CDTF">2026-07-02T06:23:00Z</dcterms:modified>
</cp:coreProperties>
</file>