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D0016" w14:textId="77777777" w:rsidR="00066079" w:rsidRDefault="00066079" w:rsidP="00066079">
      <w:pPr>
        <w:rPr>
          <w:b/>
          <w:bCs/>
        </w:rPr>
      </w:pPr>
      <w:r w:rsidRPr="00620A46">
        <w:rPr>
          <w:b/>
          <w:bCs/>
        </w:rPr>
        <w:t xml:space="preserve">Supplementary </w:t>
      </w:r>
      <w:r>
        <w:rPr>
          <w:b/>
          <w:bCs/>
        </w:rPr>
        <w:t xml:space="preserve">Materials </w:t>
      </w:r>
    </w:p>
    <w:p w14:paraId="45E93C03" w14:textId="77777777" w:rsidR="00066079" w:rsidRDefault="00066079" w:rsidP="00066079">
      <w:pPr>
        <w:rPr>
          <w:b/>
          <w:bCs/>
        </w:rPr>
      </w:pPr>
      <w:r>
        <w:rPr>
          <w:b/>
          <w:bCs/>
        </w:rPr>
        <w:t>Text S1. Scale, life history, and genetic considerations</w:t>
      </w:r>
    </w:p>
    <w:p w14:paraId="1FB007C6" w14:textId="77777777" w:rsidR="00066079" w:rsidRDefault="00066079" w:rsidP="00066079">
      <w:r>
        <w:t>There are both local and system-wide benefits of reef management. Reef fish populations can benefit from spillover effects of marine reserves in locations beyond the protected area. Given the long-range dispersal of broadcast-spawning corals, similar benefits are expected from local coral conservation actions</w:t>
      </w:r>
      <w:r>
        <w:fldChar w:fldCharType="begin" w:fldLock="1"/>
      </w:r>
      <w:r>
        <w:instrText>ADDIN CSL_CITATION {"citationItems":[{"id":"ITEM-1","itemData":{"DOI":"10.1038/s41559-022-01854-4","ISSN":"2397334X","PMID":"36114282","author":[{"dropping-particle":"","family":"Colton","given":"Madhavi A","non-dropping-particle":"","parse-names":false,"suffix":""},{"dropping-particle":"","family":"McManus","given":"Lisa C.","non-dropping-particle":"","parse-names":false,"suffix":""},{"dropping-particle":"","family":"Schindler","given":"Daniel E","non-dropping-particle":"","parse-names":false,"suffix":""},{"dropping-particle":"","family":"Mumby","given":"Peter J","non-dropping-particle":"","parse-names":false,"suffix":""},{"dropping-particle":"","family":"Palumbi","given":"Stephen R","non-dropping-particle":"","parse-names":false,"suffix":""},{"dropping-particle":"","family":"Webster","given":"Michael M","non-dropping-particle":"","parse-names":false,"suffix":""},{"dropping-particle":"","family":"Essington","given":"Timothy E","non-dropping-particle":"","parse-names":false,"suffix":""},{"dropping-particle":"","family":"Fox","given":"Helen E","non-dropping-particle":"","parse-names":false,"suffix":""},{"dropping-particle":"","family":"Forrest","given":"Daniel L","non-dropping-particle":"","parse-names":false,"suffix":""},{"dropping-particle":"","family":"Schill","given":"Steven R","non-dropping-particle":"","parse-names":false,"suffix":""},{"dropping-particle":"","family":"Pollock","given":"F Joseph","non-dropping-particle":"","parse-names":false,"suffix":""},{"dropping-particle":"","family":"DeFilippo","given":"Lukas B.","non-dropping-particle":"","parse-names":false,"suffix":""},{"dropping-particle":"","family":"Tekwa","given":"E W","non-dropping-particle":"","parse-names":false,"suffix":""},{"dropping-particle":"","family":"Walsworth","given":"Timothy E","non-dropping-particle":"","parse-names":false,"suffix":""},{"dropping-particle":"","family":"Pinsky","given":"Malin L","non-dropping-particle":"","parse-names":false,"suffix":""}],"container-title":"Nature Ecology and Evolution","id":"ITEM-1","issue":"10","issued":{"date-parts":[["2022"]]},"page":"1405-1407","title":"Coral conservation in a warming world must harness evolutionary adaptation","type":"article-journal","volume":"6"},"uris":["http://www.mendeley.com/documents/?uuid=d1313819-e8b3-4967-8b85-6762ba13f0e2"]},{"id":"ITEM-2","itemData":{"DOI":"10.1111/j.1461-0248.2010.01562.x","ISSN":"14610248","abstract":"Ecology Letters (2011) 14: 132-140 Rising sea temperatures cause mass coral bleaching and threaten reefs worldwide. We show how maps of variations in thermal stress can be used to help manage reefs for climate change. We map proxies of chronic and acute thermal stress and develop evidence-based hypotheses for the future response of corals to each stress regime. We then incorporate spatially realistic predictions of larval connectivity among reefs of the Bahamas and apply novel reserve design algorithms to create reserve networks for a changing climate. We show that scales of larval dispersal are large enough to connect reefs from desirable thermal stress regimes into a reserve network. Critically, we find that reserve designs differ according to the anticipated scope for phenotypic and genetic adaptation in corals, which remains uncertain. Attempts to provide a complete reserve design that hedged against different evolutionary outcomes achieved limited success, which emphasises the importance of considering the scope for adaptation explicitly. Nonetheless, 15% of reserve locations were selected under all evolutionary scenarios, making them a high priority for early designation. Our approach allows new insights into coral holobiont adaptation to be integrated directly into an adaptive approach to management. © 2010 Blackwell Publishing Ltd/CNRS.","author":[{"dropping-particle":"","family":"Mumby","given":"Peter J.","non-dropping-particle":"","parse-names":false,"suffix":""},{"dropping-particle":"","family":"Elliott","given":"Ian A.","non-dropping-particle":"","parse-names":false,"suffix":""},{"dropping-particle":"","family":"Eakin","given":"C. Mark","non-dropping-particle":"","parse-names":false,"suffix":""},{"dropping-particle":"","family":"Skirving","given":"William","non-dropping-particle":"","parse-names":false,"suffix":""},{"dropping-particle":"","family":"Paris","given":"Claire B.","non-dropping-particle":"","parse-names":false,"suffix":""},{"dropping-particle":"","family":"Edwards","given":"Helen J.","non-dropping-particle":"","parse-names":false,"suffix":""},{"dropping-particle":"","family":"Enríquez","given":"Susana","non-dropping-particle":"","parse-names":false,"suffix":""},{"dropping-particle":"","family":"Iglesias-Prieto","given":"Roberto","non-dropping-particle":"","parse-names":false,"suffix":""},{"dropping-particle":"","family":"Cherubin","given":"Laurent M.","non-dropping-particle":"","parse-names":false,"suffix":""},{"dropping-particle":"","family":"Stevens","given":"Jamie R.","non-dropping-particle":"","parse-names":false,"suffix":""}],"container-title":"Ecology Letters","id":"ITEM-2","issue":"2","issued":{"date-parts":[["2011"]]},"page":"132-140","title":"Reserve design for uncertain responses of coral reefs to climate change","type":"article-journal","volume":"14"},"uris":["http://www.mendeley.com/documents/?uuid=9094504e-36f0-4b0f-958e-8b4b6beb6dac"]},{"id":"ITEM-3","itemData":{"ISBN":"9783031070556","author":[{"dropping-particle":"","family":"Riginos","given":"Cynthia","non-dropping-particle":"","parse-names":false,"suffix":""},{"dropping-particle":"","family":"Beger","given":"Maria","non-dropping-particle":"","parse-names":false,"suffix":""}],"chapter-number":"1","container-title":"Coral Reef Conservation and Restoration in the Omics Age","edition":"Coral Reef","editor":[{"dropping-particle":"","family":"Oppen","given":"Madeleine J. H.","non-dropping-particle":"van","parse-names":false,"suffix":""},{"dropping-particle":"","family":"Aranda Lastra","given":"Manuel","non-dropping-particle":"","parse-names":false,"suffix":""}],"id":"ITEM-3","issued":{"date-parts":[["2022"]]},"number-of-pages":"7-33","publisher":"Springer, Cham","title":"Incorporating Genetic Measures of Connectivity and Adaptation in Marine Spatial Planning for Corals","type":"book","volume":"15"},"uris":["http://www.mendeley.com/documents/?uuid=7b6130a3-27bd-40ea-95bf-b36a2507cdd3"]},{"id":"ITEM-4","itemData":{"DOI":"10.1016/j.oneear.2025.101552","ISSN":"2590-3322","author":[{"dropping-particle":"","family":"Mumby","given":"Peter J","non-dropping-particle":"","parse-names":false,"suffix":""},{"dropping-particle":"","family":"Cheung","given":"Mandy W M","non-dropping-particle":"","parse-names":false,"suffix":""}],"container-title":"One Earth","id":"ITEM-4","issue":"12","issued":{"date-parts":[["2025"]]},"page":"101552","publisher":"Elsevier Inc.","title":"Review Scaling up coral reef restoration amid global ecological constraints","type":"article-journal","volume":"8"},"uris":["http://www.mendeley.com/documents/?uuid=277dab96-06dc-4909-9f59-8c27d0e59591"]}],"mendeley":{"formattedCitation":"&lt;sup&gt;16,22,35,36&lt;/sup&gt;","plainTextFormattedCitation":"16,22,35,36","previouslyFormattedCitation":"(16, 22, 35, 36)"},"properties":{"noteIndex":0},"schema":"https://github.com/citation-style-language/schema/raw/master/csl-citation.json"}</w:instrText>
      </w:r>
      <w:r>
        <w:fldChar w:fldCharType="separate"/>
      </w:r>
      <w:r w:rsidRPr="00B513B7">
        <w:rPr>
          <w:noProof/>
          <w:vertAlign w:val="superscript"/>
        </w:rPr>
        <w:t>16,22,35,36</w:t>
      </w:r>
      <w:r>
        <w:fldChar w:fldCharType="end"/>
      </w:r>
      <w:r>
        <w:t>. While our study focussed primarily on quantifying system-wide effects of different management actions, local effects are also important, especially for specific high value reefs that provide social, cultural, or economic services. Notably, the scale of local management activities that we tested was considerable, modelling the full protection of one third of the reef system from manageable disturbances or the out-planting of corals across one tenth of reef area (30% reef area at a third of reefs). While this large scale of intervention may preclude direct interpretation of absolute coral coverage and heat tolerance gains in the model, the insights into this strategy are sound. The importance of utilising heatwave exposure gradients in spatial prioritisations increases substantially for systems with stronger spatial heatwave gradients. Further, larger benefits can be expected if spatial prioritisation also considers the larval connectivity of management sites, for instance, heatwave hotspots that are also strong larval source reefs can act as evolutionary pumps for the wider metapopulation</w:t>
      </w:r>
      <w:r>
        <w:fldChar w:fldCharType="begin" w:fldLock="1"/>
      </w:r>
      <w:r>
        <w:instrText>ADDIN CSL_CITATION {"citationItems":[{"id":"ITEM-1","itemData":{"DOI":"10.1016/j.cub.2021.09.078","ISSN":"09609822","author":[{"dropping-particle":"","family":"Cheung","given":"Mandy W.M.","non-dropping-particle":"","parse-names":false,"suffix":""},{"dropping-particle":"","family":"Hock","given":"Karlo","non-dropping-particle":"","parse-names":false,"suffix":""},{"dropping-particle":"","family":"Skirving","given":"William","non-dropping-particle":"","parse-names":false,"suffix":""},{"dropping-particle":"","family":"Mumby","given":"Peter J.","non-dropping-particle":"","parse-names":false,"suffix":""}],"container-title":"Current Biology","id":"ITEM-1","issued":{"date-parts":[["2021"]]},"page":"1-8","publisher":"Elsevier Ltd.","title":"Cumulative bleaching undermines systemic resilience of the Great Barrier Reef","type":"article-journal","volume":"31"},"uris":["http://www.mendeley.com/documents/?uuid=11074a0e-59e0-4740-83b7-cc711912eb76"]},{"id":"ITEM-2","itemData":{"DOI":"10.1371/journal.pbio.2003355","ISBN":"1111111111","ISSN":"15457885","abstract":"Australia’s iconic Great Barrier Reef (GBR) continues to suffer from repeated impacts of cyclones, coral bleaching, and outbreaks of the coral-eating crown-of-thorns starfish (COTS), losing much of its coral cover in the process. This raises the question of the ecosystem’s systemic resilience and its ability to rebound after large-scale population loss. Here, we reveal that around 100 reefs of the GBR, or around 3%, have the ideal properties to facilitate recovery of disturbed areas, thereby imparting a level of systemic resilience and aiding its continued recovery. These reefs (1) are highly connected by ocean currents to the wider reef network, (2) have a relatively low risk of exposure to disturbances so that they are likely to provide replenishment when other reefs are depleted, and (3) have an ability to promote recovery of desirable species but are unlikely to either experience or spread COTS outbreaks. The great replenishment potential of these ‘robust source reefs’, which may supply 47% of the ecosystem in a single dispersal event, emerges from the interaction between oceanographic conditions and geographic location, a process that is likely to be repeated in other reef systems. Such natural resilience of reef systems will become increasingly important as the frequency of disturbances accelerates under climate change.","author":[{"dropping-particle":"","family":"Hock","given":"Karlo","non-dropping-particle":"","parse-names":false,"suffix":""},{"dropping-particle":"","family":"Wolff","given":"Nicholas H.","non-dropping-particle":"","parse-names":false,"suffix":""},{"dropping-particle":"","family":"Ortiz","given":"Juan C.","non-dropping-particle":"","parse-names":false,"suffix":""},{"dropping-particle":"","family":"Condie","given":"Scott A.","non-dropping-particle":"","parse-names":false,"suffix":""},{"dropping-particle":"","family":"Anthony","given":"Kenneth R.N.","non-dropping-particle":"","parse-names":false,"suffix":""},{"dropping-particle":"","family":"Blackwell","given":"Paul G.","non-dropping-particle":"","parse-names":false,"suffix":""},{"dropping-particle":"","family":"Mumby","given":"Peter J.","non-dropping-particle":"","parse-names":false,"suffix":""}],"container-title":"PLoS Biology","id":"ITEM-2","issue":"11","issued":{"date-parts":[["2017"]]},"note":"For the underpinning theory of what defines well connected resilient reef - read Treml 2008\n\nOcean circulation model used was Connie II csiro","page":"e2003355","title":"Connectivity and systemic resilience of the Great Barrier Reef","type":"article-journal","volume":"15"},"uris":["http://www.mendeley.com/documents/?uuid=91480f8b-9b86-4047-8dae-94f29615e8cf"]},{"id":"ITEM-3","itemData":{"DOI":"10.1038/s41559-022-01854-4","ISSN":"2397334X","PMID":"36114282","author":[{"dropping-particle":"","family":"Colton","given":"Madhavi A","non-dropping-particle":"","parse-names":false,"suffix":""},{"dropping-particle":"","family":"McManus","given":"Lisa C.","non-dropping-particle":"","parse-names":false,"suffix":""},{"dropping-particle":"","family":"Schindler","given":"Daniel E","non-dropping-particle":"","parse-names":false,"suffix":""},{"dropping-particle":"","family":"Mumby","given":"Peter J","non-dropping-particle":"","parse-names":false,"suffix":""},{"dropping-particle":"","family":"Palumbi","given":"Stephen R","non-dropping-particle":"","parse-names":false,"suffix":""},{"dropping-particle":"","family":"Webster","given":"Michael M","non-dropping-particle":"","parse-names":false,"suffix":""},{"dropping-particle":"","family":"Essington","given":"Timothy E","non-dropping-particle":"","parse-names":false,"suffix":""},{"dropping-particle":"","family":"Fox","given":"Helen E","non-dropping-particle":"","parse-names":false,"suffix":""},{"dropping-particle":"","family":"Forrest","given":"Daniel L","non-dropping-particle":"","parse-names":false,"suffix":""},{"dropping-particle":"","family":"Schill","given":"Steven R","non-dropping-particle":"","parse-names":false,"suffix":""},{"dropping-particle":"","family":"Pollock","given":"F Joseph","non-dropping-particle":"","parse-names":false,"suffix":""},{"dropping-particle":"","family":"DeFilippo","given":"Lukas B.","non-dropping-particle":"","parse-names":false,"suffix":""},{"dropping-particle":"","family":"Tekwa","given":"E W","non-dropping-particle":"","parse-names":false,"suffix":""},{"dropping-particle":"","family":"Walsworth","given":"Timothy E","non-dropping-particle":"","parse-names":false,"suffix":""},{"dropping-particle":"","family":"Pinsky","given":"Malin L","non-dropping-particle":"","parse-names":false,"suffix":""}],"container-title":"Nature Ecology and Evolution","id":"ITEM-3","issue":"10","issued":{"date-parts":[["2022"]]},"page":"1405-1407","title":"Coral conservation in a warming world must harness evolutionary adaptation","type":"article-journal","volume":"6"},"uris":["http://www.mendeley.com/documents/?uuid=d1313819-e8b3-4967-8b85-6762ba13f0e2"]}],"mendeley":{"formattedCitation":"&lt;sup&gt;16,23,30&lt;/sup&gt;","plainTextFormattedCitation":"16,23,30","previouslyFormattedCitation":"(16, 23, 30)"},"properties":{"noteIndex":0},"schema":"https://github.com/citation-style-language/schema/raw/master/csl-citation.json"}</w:instrText>
      </w:r>
      <w:r>
        <w:fldChar w:fldCharType="separate"/>
      </w:r>
      <w:r w:rsidRPr="00B513B7">
        <w:rPr>
          <w:noProof/>
          <w:vertAlign w:val="superscript"/>
        </w:rPr>
        <w:t>16,23,30</w:t>
      </w:r>
      <w:r>
        <w:fldChar w:fldCharType="end"/>
      </w:r>
      <w:r>
        <w:t>.</w:t>
      </w:r>
    </w:p>
    <w:p w14:paraId="3F26F1C0" w14:textId="77777777" w:rsidR="00066079" w:rsidRDefault="00066079" w:rsidP="00066079">
      <w:r>
        <w:t>Coral species occupy a range of life history strategies, including weedy, competitive, and stress tolerant taxa</w:t>
      </w:r>
      <w:r>
        <w:fldChar w:fldCharType="begin" w:fldLock="1"/>
      </w:r>
      <w:r>
        <w:instrText>ADDIN CSL_CITATION {"citationItems":[{"id":"ITEM-1","itemData":{"DOI":"10.1111/j.1461-0248.2012.01861.x","ISSN":"14610248","PMID":"22938190","abstract":"Classifying the biological traits of organisms can test conceptual frameworks of life-history strategies and allow for predictions of how different species may respond to environmental disturbances. We apply a trait-based classification approach to a complex and threatened group of species, scleractinian corals. Using hierarchical clustering and random forests analyses, we identify up to four life-history strategies that appear globally consistent across 143 species of reef corals: competitive, weedy, stress-tolerant and generalist taxa, which are primarily separated by colony morphology, growth rate and reproductive mode. Documented shifts towards stress-tolerant, generalist and weedy species in coral reef communities are consistent with the expected responses of these life-history strategies. Our quantitative trait-based approach to classifying life-history strategies is objective, applicable to any taxa and a powerful tool that can be used to evaluate theories of community ecology and predict the impact of environmental and anthropogenic stressors on species assemblages. © 2012 Blackwell Publishing Ltd/CNRS.","author":[{"dropping-particle":"","family":"Darling","given":"Emily S.","non-dropping-particle":"","parse-names":false,"suffix":""},{"dropping-particle":"","family":"Alvarez-Filip","given":"Lorenzo","non-dropping-particle":"","parse-names":false,"suffix":""},{"dropping-particle":"","family":"Oliver","given":"Thomas A.","non-dropping-particle":"","parse-names":false,"suffix":""},{"dropping-particle":"","family":"Mcclanahan","given":"Timothy R.","non-dropping-particle":"","parse-names":false,"suffix":""},{"dropping-particle":"","family":"Côté","given":"Isabelle M.","non-dropping-particle":"","parse-names":false,"suffix":""}],"container-title":"Ecology Letters","id":"ITEM-1","issue":"12","issued":{"date-parts":[["2012"]]},"page":"1378-1386","title":"Evaluating life-history strategies of reef corals from species traits","type":"article-journal","volume":"15"},"uris":["http://www.mendeley.com/documents/?uuid=25d6a5f1-c496-44e4-8fe5-b0add952010a"]}],"mendeley":{"formattedCitation":"&lt;sup&gt;55&lt;/sup&gt;","plainTextFormattedCitation":"55","previouslyFormattedCitation":"(55)"},"properties":{"noteIndex":0},"schema":"https://github.com/citation-style-language/schema/raw/master/csl-citation.json"}</w:instrText>
      </w:r>
      <w:r>
        <w:fldChar w:fldCharType="separate"/>
      </w:r>
      <w:r w:rsidRPr="00B513B7">
        <w:rPr>
          <w:noProof/>
          <w:vertAlign w:val="superscript"/>
        </w:rPr>
        <w:t>55</w:t>
      </w:r>
      <w:r>
        <w:fldChar w:fldCharType="end"/>
      </w:r>
      <w:r>
        <w:t xml:space="preserve">. Our model is designed for corymbose </w:t>
      </w:r>
      <w:r w:rsidRPr="0928F4BB">
        <w:rPr>
          <w:i/>
          <w:iCs/>
        </w:rPr>
        <w:t>Acropora</w:t>
      </w:r>
      <w:r>
        <w:t xml:space="preserve"> corals which comprise a large portion of the coral community on Palauan outer reefs. How interactions between species traits, evolution, and spatial heatwave gradients could alter future trajectories and spatial conservation advice will be a critical topic for future research. The fact that our results remained the same when colony growth rates and initial heat tolerances were parameterised to that of massive </w:t>
      </w:r>
      <w:r w:rsidRPr="0928F4BB">
        <w:rPr>
          <w:i/>
          <w:iCs/>
        </w:rPr>
        <w:t>Porites</w:t>
      </w:r>
      <w:r>
        <w:t xml:space="preserve"> suggests that management advice from our study is robust to differing coral taxa, however, more comprehensive future investigations are required to understand the management importance of species diversity, interspecific coral competition, and reproductive mode. For instance, brooding coral species, like </w:t>
      </w:r>
      <w:proofErr w:type="spellStart"/>
      <w:r w:rsidRPr="0928F4BB">
        <w:rPr>
          <w:i/>
          <w:iCs/>
        </w:rPr>
        <w:t>Stylophora</w:t>
      </w:r>
      <w:proofErr w:type="spellEnd"/>
      <w:r w:rsidRPr="0928F4BB">
        <w:rPr>
          <w:i/>
          <w:iCs/>
        </w:rPr>
        <w:t xml:space="preserve"> </w:t>
      </w:r>
      <w:proofErr w:type="spellStart"/>
      <w:r w:rsidRPr="0928F4BB">
        <w:rPr>
          <w:i/>
          <w:iCs/>
        </w:rPr>
        <w:t>pistillata</w:t>
      </w:r>
      <w:proofErr w:type="spellEnd"/>
      <w:r>
        <w:t>, exhibit internal fertilisation, release competent larvae, and have much smaller dispersal distances than broadcast spawning species</w:t>
      </w:r>
      <w:r>
        <w:fldChar w:fldCharType="begin" w:fldLock="1"/>
      </w:r>
      <w:r>
        <w:instrText>ADDIN CSL_CITATION {"citationItems":[{"id":"ITEM-1","itemData":{"DOI":"10.1126/sciadv.adt2066","author":[{"dropping-particle":"","family":"Meziere","given":"Zoe","non-dropping-particle":"","parse-names":false,"suffix":""},{"dropping-particle":"","family":"Prata","given":"Katharine","non-dropping-particle":"","parse-names":false,"suffix":""},{"dropping-particle":"","family":"Lechene","given":"Marine","non-dropping-particle":"","parse-names":false,"suffix":""},{"dropping-particle":"","family":"Ferrari","given":"Renata","non-dropping-particle":"","parse-names":false,"suffix":""},{"dropping-particle":"","family":"Popovic","given":"Iva","non-dropping-particle":"","parse-names":false,"suffix":""},{"dropping-particle":"","family":"Riginos","given":"Cynthia","non-dropping-particle":"","parse-names":false,"suffix":""}],"container-title":"Science Advances","id":"ITEM-1","issued":{"date-parts":[["2025"]]},"page":"eadt2066","title":"Connectivity differs by orders of magnitude among co-distributed corals, affecting spatial scales of eco-evolutionary processes","type":"article-journal","volume":"11"},"uris":["http://www.mendeley.com/documents/?uuid=2f8d7ce5-1188-46f5-8fbb-30cbbb34e2c5"]}],"mendeley":{"formattedCitation":"&lt;sup&gt;42&lt;/sup&gt;","plainTextFormattedCitation":"42","previouslyFormattedCitation":"(42)"},"properties":{"noteIndex":0},"schema":"https://github.com/citation-style-language/schema/raw/master/csl-citation.json"}</w:instrText>
      </w:r>
      <w:r>
        <w:fldChar w:fldCharType="separate"/>
      </w:r>
      <w:r w:rsidRPr="00B513B7">
        <w:rPr>
          <w:noProof/>
          <w:vertAlign w:val="superscript"/>
        </w:rPr>
        <w:t>42</w:t>
      </w:r>
      <w:r>
        <w:fldChar w:fldCharType="end"/>
      </w:r>
      <w:r>
        <w:t xml:space="preserve">. As such, evolutionary trajectories of brooding coral populations could be far more spatially heterogenous as compared to broadcast spawners, like </w:t>
      </w:r>
      <w:r w:rsidRPr="0928F4BB">
        <w:rPr>
          <w:i/>
          <w:iCs/>
        </w:rPr>
        <w:t>Acropora</w:t>
      </w:r>
      <w:r>
        <w:t xml:space="preserve"> and </w:t>
      </w:r>
      <w:r w:rsidRPr="0928F4BB">
        <w:rPr>
          <w:i/>
          <w:iCs/>
        </w:rPr>
        <w:t>Porites</w:t>
      </w:r>
      <w:r>
        <w:t>.</w:t>
      </w:r>
    </w:p>
    <w:p w14:paraId="54151CC7" w14:textId="77777777" w:rsidR="00066079" w:rsidRDefault="00066079" w:rsidP="00066079">
      <w:r>
        <w:t>Coral heat tolerance is a complex trait influenced by 100s to 1000s of genes and non-genetic factors including colony size, exposure to irradiance, current flow, and their symbiotic microbial associations</w:t>
      </w:r>
      <w:r>
        <w:fldChar w:fldCharType="begin" w:fldLock="1"/>
      </w:r>
      <w:r>
        <w:instrText>ADDIN CSL_CITATION {"citationItems":[{"id":"ITEM-1","itemData":{"DOI":"10.1016/j.cub.2014.10.044","ISSN":"18790445","PMID":"25454780","abstract":"The evolution of tolerance to future climate change depends on the standing stock of genetic variation for resistance to climate-related impacts [1, 2], but genes contributing to climate tolerance in wild populations are poorly described in number and effect. Physiology and gene expression patterns have shown that corals living in naturally high-temperature microclimates are more resistant to bleaching because of both acclimation and fixed effects, including adaptation [3]. To search for potential genetic correlates of these fixed effects, we genotyped 15,399 single nucleotide polymorphisms (SNPs) in 23 individual tabletop corals, Acropora hyacinthus, within a natural temperature mosaic in backreef lagoons on Ofu Island, American Samoa. Despite overall lack of population substructure, we identified 114 highly divergent SNPs as candidates for environmental selection, via multiple stringent outlier tests, and correlations with temperature. Corals from the warmest reef location had higher minor allele frequencies across these candidate SNPs, a pattern not seen for noncandidate loci. Furthermore, within backreef pools, colonies in the warmest microclimates had a higher number and frequency of alternative alleles at candidate loci. These data suggest mild selection for alternate alleles at many loci in these corals during high heat episodes and possible maintenance of extensive polymorphism through multilocus balancing selection in a heterogeneous environment. In this case, a natural population harbors a reservoir of alleles preadapted to high temperatures, suggesting potential for future evolutionary response to climate change.","author":[{"dropping-particle":"","family":"Bay","given":"Rachael A.","non-dropping-particle":"","parse-names":false,"suffix":""},{"dropping-particle":"","family":"Palumbi","given":"Stephen R.","non-dropping-particle":"","parse-names":false,"suffix":""}],"container-title":"Current Biology","id":"ITEM-1","issue":"24","issued":{"date-parts":[["2014"]]},"page":"2952-2956","publisher":"Elsevier Ltd","title":"Multilocus adaptation associated with heat resistance in reef-building corals","type":"article-journal","volume":"24"},"uris":["http://www.mendeley.com/documents/?uuid=86aa3331-84bd-4318-bc36-e22b08f8f8ac"]},{"id":"ITEM-2","itemData":{"DOI":"10.1111/gcb.16000","ISSN":"13652486","PMID":"34908214","abstract":"For many long-lived taxa, such as trees and corals, older, and larger individuals often have the lowest mortality and highest fecundity. However, climate change-driven disturbances such as droughts and heatwaves may fundamentally alter typical size-dependent patterns of mortality and reproduction in these important foundation taxa. Working in Moorea, French Polynesia, we investigated how a marine heatwave in 2019, one of the most intense marine heatwaves at our sites over the past 30 years, drove patterns of coral bleaching and mortality. The marine heatwave drove island-wide mass coral bleaching that killed up to 76% and 65% of the largest individuals of the two dominant coral genera, Pocillopora and Acropora, respectively. Colonies of Pocillopora and Acropora ≥30 cm diameter were ~3.5× and ~1.3×, respectively, more likely to die than colonies &lt;30-cm diameter. Typically, annual mortality in these corals is concentrated on the smallest size classes. Yet, this heatwave dramatically reshaped this pattern, with heat stress disproportionately killing larger coral colonies and equalizing annual mortality rates across the size spectrum. This shift in the size-mortality relationship reduced the overall fecundity of these genera by &gt;60% because big corals are disproportionately important for reproduction on reefs. Additionally, the survivorship of microscopic coral recruits, critical for the recovery of corals following disturbances, declined to 2%, over an order of magnitude lower compared to a year without elevated thermal stress, where 33% of coral recruits survived. While other research has shown that larger corals can bleach more frequently than smaller corals, we show the severe impact this phenomenon can have at the reef-wide scale. As marine heatwaves become more frequent and intense, disproportionate mortality of the largest, most fecund corals and near-complete loss of entire cohorts of newly-settled coral recruits will likely reduce the recovery capacity of these iconic ecosystems.","author":[{"dropping-particle":"","family":"Speare","given":"Kelly E.","non-dropping-particle":"","parse-names":false,"suffix":""},{"dropping-particle":"","family":"Adam","given":"Thomas C.","non-dropping-particle":"","parse-names":false,"suffix":""},{"dropping-particle":"","family":"Winslow","given":"Erin M.","non-dropping-particle":"","parse-names":false,"suffix":""},{"dropping-particle":"","family":"Lenihan","given":"Hunter S.","non-dropping-particle":"","parse-names":false,"suffix":""},{"dropping-particle":"","family":"Burkepile","given":"Deron E.","non-dropping-particle":"","parse-names":false,"suffix":""}],"container-title":"Global Change Biology","id":"ITEM-2","issue":"4","issued":{"date-parts":[["2022"]]},"page":"1342-1358","title":"Size-dependent mortality of corals during marine heatwave erodes recovery capacity of a coral reef","type":"article-journal","volume":"28"},"uris":["http://www.mendeley.com/documents/?uuid=04ad6e7e-03aa-4cc4-bd37-a4ed476e91ed"]},{"id":"ITEM-3","itemData":{"DOI":"10.1111/gcb.15676","author":[{"dropping-particle":"","family":"Gonzalez-espinosa","given":"Pedro C.","non-dropping-particle":"","parse-names":false,"suffix":""},{"dropping-particle":"","family":"Donner","given":"Simon D.","non-dropping-particle":"","parse-names":false,"suffix":""}],"container-title":"GLOBAL CHANGE BIOLOGY","id":"ITEM-3","issued":{"date-parts":[["2021"]]},"title":"Cloudiness reduces the bleaching response of coral reefs exposed to heat stress","type":"article-journal"},"uris":["http://www.mendeley.com/documents/?uuid=13cfeffc-64ff-4c15-84d6-f45fbdbd1b04"]},{"id":"ITEM-4","itemData":{"DOI":"10.1111/geb.70105","author":[{"dropping-particle":"","family":"Cheung","given":"Mandy W M","non-dropping-particle":"","parse-names":false,"suffix":""},{"dropping-particle":"","family":"Chaloupka","given":"Milani","non-dropping-particle":"","parse-names":false,"suffix":""},{"dropping-particle":"","family":"Hock","given":"K","non-dropping-particle":"","parse-names":false,"suffix":""},{"dropping-particle":"","family":"Mumby","given":"P J","non-dropping-particle":"","parse-names":false,"suffix":""}],"container-title":"Global Ecology and Biogeography","id":"ITEM-4","issued":{"date-parts":[["2025"]]},"page":"e70105","title":"Moving beyond temperature metrics in coral bleaching prediction using interpretable machine learning","type":"article-journal","volume":"34"},"uris":["http://www.mendeley.com/documents/?uuid=d727f3b4-4465-4dbf-aea1-279b036ae7ef"]},{"id":"ITEM-5","itemData":{"DOI":"10.1111/mec.70243","author":[{"dropping-particle":"","family":"Buzzoni","given":"Daisy","non-dropping-particle":"","parse-names":false,"suffix":""},{"dropping-particle":"","family":"Lachs","given":"Liam","non-dropping-particle":"","parse-names":false,"suffix":""},{"dropping-particle":"","family":"Beauchamp","given":"Elizabeth","non-dropping-particle":"","parse-names":false,"suffix":""},{"dropping-particle":"","family":"Bukurou","given":"Leah","non-dropping-particle":"","parse-names":false,"suffix":""},{"dropping-particle":"","family":"Bythell","given":"John","non-dropping-particle":"","parse-names":false,"suffix":""},{"dropping-particle":"","family":"Edwards","given":"Alasdair J","non-dropping-particle":"","parse-names":false,"suffix":""},{"dropping-particle":"","family":"Golbuu","given":"Yimnang","non-dropping-particle":"","parse-names":false,"suffix":""},{"dropping-particle":"","family":"Humanes","given":"Adriana","non-dropping-particle":"","parse-names":false,"suffix":""},{"dropping-particle":"","family":"Martinez","given":"Helios M","non-dropping-particle":"","parse-names":false,"suffix":""},{"dropping-particle":"","family":"Mereb","given":"Geory","non-dropping-particle":"","parse-names":false,"suffix":""},{"dropping-particle":"","family":"Baum","given":"Julia K","non-dropping-particle":"","parse-names":false,"suffix":""},{"dropping-particle":"","family":"Guest","given":"James R","non-dropping-particle":"","parse-names":false,"suffix":""}],"container-title":"Molecular Ecology","id":"ITEM-5","issued":{"date-parts":[["2026"]]},"page":"e70243","title":"Algal symbionts indicate heatwave vulnerability in corals from hotspots but not from thermal refugia","type":"article-journal","volume":"35"},"uris":["http://www.mendeley.com/documents/?uuid=09906ef3-3dce-4a91-a4f0-df4e87938941"]}],"mendeley":{"formattedCitation":"&lt;sup&gt;39,53,56–58&lt;/sup&gt;","plainTextFormattedCitation":"39,53,56–58","previouslyFormattedCitation":"(39, 53, 56–58)"},"properties":{"noteIndex":0},"schema":"https://github.com/citation-style-language/schema/raw/master/csl-citation.json"}</w:instrText>
      </w:r>
      <w:r>
        <w:fldChar w:fldCharType="separate"/>
      </w:r>
      <w:r w:rsidRPr="00B513B7">
        <w:rPr>
          <w:noProof/>
          <w:vertAlign w:val="superscript"/>
        </w:rPr>
        <w:t>39,53,56–58</w:t>
      </w:r>
      <w:r>
        <w:fldChar w:fldCharType="end"/>
      </w:r>
      <w:r>
        <w:t>. Our model tracks evolution of heat tolerance as a quantitative trait, not by simulating trait-associated alleles. Therefore, our model is unable to account for the inherent importance of effective population size on evolutionary potential, erosion of genetic diversity due to selection, or genetic drift. To elucidate the relative influence of different management interventions, our model assumed heat tolerance to be a purely genetically based trait, however, these other factors could play a role in thermal evolution and coral population persistence. For instance, different taxa of microalgal and prokaryotic symbionts are known to influence holobiont tolerance</w:t>
      </w:r>
      <w:r>
        <w:fldChar w:fldCharType="begin" w:fldLock="1"/>
      </w:r>
      <w:r>
        <w:instrText>ADDIN CSL_CITATION {"citationItems":[{"id":"ITEM-1","itemData":{"DOI":"10.1111/j.1439-0485.2012.00514.x","ISSN":"01739565","abstract":"There is currently much debate about the ecological advantages for reef corals of hosting multiple types of the symbiotic dinoflagellate Symbiodinium. Amongst these is their apparent capacity to tolerate higher than normal water temperatures. There is strong photokinetic evidence that the trait of heat-tolerance in plants is accompanied by energetic tradeoffs but little such evidence yet exists for corals. We use rapid light curves (RLCs) to investigate the photokinetic basis for thermo-tolerance in the reef coral Acropora millepora with symbionts of contrasting thermal tolerance for which there are measured differences in energetics. Our results show that under non-stressful temperatures, corals with heat-tolerant type D Symbiodinium had a 41% lower maximum relative electron transport rate (rETRmax) and lower light absorption efficiency (α) due to lower cell Chl a content compared with corals with heat-sensitive type C2 symbionts. Our results provide support for a photokinetic link between heat tolerance and deficits in holobiont (coral+symbiont) growth, lipid stores and reproduction. Reduced electron transport rate and light absorption capacity may be genotype-specific attributes that enable clade D symbionts and their cnidarian hosts to cope with temperature stress but they inherently influence the photosynthetic function of the symbionts and thus have negative downstream effects on the coral. © 2012 Blackwell Verlag GmbH.","author":[{"dropping-particle":"","family":"Jones","given":"Alison","non-dropping-particle":"","parse-names":false,"suffix":""},{"dropping-particle":"","family":"Berkelmans","given":"Ray","non-dropping-particle":"","parse-names":false,"suffix":""}],"container-title":"Marine Ecology","id":"ITEM-1","issue":"4","issued":{"date-parts":[["2012"]]},"page":"490-498","title":"The photokinetics of thermo-tolerance in Symbiodinium","type":"article-journal","volume":"33"},"uris":["http://www.mendeley.com/documents/?uuid=2fed0369-c1be-4322-9bde-1fba90a64cae"]},{"id":"ITEM-2","itemData":{"DOI":"10.1126/sciadv.adq2583","ISSN":"23752548","PMID":"39823335","abstract":"Certain coral individuals exhibit enhanced resistance to thermal bleaching, yet the specific microbial assemblages and their roles in these phenotypes remain unclear. We compared the microbial communities of thermal bleaching–resistant (TBR) and thermal bleaching–sensitive (TBS) corals using metabarcoding and metagenomics. Our multidomain approach revealed stable distinct microbial compositions between thermal phenotypes. Notably, TBR corals were inherently enriched with microbial eukaryotes, particularly Symbiodiniaceae, linked to photosynthesis, and the biosynthesis of antibiotic and antitumor compounds and glycosylphosphatidylinositol-anchor proteins, crucial for cell wall regulation and metabolite exchange. In contrast, TBS corals were dominated by bacterial metabolic genes related to nitrogen, amino acid, and lipid metabolism. The inherent microbiome differences between TBR and TBS corals, already observed before thermal stress, point to distinct holobiont phenotypes associated to thermal bleaching resistance, offering insights into mechanisms underlying coral response to climate-induced stress.","author":[{"dropping-particle":"","family":"Santoro","given":"Erika P.","non-dropping-particle":"","parse-names":false,"suffix":""},{"dropping-particle":"","family":"Cárdenas","given":"Anny","non-dropping-particle":"","parse-names":false,"suffix":""},{"dropping-particle":"","family":"Villela","given":"Helena D.M.","non-dropping-particle":"","parse-names":false,"suffix":""},{"dropping-particle":"","family":"Vilela","given":"Caren L.S.","non-dropping-particle":"","parse-names":false,"suffix":""},{"dropping-particle":"","family":"Ghizelini","given":"Angela M.","non-dropping-particle":"","parse-names":false,"suffix":""},{"dropping-particle":"","family":"Duarte","given":"Gustavo A.S.","non-dropping-particle":"","parse-names":false,"suffix":""},{"dropping-particle":"","family":"Perna","given":"Gabriela","non-dropping-particle":"","parse-names":false,"suffix":""},{"dropping-particle":"","family":"Saraiva","given":"João P.","non-dropping-particle":"","parse-names":false,"suffix":""},{"dropping-particle":"","family":"Thomas","given":"Torsten","non-dropping-particle":"","parse-names":false,"suffix":""},{"dropping-particle":"","family":"Voolstra","given":"Christian R.","non-dropping-particle":"","parse-names":false,"suffix":""},{"dropping-particle":"","family":"Peixoto","given":"Raquel S.","non-dropping-particle":"","parse-names":false,"suffix":""}],"container-title":"Science Advances ","id":"ITEM-2","issue":"3","issued":{"date-parts":[["2025"]]},"page":"1-16","title":"Inherent differential microbial assemblages and functions associated with corals exhibiting different thermal phenotypes","type":"article-journal","volume":"11"},"uris":["http://www.mendeley.com/documents/?uuid=913cb737-6441-49f8-8d81-adf551bf06bd"]}],"mendeley":{"formattedCitation":"&lt;sup&gt;37,59&lt;/sup&gt;","plainTextFormattedCitation":"37,59","previouslyFormattedCitation":"(37, 59)"},"properties":{"noteIndex":0},"schema":"https://github.com/citation-style-language/schema/raw/master/csl-citation.json"}</w:instrText>
      </w:r>
      <w:r>
        <w:fldChar w:fldCharType="separate"/>
      </w:r>
      <w:r w:rsidRPr="00B513B7">
        <w:rPr>
          <w:noProof/>
          <w:vertAlign w:val="superscript"/>
        </w:rPr>
        <w:t>37,59</w:t>
      </w:r>
      <w:r>
        <w:fldChar w:fldCharType="end"/>
      </w:r>
      <w:r>
        <w:t>, and there is also scope for evolutionary adaptation of these symbiont species</w:t>
      </w:r>
      <w:r>
        <w:fldChar w:fldCharType="begin" w:fldLock="1"/>
      </w:r>
      <w:r>
        <w:instrText>ADDIN CSL_CITATION {"citationItems":[{"id":"ITEM-1","itemData":{"DOI":"10.1038/s41558-021-01037-2","ISSN":"1758-678X","abstract":"Incorporating species’ ability to adaptively respond to climate change is critical for robustly predicting persistence. One such example could be the adaptive role of algal symbionts in setting coral thermal tolerance under global warming and ocean acidification. Using a global ecological and evolutionary model of competing branching and mounding coral morphotypes, we show symbiont shuffling (towards taxa with increased heat tolerance) was more effective than symbiont evolution in delaying coral-cover declines, but stronger warming rates (high emissions scenarios) outpace the ability of these adaptive processes and limit coral persistence. Acidification has a small impact on reef degradation rates relative to warming. Global patterns in coral reef vulnerability to climate are sensitive to the interaction of warming rate and adaptive capacity and cannot be predicted by either factor alone. Overall, our results show how models of spatially resolved adaptive mechanisms can inform conservation decisions.","author":[{"dropping-particle":"","family":"Logan","given":"Cheryl A.","non-dropping-particle":"","parse-names":false,"suffix":""},{"dropping-particle":"","family":"Dunne","given":"John P.","non-dropping-particle":"","parse-names":false,"suffix":""},{"dropping-particle":"","family":"Ryan","given":"James S.","non-dropping-particle":"","parse-names":false,"suffix":""},{"dropping-particle":"","family":"Baskett","given":"Marissa L.","non-dropping-particle":"","parse-names":false,"suffix":""},{"dropping-particle":"","family":"Donner","given":"Simon D.","non-dropping-particle":"","parse-names":false,"suffix":""}],"container-title":"Nature Climate Change","id":"ITEM-1","issue":"6","issued":{"date-parts":[["2021"]]},"page":"537-542","publisher":"Springer US","title":"Quantifying global potential for coral evolutionary response to climate change","type":"article-journal","volume":"11"},"uris":["http://www.mendeley.com/documents/?uuid=2e3c81e1-9a5b-480a-b854-d0ee2bcd0c24"]}],"mendeley":{"formattedCitation":"&lt;sup&gt;6&lt;/sup&gt;","plainTextFormattedCitation":"6","previouslyFormattedCitation":"(6)"},"properties":{"noteIndex":0},"schema":"https://github.com/citation-style-language/schema/raw/master/csl-citation.json"}</w:instrText>
      </w:r>
      <w:r>
        <w:fldChar w:fldCharType="separate"/>
      </w:r>
      <w:r w:rsidRPr="00B513B7">
        <w:rPr>
          <w:noProof/>
          <w:vertAlign w:val="superscript"/>
        </w:rPr>
        <w:t>6</w:t>
      </w:r>
      <w:r>
        <w:fldChar w:fldCharType="end"/>
      </w:r>
      <w:r>
        <w:t xml:space="preserve">. Recent work on Palauan </w:t>
      </w:r>
      <w:r w:rsidRPr="0928F4BB">
        <w:rPr>
          <w:i/>
          <w:iCs/>
        </w:rPr>
        <w:t xml:space="preserve">Acropora </w:t>
      </w:r>
      <w:proofErr w:type="spellStart"/>
      <w:r w:rsidRPr="0928F4BB">
        <w:rPr>
          <w:i/>
          <w:iCs/>
        </w:rPr>
        <w:t>digitifera</w:t>
      </w:r>
      <w:proofErr w:type="spellEnd"/>
      <w:r>
        <w:t xml:space="preserve"> found a rare putative </w:t>
      </w:r>
      <w:proofErr w:type="spellStart"/>
      <w:r w:rsidRPr="0928F4BB">
        <w:rPr>
          <w:i/>
          <w:iCs/>
        </w:rPr>
        <w:t>Cladocopium</w:t>
      </w:r>
      <w:proofErr w:type="spellEnd"/>
      <w:r>
        <w:t xml:space="preserve"> species (C15h) that is associated with low heat tolerance in corals from hotspots but not thermal refugia, while other work has identified higher heat tolerance variability in corals from thermal refugia</w:t>
      </w:r>
      <w:r>
        <w:fldChar w:fldCharType="begin" w:fldLock="1"/>
      </w:r>
      <w:r>
        <w:instrText>ADDIN CSL_CITATION {"citationItems":[{"id":"ITEM-1","itemData":{"DOI":"19.1371/journal.pclim.0000453","author":[{"dropping-particle":"","family":"Lachs","given":"Liam","non-dropping-particle":"","parse-names":false,"suffix":""},{"dropping-particle":"","family":"Humanes","given":"Adriana","non-dropping-particle":"","parse-names":false,"suffix":""},{"dropping-particle":"","family":"Mumby","given":"Peter J","non-dropping-particle":"","parse-names":false,"suffix":""},{"dropping-particle":"","family":"Donner","given":"Simon D","non-dropping-particle":"","parse-names":false,"suffix":""},{"dropping-particle":"","family":"Bythell","given":"John","non-dropping-particle":"","parse-names":false,"suffix":""},{"dropping-particle":"","family":"Beauchamp","given":"Elizabeth","non-dropping-particle":"","parse-names":false,"suffix":""},{"dropping-particle":"","family":"Bukurou","given":"Leah","non-dropping-particle":"","parse-names":false,"suffix":""},{"dropping-particle":"","family":"Buzzoni","given":"Daisy","non-dropping-particle":"","parse-names":false,"suffix":""},{"dropping-particle":"","family":"La","given":"Ruben","non-dropping-particle":"De","parse-names":false,"suffix":""},{"dropping-particle":"","family":"Cerro","given":"Torre","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J","non-dropping-particle":"","parse-names":false,"suffix":""},{"dropping-particle":"","family":"Golbuu","given":"Yimnang","non-dropping-particle":"","parse-names":false,"suffix":""},{"dropping-particle":"","family":"Martinez","given":"Helios M","non-dropping-particle":"","parse-names":false,"suffix":""},{"dropping-particle":"","family":"Steeg","given":"Eveline","non-dropping-particle":"Van Der","parse-names":false,"suffix":""},{"dropping-particle":"","family":"Ward","given":"Alex","non-dropping-particle":"","parse-names":false,"suffix":""},{"dropping-particle":"","family":"Guest","given":"James R","non-dropping-particle":"","parse-names":false,"suffix":""}],"container-title":"PLOS Climate","id":"ITEM-1","issue":"7","issued":{"date-parts":[["2024"]]},"page":"e0000453","title":"High coral heat tolerance at local-scale thermal refugia","type":"article-journal","volume":"3"},"uris":["http://www.mendeley.com/documents/?uuid=c429f1ab-3164-433b-80ae-4d771b7450d5"]},{"id":"ITEM-2","itemData":{"DOI":"10.1111/mec.70243","author":[{"dropping-particle":"","family":"Buzzoni","given":"Daisy","non-dropping-particle":"","parse-names":false,"suffix":""},{"dropping-particle":"","family":"Lachs","given":"Liam","non-dropping-particle":"","parse-names":false,"suffix":""},{"dropping-particle":"","family":"Beauchamp","given":"Elizabeth","non-dropping-particle":"","parse-names":false,"suffix":""},{"dropping-particle":"","family":"Bukurou","given":"Leah","non-dropping-particle":"","parse-names":false,"suffix":""},{"dropping-particle":"","family":"Bythell","given":"John","non-dropping-particle":"","parse-names":false,"suffix":""},{"dropping-particle":"","family":"Edwards","given":"Alasdair J","non-dropping-particle":"","parse-names":false,"suffix":""},{"dropping-particle":"","family":"Golbuu","given":"Yimnang","non-dropping-particle":"","parse-names":false,"suffix":""},{"dropping-particle":"","family":"Humanes","given":"Adriana","non-dropping-particle":"","parse-names":false,"suffix":""},{"dropping-particle":"","family":"Martinez","given":"Helios M","non-dropping-particle":"","parse-names":false,"suffix":""},{"dropping-particle":"","family":"Mereb","given":"Geory","non-dropping-particle":"","parse-names":false,"suffix":""},{"dropping-particle":"","family":"Baum","given":"Julia K","non-dropping-particle":"","parse-names":false,"suffix":""},{"dropping-particle":"","family":"Guest","given":"James R","non-dropping-particle":"","parse-names":false,"suffix":""}],"container-title":"Molecular Ecology","id":"ITEM-2","issued":{"date-parts":[["2026"]]},"page":"e70243","title":"Algal symbionts indicate heatwave vulnerability in corals from hotspots but not from thermal refugia","type":"article-journal","volume":"35"},"uris":["http://www.mendeley.com/documents/?uuid=09906ef3-3dce-4a91-a4f0-df4e87938941"]}],"mendeley":{"formattedCitation":"&lt;sup&gt;7,39&lt;/sup&gt;","plainTextFormattedCitation":"7,39","previouslyFormattedCitation":"(7, 39)"},"properties":{"noteIndex":0},"schema":"https://github.com/citation-style-language/schema/raw/master/csl-citation.json"}</w:instrText>
      </w:r>
      <w:r>
        <w:fldChar w:fldCharType="separate"/>
      </w:r>
      <w:r w:rsidRPr="00B513B7">
        <w:rPr>
          <w:noProof/>
          <w:vertAlign w:val="superscript"/>
        </w:rPr>
        <w:t>7,39</w:t>
      </w:r>
      <w:r>
        <w:fldChar w:fldCharType="end"/>
      </w:r>
      <w:r>
        <w:t xml:space="preserve">. These findings allude to the possibility of gene-by-environment </w:t>
      </w:r>
      <w:r>
        <w:lastRenderedPageBreak/>
        <w:t>interactions, which are not included in our modelling framework, such that genes positively associated to heat tolerance in one environment can have no association or negative associations in other environmental contexts</w:t>
      </w:r>
      <w:r>
        <w:fldChar w:fldCharType="begin" w:fldLock="1"/>
      </w:r>
      <w:r>
        <w:instrText>ADDIN CSL_CITATION {"citationItems":[{"id":"ITEM-1","itemData":{"DOI":"10.1111/gcb.16719","ISSN":"13652486","abstract":"Global environmental change is happening at unprecedented rates. Coral reefs are among the ecosystems most threatened by global change. For wild populations to persist, they must adapt. Knowledge shortfalls about corals' complex ecological and evolutionary dynamics, however, stymie predictions about potential adaptation to future conditions. Here, we review adaptation through the lens of quantitative genetics. We argue that coral adaptation studies can benefit greatly from “wild” quantitative genetic methods, where traits are studied in wild populations undergoing natural selection, genomic relationship matrices can replace breeding experiments, and analyses can be extended to examine genetic constraints among traits. In addition, individuals with advantageous genotypes for anticipated future conditions can be identified. Finally, genomic genotyping supports simultaneous consideration of how genetic diversity is arrayed across geographic and environmental distances, providing greater context for predictions of phenotypic evolution at a metapopulation scale.","author":[{"dropping-particle":"","family":"Richards","given":"Thomas J.","non-dropping-particle":"","parse-names":false,"suffix":""},{"dropping-particle":"","family":"McGuigan","given":"Katrina","non-dropping-particle":"","parse-names":false,"suffix":""},{"dropping-particle":"","family":"Aguirre","given":"J. David","non-dropping-particle":"","parse-names":false,"suffix":""},{"dropping-particle":"","family":"Humanes","given":"Adriana","non-dropping-particle":"","parse-names":false,"suffix":""},{"dropping-particle":"","family":"Bozec","given":"Yves Marie","non-dropping-particle":"","parse-names":false,"suffix":""},{"dropping-particle":"","family":"Mumby","given":"Peter J.","non-dropping-particle":"","parse-names":false,"suffix":""},{"dropping-particle":"","family":"Riginos","given":"Cynthia","non-dropping-particle":"","parse-names":false,"suffix":""}],"container-title":"Global Change Biology","id":"ITEM-1","issue":"14","issued":{"date-parts":[["2023"]]},"page":"3869-3882","title":"Moving beyond heritability in the search for coral adaptive potential","type":"article-journal","volume":"29"},"uris":["http://www.mendeley.com/documents/?uuid=bfb37095-dbd7-4528-9b46-6acaf14fce6d"]}],"mendeley":{"formattedCitation":"&lt;sup&gt;38&lt;/sup&gt;","plainTextFormattedCitation":"38","previouslyFormattedCitation":"(38)"},"properties":{"noteIndex":0},"schema":"https://github.com/citation-style-language/schema/raw/master/csl-citation.json"}</w:instrText>
      </w:r>
      <w:r>
        <w:fldChar w:fldCharType="separate"/>
      </w:r>
      <w:r w:rsidRPr="00B513B7">
        <w:rPr>
          <w:noProof/>
          <w:vertAlign w:val="superscript"/>
        </w:rPr>
        <w:t>38</w:t>
      </w:r>
      <w:r>
        <w:fldChar w:fldCharType="end"/>
      </w:r>
      <w:r>
        <w:t>.</w:t>
      </w:r>
    </w:p>
    <w:p w14:paraId="48FDE9D1" w14:textId="77777777" w:rsidR="00066079" w:rsidRPr="006235FD" w:rsidRDefault="00066079" w:rsidP="00066079">
      <w:pPr>
        <w:rPr>
          <w:b/>
          <w:bCs/>
        </w:rPr>
      </w:pPr>
      <w:r>
        <w:rPr>
          <w:b/>
          <w:bCs/>
        </w:rPr>
        <w:t xml:space="preserve">Text </w:t>
      </w:r>
      <w:r w:rsidRPr="006235FD">
        <w:rPr>
          <w:b/>
          <w:bCs/>
        </w:rPr>
        <w:t>S</w:t>
      </w:r>
      <w:r>
        <w:rPr>
          <w:b/>
          <w:bCs/>
        </w:rPr>
        <w:t>2.</w:t>
      </w:r>
      <w:r w:rsidRPr="006235FD">
        <w:rPr>
          <w:b/>
          <w:bCs/>
        </w:rPr>
        <w:t xml:space="preserve"> Baseline Eco-evolutionary Model (</w:t>
      </w:r>
      <w:proofErr w:type="spellStart"/>
      <w:r w:rsidRPr="006235FD">
        <w:rPr>
          <w:b/>
          <w:bCs/>
        </w:rPr>
        <w:t>ReefMod</w:t>
      </w:r>
      <w:proofErr w:type="spellEnd"/>
      <w:r w:rsidRPr="006235FD">
        <w:rPr>
          <w:b/>
          <w:bCs/>
        </w:rPr>
        <w:t>-PALAU)</w:t>
      </w:r>
    </w:p>
    <w:p w14:paraId="4FFFC380" w14:textId="77777777" w:rsidR="00066079" w:rsidRPr="006235FD" w:rsidRDefault="00066079" w:rsidP="00066079">
      <w:proofErr w:type="spellStart"/>
      <w:r w:rsidRPr="006235FD">
        <w:t>ReefMod</w:t>
      </w:r>
      <w:proofErr w:type="spellEnd"/>
      <w:r w:rsidRPr="006235FD">
        <w:t xml:space="preserve">-PALAU is an agent-based eco-evolutionary metapopulation model developed for corymbose </w:t>
      </w:r>
      <w:r w:rsidRPr="00862F57">
        <w:rPr>
          <w:i/>
          <w:iCs/>
        </w:rPr>
        <w:t>Acropora</w:t>
      </w:r>
      <w:r w:rsidRPr="006235FD">
        <w:t xml:space="preserve"> corals across 95 spatially explicit reefs in Palau</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rsidRPr="006235FD">
        <w:t xml:space="preserve">. The model simulates individual coral colonies and algal patches and </w:t>
      </w:r>
      <w:r>
        <w:t xml:space="preserve">incorporates ecological interactions, coral </w:t>
      </w:r>
      <w:r w:rsidRPr="006235FD">
        <w:t xml:space="preserve">demography, </w:t>
      </w:r>
      <w:r>
        <w:t xml:space="preserve">size-dependent coral spawning and sexual reproduction, followed by </w:t>
      </w:r>
      <w:r w:rsidRPr="006235FD">
        <w:t xml:space="preserve">larval dispersal among reefs </w:t>
      </w:r>
      <w:r>
        <w:t xml:space="preserve">given biophysical larval </w:t>
      </w:r>
      <w:r w:rsidRPr="006235FD">
        <w:t xml:space="preserve">connectivity </w:t>
      </w:r>
      <w:r>
        <w:t>matrices</w:t>
      </w:r>
      <w:r>
        <w:fldChar w:fldCharType="begin" w:fldLock="1"/>
      </w:r>
      <w:r>
        <w:instrText>ADDIN CSL_CITATION {"citationItems":[{"id":"ITEM-1","itemData":{"DOI":"10.3354/meps13608","ISSN":"0171-8630","abstract":"It is hypothesized that the spatio-temporal variability in larval supply is caused by multiple bio-physical drivers that correlate with the occurrence of ‘recruitment pulses’, which influences the recovery potential of coral reefs following large-scale disturbances. Here, we used a larval dispersal model to explore coral larvae dispersal patterns under variable oceanographic conditions, densities of parental colonies, and taxa-specific differences in the biology of propagules. Model predictions were validated with observed settlement and recruitment data to test the robustness of larval dispersal modelling for forecasting the recovery potential of the study reefs. The model was applied to the Western Pacific archipelago of Palau during three years before and after major typhoon disturbances, and simulations were run and validated for two major broadcast-spawning reef-building taxa: Acropora and Porites. Investigations into the relative role of physical (currents, wind, waves) and biological (taxa, disturbance impact) parameters on overall larval supply show that low wind speeds and the intermittent occurrence of north and south-west oceanic currents contributed significantly to enhancing larval supply at the scale of the archipelago. The reduced parental colony densities on the eastern reefs following the disturbances did not have a major impact on predicted larval supply patterns. Relatively low larval supply to most of the disturbed eastern reefs are predicted during the most common oceanographic conditions, forecasting a low recovery potential through larval recruitment. Mapping the spatio-temporal dynamics of larval supply and identifying dispersal barriers from intact to disturbed reefs can help predict recovery patterns across reef communities.","author":[{"dropping-particle":"","family":"Gouezo","given":"Marine","non-dropping-particle":"","parse-names":false,"suffix":""},{"dropping-particle":"","family":"Wolanski","given":"Eric","non-dropping-particle":"","parse-names":false,"suffix":""},{"dropping-particle":"","family":"Critchell","given":"K","non-dropping-particle":"","parse-names":false,"suffix":""},{"dropping-particle":"","family":"Fabricius","given":"K","non-dropping-particle":"","parse-names":false,"suffix":""},{"dropping-particle":"","family":"Harrison","given":"P","non-dropping-particle":"","parse-names":false,"suffix":""},{"dropping-particle":"","family":"Golbuu","given":"Y","non-dropping-particle":"","parse-names":false,"suffix":""},{"dropping-particle":"","family":"Doropoulos","given":"C","non-dropping-particle":"","parse-names":false,"suffix":""}],"container-title":"Marine Ecology Progress Series","id":"ITEM-1","issued":{"date-parts":[["2020"]]},"page":"127-145","publisher":"Inter-Research Science Center","title":"Modelled larval supply predicts coral population recovery potential following disturbance","type":"article-journal","volume":"661"},"uris":["http://www.mendeley.com/documents/?uuid=6b298dca-246a-4c6b-a866-f842af448418"]},{"id":"ITEM-2","itemData":{"DOI":"10.1126/science.adl6480","ISSN":"10959203","PMID":"39607905","abstract":"Marine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J.","non-dropping-particle":"","parse-names":false,"suffix":""}],"container-title":"Science","id":"ITEM-2","issue":"6727","issued":{"date-parts":[["2024"]]},"page":"1289-1294","title":"Natural selection could determine whether Acropora corals persist under expected climate change","type":"article-journal","volume":"386"},"uris":["http://www.mendeley.com/documents/?uuid=66b801f0-86c9-4f59-938e-8d6f8b33f2a8"]}],"mendeley":{"formattedCitation":"&lt;sup&gt;9,60&lt;/sup&gt;","plainTextFormattedCitation":"9,60","previouslyFormattedCitation":"(9, 60)"},"properties":{"noteIndex":0},"schema":"https://github.com/citation-style-language/schema/raw/master/csl-citation.json"}</w:instrText>
      </w:r>
      <w:r>
        <w:fldChar w:fldCharType="separate"/>
      </w:r>
      <w:r w:rsidRPr="00B513B7">
        <w:rPr>
          <w:noProof/>
          <w:vertAlign w:val="superscript"/>
        </w:rPr>
        <w:t>9,60</w:t>
      </w:r>
      <w:r>
        <w:fldChar w:fldCharType="end"/>
      </w:r>
      <w:r w:rsidRPr="006235FD">
        <w:t xml:space="preserve">. Bleaching mortality </w:t>
      </w:r>
      <w:r>
        <w:t xml:space="preserve">at the end of the warm season </w:t>
      </w:r>
      <w:r w:rsidRPr="006235FD">
        <w:t>is driven by marine heatwaves, and coral heat tolerance is represented as a</w:t>
      </w:r>
      <w:r>
        <w:t>n individual-level</w:t>
      </w:r>
      <w:r w:rsidRPr="006235FD">
        <w:t xml:space="preserve"> heritable quantitative trait subject to selection through differential survival during heat stress events.</w:t>
      </w:r>
      <w:r>
        <w:t xml:space="preserve"> In practice, this is implemented as sigmoidal bleaching mortality curve which is a function of cumulative heat stress (DHW) such that all corals share the same global slope but with individual-level intercepts as in </w:t>
      </w:r>
      <w:r w:rsidRPr="001533A8">
        <w:t xml:space="preserve">Lachs </w:t>
      </w:r>
      <w:r w:rsidRPr="001533A8">
        <w:rPr>
          <w:i/>
          <w:iCs/>
        </w:rPr>
        <w:t>et al</w:t>
      </w:r>
      <w:r w:rsidRPr="001533A8">
        <w:t>. 2024</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t xml:space="preserve">. Notably, the </w:t>
      </w:r>
      <w:r w:rsidRPr="006235FD">
        <w:t xml:space="preserve">model has previously been validated against independent long-term monitoring datasets of coral cover, colony size structure, and heatwave </w:t>
      </w:r>
      <w:r>
        <w:t xml:space="preserve">responses from </w:t>
      </w:r>
      <w:r w:rsidRPr="001533A8">
        <w:rPr>
          <w:i/>
          <w:iCs/>
        </w:rPr>
        <w:t>Acropora</w:t>
      </w:r>
      <w:r>
        <w:t xml:space="preserve"> corals and assemblages </w:t>
      </w:r>
      <w:r w:rsidRPr="006235FD">
        <w:t>in Palau</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rsidRPr="006235FD">
        <w:t>.</w:t>
      </w:r>
    </w:p>
    <w:p w14:paraId="21FBF7C5" w14:textId="77777777" w:rsidR="00066079" w:rsidRPr="006235FD" w:rsidRDefault="00066079" w:rsidP="00066079">
      <w:pPr>
        <w:rPr>
          <w:b/>
          <w:bCs/>
        </w:rPr>
      </w:pPr>
      <w:r>
        <w:rPr>
          <w:b/>
          <w:bCs/>
        </w:rPr>
        <w:t xml:space="preserve">Text </w:t>
      </w:r>
      <w:r w:rsidRPr="006235FD">
        <w:rPr>
          <w:b/>
          <w:bCs/>
        </w:rPr>
        <w:t>S</w:t>
      </w:r>
      <w:r>
        <w:rPr>
          <w:b/>
          <w:bCs/>
        </w:rPr>
        <w:t>3.</w:t>
      </w:r>
      <w:r w:rsidRPr="006235FD">
        <w:rPr>
          <w:b/>
          <w:bCs/>
        </w:rPr>
        <w:t xml:space="preserve"> Parameterisation of Recurring Non-thermal Disturbances</w:t>
      </w:r>
    </w:p>
    <w:p w14:paraId="5A5CF41E" w14:textId="77777777" w:rsidR="00066079" w:rsidRDefault="00066079" w:rsidP="00066079">
      <w:r>
        <w:t xml:space="preserve">To represent manageable non-thermal disturbances on coral reefs—factors that cause elevated coral mortality such as poor water quality, outbreaks of coral predators like crown-of-thorns starfish, or destructive fishing practices—we introduced a stochastic mortality process applied to individual coral colonies. Rather than capturing a specific disturbance type, our approach was designed to represent generalised, recurring anthropogenic stressors that can be mitigated through local management. Each non-thermal disturbance event at an affected reef was modelled by imposing a 50% probability of mortality for every coral colony at that reef. For the primary analyses, disturbances occurred stochastically with a once-per-decade likelihood (generated through random draws that resulted in unique disturbance chronologies for each simulation replicate) and affected all reefs across Palau to represent region-wide exposure to manageable stressors. </w:t>
      </w:r>
    </w:p>
    <w:p w14:paraId="3B0DFB8A" w14:textId="77777777" w:rsidR="00066079" w:rsidRPr="006235FD" w:rsidRDefault="00066079" w:rsidP="00066079">
      <w:r w:rsidRPr="006235FD">
        <w:t xml:space="preserve">To assess robustness </w:t>
      </w:r>
      <w:r>
        <w:t xml:space="preserve">of our findings to the non-thermal disturbance regime we </w:t>
      </w:r>
      <w:r w:rsidRPr="006235FD">
        <w:t xml:space="preserve">conducted </w:t>
      </w:r>
      <w:r>
        <w:t xml:space="preserve">a series of </w:t>
      </w:r>
      <w:r w:rsidRPr="006235FD">
        <w:t>sensitivity analys</w:t>
      </w:r>
      <w:r>
        <w:t>e</w:t>
      </w:r>
      <w:r w:rsidRPr="006235FD">
        <w:t>s</w:t>
      </w:r>
      <w:r>
        <w:t xml:space="preserve">. First, we ran management simulations across a range of different disturbance frequencies by </w:t>
      </w:r>
      <w:r w:rsidRPr="006235FD">
        <w:t xml:space="preserve">varying the return interval </w:t>
      </w:r>
      <w:r>
        <w:t xml:space="preserve">likelihood </w:t>
      </w:r>
      <w:r w:rsidRPr="006235FD">
        <w:t>from once every 6 years to once every 16 years in two-year increments</w:t>
      </w:r>
      <w:r>
        <w:t xml:space="preserve">. Then, we repeated this approach for a disturbance regime with a more frequent but less widespread disturbance regime. This regime was designed so that the total mortality probabilities emerging from the primary analyses (50% mortality at all reefs once per decade) were equivalent in the new disturbance regime (50% mortality at 30% of reefs once every 3 years). These different disturbance regimes </w:t>
      </w:r>
      <w:r w:rsidRPr="006235FD">
        <w:t xml:space="preserve">span plausible recurrence intervals </w:t>
      </w:r>
      <w:r>
        <w:t xml:space="preserve">and extent </w:t>
      </w:r>
      <w:r w:rsidRPr="006235FD">
        <w:t xml:space="preserve">for episodic disturbances in coral reef systems and allowed us to evaluate whether conclusions were sensitive to disturbance </w:t>
      </w:r>
      <w:r>
        <w:t xml:space="preserve">regime </w:t>
      </w:r>
      <w:r w:rsidRPr="006235FD">
        <w:t>assumptions.</w:t>
      </w:r>
    </w:p>
    <w:p w14:paraId="2277B267" w14:textId="77777777" w:rsidR="00066079" w:rsidRPr="006235FD" w:rsidRDefault="00066079" w:rsidP="00066079">
      <w:pPr>
        <w:rPr>
          <w:b/>
          <w:bCs/>
        </w:rPr>
      </w:pPr>
      <w:r>
        <w:rPr>
          <w:b/>
          <w:bCs/>
        </w:rPr>
        <w:t xml:space="preserve">Text </w:t>
      </w:r>
      <w:r w:rsidRPr="006235FD">
        <w:rPr>
          <w:b/>
          <w:bCs/>
        </w:rPr>
        <w:t>S</w:t>
      </w:r>
      <w:r>
        <w:rPr>
          <w:b/>
          <w:bCs/>
        </w:rPr>
        <w:t>4.</w:t>
      </w:r>
      <w:r w:rsidRPr="006235FD">
        <w:rPr>
          <w:b/>
          <w:bCs/>
        </w:rPr>
        <w:t xml:space="preserve"> Heat Stress Regimes</w:t>
      </w:r>
    </w:p>
    <w:p w14:paraId="6503E804" w14:textId="77777777" w:rsidR="00066079" w:rsidRPr="006235FD" w:rsidRDefault="00066079" w:rsidP="00066079">
      <w:r>
        <w:t xml:space="preserve">The heatwave exposure for each reef was derived from NOAA </w:t>
      </w:r>
      <w:proofErr w:type="spellStart"/>
      <w:r>
        <w:t>CoralTemp</w:t>
      </w:r>
      <w:proofErr w:type="spellEnd"/>
      <w:r>
        <w:t xml:space="preserve"> version 3.1, a gap-free daily sea surface temperature dataset</w:t>
      </w:r>
      <w:r>
        <w:fldChar w:fldCharType="begin" w:fldLock="1"/>
      </w:r>
      <w:r>
        <w:instrText>ADDIN CSL_CITATION {"citationItems":[{"id":"ITEM-1","itemData":{"DOI":"https://doi.org/10.25921/nabc-kh20.","author":[{"dropping-particle":"","family":"Skirving","given":"William J.","non-dropping-particle":"","parse-names":false,"suffix":""},{"dropping-particle":"","family":"Marsh","given":"Benjamin L","non-dropping-particle":"","parse-names":false,"suffix":""},{"dropping-particle":"","family":"Liu","given":"Gang","non-dropping-particle":"","parse-names":false,"suffix":""},{"dropping-particle":"","family":"La Cour","given":"Jacqueline L.","non-dropping-particle":"De","parse-names":false,"suffix":""},{"dropping-particle":"","family":"Harris","given":"Andy","non-dropping-particle":"","parse-names":false,"suffix":""},{"dropping-particle":"","family":"Heron","given":"Scott F.","non-dropping-particle":"","parse-names":false,"suffix":""},{"dropping-particle":"","family":"Geiger","given":"Erick F.","non-dropping-particle":"","parse-names":false,"suffix":""},{"dropping-particle":"","family":"Maturi","given":"Eileen","non-dropping-particle":"","parse-names":false,"suffix":""},{"dropping-particle":"","family":"Eakin","given":"C. Mark","non-dropping-particle":"","parse-names":false,"suffix":""}],"id":"ITEM-1","issued":{"date-parts":[["2018"]]},"title":"NOAA Coral Reef Watch (CRW) CoralTemp: 5km gap-free analyzed blended sea surface temperature product for the global ocean","type":"webpage"},"uris":["http://www.mendeley.com/documents/?uuid=3614e8fc-44e6-4ede-854d-4f6f3bc234e6"]}],"mendeley":{"formattedCitation":"&lt;sup&gt;61&lt;/sup&gt;","plainTextFormattedCitation":"61","previouslyFormattedCitation":"(61)"},"properties":{"noteIndex":0},"schema":"https://github.com/citation-style-language/schema/raw/master/csl-citation.json"}</w:instrText>
      </w:r>
      <w:r>
        <w:fldChar w:fldCharType="separate"/>
      </w:r>
      <w:r w:rsidRPr="00B513B7">
        <w:rPr>
          <w:noProof/>
          <w:vertAlign w:val="superscript"/>
        </w:rPr>
        <w:t>61</w:t>
      </w:r>
      <w:r>
        <w:fldChar w:fldCharType="end"/>
      </w:r>
      <w:r>
        <w:t xml:space="preserve">, and Global Climate Models (GCMs) for the future projection period, as in Lachs </w:t>
      </w:r>
      <w:r w:rsidRPr="03424B56">
        <w:rPr>
          <w:i/>
          <w:iCs/>
        </w:rPr>
        <w:t>et al</w:t>
      </w:r>
      <w:r>
        <w:t>. 2024</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t xml:space="preserve">. Cumulative heat stress was determined in terms of </w:t>
      </w:r>
      <w:r>
        <w:lastRenderedPageBreak/>
        <w:t xml:space="preserve">DHW, which is then directly linked to coral survival through past empirical quantification of heat tolerance variability of the corymbose coral </w:t>
      </w:r>
      <w:r w:rsidRPr="03424B56">
        <w:rPr>
          <w:i/>
          <w:iCs/>
        </w:rPr>
        <w:t>Acropora</w:t>
      </w:r>
      <w:r>
        <w:rPr>
          <w:i/>
          <w:iCs/>
        </w:rPr>
        <w:t xml:space="preserve"> </w:t>
      </w:r>
      <w:proofErr w:type="spellStart"/>
      <w:r w:rsidRPr="002220C8">
        <w:t>aff</w:t>
      </w:r>
      <w:proofErr w:type="spellEnd"/>
      <w:r w:rsidRPr="002220C8">
        <w:t>.</w:t>
      </w:r>
      <w:r>
        <w:rPr>
          <w:i/>
          <w:iCs/>
        </w:rPr>
        <w:t xml:space="preserve"> </w:t>
      </w:r>
      <w:proofErr w:type="spellStart"/>
      <w:r w:rsidRPr="03424B56">
        <w:rPr>
          <w:i/>
          <w:iCs/>
        </w:rPr>
        <w:t>digitifera</w:t>
      </w:r>
      <w:proofErr w:type="spellEnd"/>
      <w:r>
        <w:t xml:space="preserve"> in Palau</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id":"ITEM-2","itemData":{"DOI":"19.1371/journal.pclim.0000453","author":[{"dropping-particle":"","family":"Lachs","given":"Liam","non-dropping-particle":"","parse-names":false,"suffix":""},{"dropping-particle":"","family":"Humanes","given":"Adriana","non-dropping-particle":"","parse-names":false,"suffix":""},{"dropping-particle":"","family":"Mumby","given":"Peter J","non-dropping-particle":"","parse-names":false,"suffix":""},{"dropping-particle":"","family":"Donner","given":"Simon D","non-dropping-particle":"","parse-names":false,"suffix":""},{"dropping-particle":"","family":"Bythell","given":"John","non-dropping-particle":"","parse-names":false,"suffix":""},{"dropping-particle":"","family":"Beauchamp","given":"Elizabeth","non-dropping-particle":"","parse-names":false,"suffix":""},{"dropping-particle":"","family":"Bukurou","given":"Leah","non-dropping-particle":"","parse-names":false,"suffix":""},{"dropping-particle":"","family":"Buzzoni","given":"Daisy","non-dropping-particle":"","parse-names":false,"suffix":""},{"dropping-particle":"","family":"La","given":"Ruben","non-dropping-particle":"De","parse-names":false,"suffix":""},{"dropping-particle":"","family":"Cerro","given":"Torre","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J","non-dropping-particle":"","parse-names":false,"suffix":""},{"dropping-particle":"","family":"Golbuu","given":"Yimnang","non-dropping-particle":"","parse-names":false,"suffix":""},{"dropping-particle":"","family":"Martinez","given":"Helios M","non-dropping-particle":"","parse-names":false,"suffix":""},{"dropping-particle":"","family":"Steeg","given":"Eveline","non-dropping-particle":"Van Der","parse-names":false,"suffix":""},{"dropping-particle":"","family":"Ward","given":"Alex","non-dropping-particle":"","parse-names":false,"suffix":""},{"dropping-particle":"","family":"Guest","given":"James R","non-dropping-particle":"","parse-names":false,"suffix":""}],"container-title":"PLOS Climate","id":"ITEM-2","issue":"7","issued":{"date-parts":[["2024"]]},"page":"e0000453","title":"High coral heat tolerance at local-scale thermal refugia","type":"article-journal","volume":"3"},"uris":["http://www.mendeley.com/documents/?uuid=c429f1ab-3164-433b-80ae-4d771b7450d5"]},{"id":"ITEM-3","itemData":{"DOI":"10.1038/s41467-024-52895-1","abstract":"Marine heatwaves are becoming more frequent, widespread and severe, causing mass coral bleaching and mortality. Natural adaptation may be insufficient to keep pace with climate warming, leading to calls for selective breeding interventions to enhance the ability of corals to survive such heatwaves , i.e., their heat tolerance. However, the heritability of this trait-a prerequisite for such approaches-remains unknown. We show that selecting parent colonies for high rather than low heat tolerance increased the tolerance of adult offspring (3-4-year-olds). This result held for the response to both 1-week +3.5 °C and 1-month +2.5 °C simulated marine heatwaves. In each case, narrow-sense heritability (h 2) estimates are between 0.2 and 0.3, demonstrating a substantial genetic basis of heat tolerance. The phenotypic variability identified in this population could theoretically be leveraged to enhance heat tolerance by up to 1 °C-week within one generation. Concerningly, selective breeding for short-stress tolerance did not improve the ability of offspring to survive the long heat stress exposure. With no genetic correlation detected, these traits may be subject to independent genetic controls. Our finding on the heritability of coral heat tolerance indicates that selective breeding could be a viable tool to improve population resilience. Yet, the moderate levels of enhancement we found suggest that the effectiveness of such interventions also demands urgent climate action. The ability of wild populations to adapt to anticipated rates of climate change remains uncertain 1. Corals are at the forefront of climate change impacts due to their vulnerability to marine heatwaves that lead to mass coral bleaching and mortality 2,3. To persist, corals must adapt to ocean warming and the increasing intensity of heatwaves. This requires both genetic diversity and heritability of heat tolerance. Coral heat tolerance varies within populations 4 , between populations 5,6 , across environmental gradients 7 and among taxa 8. However, there are no reliable estimates for the heritability of heat tolerance that are relevant to both adult coral survival and the severity and duration of marine heatwaves. Assisted evolution has been proposed as a strategy to mitigate coral reef degradation by facilitating adaptation in the face of climate change 9,10. Such interventions may include modifications to host","author":[{"dropping-particle":"","family":"Humanes","given":"Adriana","non-dropping-particle":"","parse-names":false,"suffix":""},{"dropping-particle":"","family":"Lachs","given":"Liam","non-dropping-particle":"","parse-names":false,"suffix":""},{"dropping-particle":"","family":"Beauchamp","given":"Elizabeth","non-dropping-particle":"","parse-names":false,"suffix":""},{"dropping-particle":"","family":"Bukurou","given":"Leah","non-dropping-particle":"","parse-names":false,"suffix":""},{"dropping-particle":"","family":"Buzzoni","given":"Daisy","non-dropping-particle":"","parse-names":false,"suffix":""},{"dropping-particle":"","family":"Bythell","given":"John","non-dropping-particle":"","parse-names":false,"suffix":""},{"dropping-particle":"","family":"Craggs","given":"Jamie R K","non-dropping-particle":"","parse-names":false,"suffix":""},{"dropping-particle":"","family":"Cerro","given":"Ruben De La Torre","non-dropping-particle":"","parse-names":false,"suffix":""},{"dropping-particle":"","family":"Edwards","given":"Alasdair J","non-dropping-particle":"","parse-names":false,"suffix":""},{"dropping-particle":"","family":"Golbuu","given":"Yimnang","non-dropping-particle":"","parse-names":false,"suffix":""},{"dropping-particle":"","family":"Martinez","given":"Helios M","non-dropping-particle":"","parse-names":false,"suffix":""},{"dropping-particle":"","family":"Palmowski","given":"Pawel","non-dropping-particle":"","parse-names":false,"suffix":""},{"dropping-particle":"","family":"Steeg","given":"Eveline","non-dropping-particle":"Van Der","parse-names":false,"suffix":""},{"dropping-particle":"","family":"Sweet","given":"Michael","non-dropping-particle":"","parse-names":false,"suffix":""},{"dropping-particle":"","family":"Ward","given":"Alex","non-dropping-particle":"","parse-names":false,"suffix":""},{"dropping-particle":"","family":"Wilson","given":"Alastair J","non-dropping-particle":"","parse-names":false,"suffix":""},{"dropping-particle":"","family":"Guest","given":"James R","non-dropping-particle":"","parse-names":false,"suffix":""}],"container-title":"Nature Communications","id":"ITEM-3","issue":"15","issued":{"date-parts":[["2024"]]},"page":"8703","title":"Selective breeding enhances coral heat tolerance to marine heatwaves","type":"article-journal"},"uris":["http://www.mendeley.com/documents/?uuid=1f62cb8a-6414-39a8-9713-9c07f0aee201"]},{"id":"ITEM-4","itemData":{"DOI":"10.1098/rspb.2022.0872","author":[{"dropping-particle":"","family":"Humanes","given":"Adriana","non-dropping-particle":"","parse-names":false,"suffix":""},{"dropping-particle":"","family":"Lachs","given":"Liam","non-dropping-particle":"","parse-names":false,"suffix":""},{"dropping-particle":"","family":"Beauchamp","given":"Elizabeth A.","non-dropping-particle":"","parse-names":false,"suffix":""},{"dropping-particle":"","family":"Bythell","given":"John C.","non-dropping-particle":"","parse-names":false,"suffix":""},{"dropping-particle":"","family":"Edwards","given":"Alasdair J.","non-dropping-particle":"","parse-names":false,"suffix":""},{"dropping-particle":"","family":"Golbuu","given":"Yimnang","non-dropping-particle":"","parse-names":false,"suffix":""},{"dropping-particle":"","family":"Martinez","given":"Helios M.","non-dropping-particle":"","parse-names":false,"suffix":""},{"dropping-particle":"","family":"Palmowski","given":"Pawel","non-dropping-particle":"","parse-names":false,"suffix":""},{"dropping-particle":"","family":"Treumann","given":"Achim","non-dropping-particle":"","parse-names":false,"suffix":""},{"dropping-particle":"","family":"Steeg","given":"Eveline","non-dropping-particle":"van der","parse-names":false,"suffix":""},{"dropping-particle":"","family":"Hooidonk","given":"Ruben","non-dropping-particle":"van","parse-names":false,"suffix":""},{"dropping-particle":"","family":"Guest","given":"James R.","non-dropping-particle":"","parse-names":false,"suffix":""}],"container-title":"Proceedings of the Royal Society B: Biological Sciences","id":"ITEM-4","issued":{"date-parts":[["2022"]]},"page":"20220872","title":"Within-population variability in coral heat tolerance indicates climate adaptation potential","type":"article-journal","volume":"289"},"uris":["http://www.mendeley.com/documents/?uuid=6300d0c5-e111-411d-9d38-837d199a37b3"]}],"mendeley":{"formattedCitation":"&lt;sup&gt;7,9,34,62&lt;/sup&gt;","plainTextFormattedCitation":"7,9,34,62","previouslyFormattedCitation":"(7, 9, 34, 62)"},"properties":{"noteIndex":0},"schema":"https://github.com/citation-style-language/schema/raw/master/csl-citation.json"}</w:instrText>
      </w:r>
      <w:r>
        <w:fldChar w:fldCharType="separate"/>
      </w:r>
      <w:r w:rsidRPr="00B513B7">
        <w:rPr>
          <w:noProof/>
          <w:vertAlign w:val="superscript"/>
        </w:rPr>
        <w:t>7,9,34,62</w:t>
      </w:r>
      <w:r>
        <w:fldChar w:fldCharType="end"/>
      </w:r>
      <w:r>
        <w:t xml:space="preserve">. </w:t>
      </w:r>
    </w:p>
    <w:p w14:paraId="61E8D00C" w14:textId="77777777" w:rsidR="00066079" w:rsidRPr="006235FD" w:rsidRDefault="00066079" w:rsidP="00066079">
      <w:r>
        <w:t>To determine the historic heat stress regime of each reef, we analysed the satellite-derived DHW record for Palau (1985-2020) for all moderate or greater heatwaves that have occurred (defined as those exceeding a Palau-wide average of 4 °C-weeks which corresponds to the NOAA Bleaching Alert Level 1). For each heatwave, we calculated relative DHW exposure among reefs (Reef’s DHW anomaly = reef-specific maximum DHW – Palau-wide average DHW). Each reef’s long-term heat stress regime was then summarised as the mean DHW anomaly across all qualifying events. This metric was used to rank reefs along a gradient from consistently heat-exposed “hotspots” (defined as the top tercile of reefs based on mean DHW anomaly) to consistently heat-avoiding “thermal refugia” (defined as the bottom tercile of reefs based on mean DHW anomaly).</w:t>
      </w:r>
    </w:p>
    <w:p w14:paraId="3B823A18" w14:textId="77777777" w:rsidR="00066079" w:rsidRDefault="00066079" w:rsidP="00066079">
      <w:r>
        <w:t>To illustrate the spatial variability in mortality that a moderate-to-severe heatwave could generate across this heatwave exposure (DHW) gradient, we simulated an 8 °C-weeks event (NOAA Bleaching Alert Level 2), with spatial DHW variability aligned to historical patterns</w:t>
      </w:r>
      <w:r>
        <w:fldChar w:fldCharType="begin" w:fldLock="1"/>
      </w:r>
      <w:r>
        <w:instrText>ADDIN CSL_CITATION {"citationItems":[{"id":"ITEM-1","itemData":{"DOI":"19.1371/journal.pclim.0000453","author":[{"dropping-particle":"","family":"Lachs","given":"Liam","non-dropping-particle":"","parse-names":false,"suffix":""},{"dropping-particle":"","family":"Humanes","given":"Adriana","non-dropping-particle":"","parse-names":false,"suffix":""},{"dropping-particle":"","family":"Mumby","given":"Peter J","non-dropping-particle":"","parse-names":false,"suffix":""},{"dropping-particle":"","family":"Donner","given":"Simon D","non-dropping-particle":"","parse-names":false,"suffix":""},{"dropping-particle":"","family":"Bythell","given":"John","non-dropping-particle":"","parse-names":false,"suffix":""},{"dropping-particle":"","family":"Beauchamp","given":"Elizabeth","non-dropping-particle":"","parse-names":false,"suffix":""},{"dropping-particle":"","family":"Bukurou","given":"Leah","non-dropping-particle":"","parse-names":false,"suffix":""},{"dropping-particle":"","family":"Buzzoni","given":"Daisy","non-dropping-particle":"","parse-names":false,"suffix":""},{"dropping-particle":"","family":"La","given":"Ruben","non-dropping-particle":"De","parse-names":false,"suffix":""},{"dropping-particle":"","family":"Cerro","given":"Torre","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J","non-dropping-particle":"","parse-names":false,"suffix":""},{"dropping-particle":"","family":"Golbuu","given":"Yimnang","non-dropping-particle":"","parse-names":false,"suffix":""},{"dropping-particle":"","family":"Martinez","given":"Helios M","non-dropping-particle":"","parse-names":false,"suffix":""},{"dropping-particle":"","family":"Steeg","given":"Eveline","non-dropping-particle":"Van Der","parse-names":false,"suffix":""},{"dropping-particle":"","family":"Ward","given":"Alex","non-dropping-particle":"","parse-names":false,"suffix":""},{"dropping-particle":"","family":"Guest","given":"James R","non-dropping-particle":"","parse-names":false,"suffix":""}],"container-title":"PLOS Climate","id":"ITEM-1","issue":"7","issued":{"date-parts":[["2024"]]},"page":"e0000453","title":"High coral heat tolerance at local-scale thermal refugia","type":"article-journal","volume":"3"},"uris":["http://www.mendeley.com/documents/?uuid=c429f1ab-3164-433b-80ae-4d771b7450d5"]}],"mendeley":{"formattedCitation":"&lt;sup&gt;7&lt;/sup&gt;","plainTextFormattedCitation":"7","previouslyFormattedCitation":"(7)"},"properties":{"noteIndex":0},"schema":"https://github.com/citation-style-language/schema/raw/master/csl-citation.json"}</w:instrText>
      </w:r>
      <w:r>
        <w:fldChar w:fldCharType="separate"/>
      </w:r>
      <w:r w:rsidRPr="00B513B7">
        <w:rPr>
          <w:noProof/>
          <w:vertAlign w:val="superscript"/>
        </w:rPr>
        <w:t>7</w:t>
      </w:r>
      <w:r>
        <w:fldChar w:fldCharType="end"/>
      </w:r>
      <w:r>
        <w:t>. For each reef, we simulated 1,000 independent draws of survival for 1,000 colonies based on the present-day empirical distribution of heat tolerances</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t>, corresponding to the initial trait distribution in the model. This exercise demonstrates that mortality contrasts between hotspots and refugia under equivalent regional forcing, showing the heat stress gradient is also a selection gradient.</w:t>
      </w:r>
    </w:p>
    <w:p w14:paraId="0DFB8D7A" w14:textId="77777777" w:rsidR="00066079" w:rsidRDefault="00066079" w:rsidP="00066079">
      <w:r>
        <w:t>DHW gradients can be substantial, even within a single 5 km grid cell of the focal satellite-derived SST dataset, for instance, Moore Reef in the Great Barrier Reef which varies by 4-5 °C-weeks despite being an order of magnitude smaller in spatial scale than Palau</w:t>
      </w:r>
      <w:r>
        <w:fldChar w:fldCharType="begin" w:fldLock="1"/>
      </w:r>
      <w:r>
        <w:instrText>ADDIN CSL_CITATION {"citationItems":[{"id":"ITEM-1","itemData":{"DOI":"10.1038/s41598-024-73464-y","author":[{"dropping-particle":"","family":"Cresswell","given":"Anna K","non-dropping-particle":"","parse-names":false,"suffix":""},{"dropping-particle":"","family":"Haller-bull","given":"Vanessa","non-dropping-particle":"","parse-names":false,"suffix":""},{"dropping-particle":"","family":"Gonzalez-rivero","given":"Manuel","non-dropping-particle":"","parse-names":false,"suffix":""},{"dropping-particle":"","family":"Gilmour","given":"James P","non-dropping-particle":"","parse-names":false,"suffix":""},{"dropping-particle":"","family":"Bozec","given":"Yves-Marie","non-dropping-particle":"","parse-names":false,"suffix":""},{"dropping-particle":"","family":"Barneche","given":"Diego R.","non-dropping-particle":"","parse-names":false,"suffix":""},{"dropping-particle":"","family":"Robson","given":"B","non-dropping-particle":"","parse-names":false,"suffix":""},{"dropping-particle":"","family":"Anthony","given":"K. R.N.","non-dropping-particle":"","parse-names":false,"suffix":""},{"dropping-particle":"","family":"Doropoulos","given":"Christopher","non-dropping-particle":"","parse-names":false,"suffix":""},{"dropping-particle":"","family":"Roelfsma","given":"Chris","non-dropping-particle":"","parse-names":false,"suffix":""},{"dropping-particle":"","family":"Lyons","given":"Mitchell","non-dropping-particle":"","parse-names":false,"suffix":""},{"dropping-particle":"","family":"Mumby","given":"Peter J.","non-dropping-particle":"","parse-names":false,"suffix":""},{"dropping-particle":"","family":"Condie","given":"Scott A.","non-dropping-particle":"","parse-names":false,"suffix":""},{"dropping-particle":"","family":"Lago","given":"Veronique","non-dropping-particle":"","parse-names":false,"suffix":""},{"dropping-particle":"","family":"Ortiz","given":"Juan-Carlos","non-dropping-particle":"","parse-names":false,"suffix":""}],"container-title":"Scientific Reports","id":"ITEM-1","issued":{"date-parts":[["2024"]]},"page":"24733","title":"Capturing fine-scale coral dynamics with a metacommunity modelling framework","type":"article-journal","volume":"14"},"uris":["http://www.mendeley.com/documents/?uuid=b5fa9126-c356-430c-b67b-b56a9e475b36"]}],"mendeley":{"formattedCitation":"&lt;sup&gt;29&lt;/sup&gt;","plainTextFormattedCitation":"29","previouslyFormattedCitation":"(29)"},"properties":{"noteIndex":0},"schema":"https://github.com/citation-style-language/schema/raw/master/csl-citation.json"}</w:instrText>
      </w:r>
      <w:r>
        <w:fldChar w:fldCharType="separate"/>
      </w:r>
      <w:r w:rsidRPr="00B513B7">
        <w:rPr>
          <w:noProof/>
          <w:vertAlign w:val="superscript"/>
        </w:rPr>
        <w:t>29</w:t>
      </w:r>
      <w:r>
        <w:fldChar w:fldCharType="end"/>
      </w:r>
      <w:r>
        <w:t xml:space="preserve">. To assess the influence of stronger DHW gradients, we took the native DHW gradient (DHW anomalies for each reef that vary by up to ~2 °C-weeks), and we add this to the anomaly map to each year in the timeseries under levels of x1 (native – no addition), x1.5 (addition of a 0.5x DHW anomaly map), x2, x3, x4, and x5. DHW ranges among these scenarios were 2.1, 3.1, 4.2, 6.3, 8.3, and 10.4 °C-weeks, respectively. These thus represent scenarios in which it is technologically possible to identify extreme hotspots and extreme thermal refugia. </w:t>
      </w:r>
      <w:proofErr w:type="gramStart"/>
      <w:r>
        <w:t>In reality, this</w:t>
      </w:r>
      <w:proofErr w:type="gramEnd"/>
      <w:r>
        <w:t xml:space="preserve"> would require more advanced dynamic and depth-integrated physical models rather than satellite observation of the sea surface. </w:t>
      </w:r>
    </w:p>
    <w:p w14:paraId="066F443C" w14:textId="77777777" w:rsidR="00066079" w:rsidRPr="006235FD" w:rsidRDefault="00066079" w:rsidP="00066079">
      <w:pPr>
        <w:rPr>
          <w:b/>
          <w:bCs/>
        </w:rPr>
      </w:pPr>
      <w:r>
        <w:rPr>
          <w:b/>
          <w:bCs/>
        </w:rPr>
        <w:t xml:space="preserve">Text </w:t>
      </w:r>
      <w:r w:rsidRPr="006235FD">
        <w:rPr>
          <w:b/>
          <w:bCs/>
        </w:rPr>
        <w:t>S</w:t>
      </w:r>
      <w:r>
        <w:rPr>
          <w:b/>
          <w:bCs/>
        </w:rPr>
        <w:t>5.</w:t>
      </w:r>
      <w:r w:rsidRPr="006235FD">
        <w:rPr>
          <w:b/>
          <w:bCs/>
        </w:rPr>
        <w:t xml:space="preserve"> Climate Forcing and Global Climate Model </w:t>
      </w:r>
      <w:r w:rsidRPr="02A97A74">
        <w:rPr>
          <w:b/>
          <w:bCs/>
        </w:rPr>
        <w:t xml:space="preserve">(GCM) </w:t>
      </w:r>
      <w:r w:rsidRPr="006235FD">
        <w:rPr>
          <w:b/>
          <w:bCs/>
        </w:rPr>
        <w:t>Selection</w:t>
      </w:r>
    </w:p>
    <w:p w14:paraId="75996D23" w14:textId="77777777" w:rsidR="00066079" w:rsidRDefault="00066079" w:rsidP="00066079">
      <w:r>
        <w:t>Here we use future projections of DHW heatwave stress from a subset of a sixteen-GCM ensemble used in our previous work</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id":"ITEM-2","itemData":{"DOI":"10.1038/s41467-023-40601-6","author":[{"dropping-particle":"","family":"Lachs","given":"L","non-dropping-particle":"","parse-names":false,"suffix":""},{"dropping-particle":"","family":"Donner","given":"S D","non-dropping-particle":"","parse-names":false,"suffix":""},{"dropping-particle":"","family":"Mumby","given":"P J","non-dropping-particle":"","parse-names":false,"suffix":""},{"dropping-particle":"","family":"Bythell","given":"J C","non-dropping-particle":"","parse-names":false,"suffix":""},{"dropping-particle":"","family":"Humanes","given":"A","non-dropping-particle":"","parse-names":false,"suffix":""},{"dropping-particle":"","family":"East","given":"H K","non-dropping-particle":"","parse-names":false,"suffix":""},{"dropping-particle":"","family":"Guest","given":"J R","non-dropping-particle":"","parse-names":false,"suffix":""}],"container-title":"Nature Communications","id":"ITEM-2","issued":{"date-parts":[["2023"]]},"page":"4939","title":"Emergent increase in coral thermal tolerance reduces mass bleaching under climate change","type":"article-journal","volume":"14"},"uris":["http://www.mendeley.com/documents/?uuid=ed8d4071-b238-4bce-a4ae-c83e09792d80"]}],"mendeley":{"formattedCitation":"&lt;sup&gt;9,10&lt;/sup&gt;","plainTextFormattedCitation":"9,10","previouslyFormattedCitation":"(9, 10)"},"properties":{"noteIndex":0},"schema":"https://github.com/citation-style-language/schema/raw/master/csl-citation.json"}</w:instrText>
      </w:r>
      <w:r>
        <w:fldChar w:fldCharType="separate"/>
      </w:r>
      <w:r w:rsidRPr="00B513B7">
        <w:rPr>
          <w:noProof/>
          <w:vertAlign w:val="superscript"/>
        </w:rPr>
        <w:t>9,10</w:t>
      </w:r>
      <w:r>
        <w:fldChar w:fldCharType="end"/>
      </w:r>
      <w:r>
        <w:t>. Equilibrium climate sensitivity (ECS) is a metric used in climate modelling to determine the amount of global warming caused by an immediate doubling of CO</w:t>
      </w:r>
      <w:r w:rsidRPr="415B336B">
        <w:rPr>
          <w:vertAlign w:val="subscript"/>
        </w:rPr>
        <w:t>2</w:t>
      </w:r>
      <w:r>
        <w:t xml:space="preserve"> in the atmosphere. The best estimate from the Intergovernmental Panel on Climate Change for ECS of the Earth system is between 2.5 and 4 °C. However, the full ensemble of GCMs includes ten ‘hot models’ that are overly sensitive to CO</w:t>
      </w:r>
      <w:r w:rsidRPr="415B336B">
        <w:rPr>
          <w:vertAlign w:val="subscript"/>
        </w:rPr>
        <w:t xml:space="preserve">2 </w:t>
      </w:r>
      <w:r>
        <w:fldChar w:fldCharType="begin" w:fldLock="1"/>
      </w:r>
      <w:r>
        <w:instrText>ADDIN CSL_CITATION {"citationItems":[{"id":"ITEM-1","itemData":{"DOI":"10.1126/science.adl6480","ISSN":"10959203","PMID":"39607905","abstract":"Marine heatwaves are intensifying under climate change, exposing populations of reef-building corals to mass mortality and intense selective pressure. It remains unknown whether adaptation can keep pace with warming and maintain reef functioning. We have developed an eco-evolutionary metapopulation model for Acropora, an ecologically important yet thermally sensitive coral taxon. We found that, although corals have some adaptation capacity, they will suffer severe heatwave-induced declines over the coming decades. For a future in which emissions lead to ~3°C of global warming, natural selection could allow populations to persist, albeit in severely depleted states with elevated extinction risk and potential loss of ecosystem functioning. Yet, for thermally sensitive coral populations to thrive beyond 2050, there must be rapid reductions of greenhouse gas emissions that limit global warming to 2°C.","author":[{"dropping-particle":"","family":"Lachs","given":"Liam","non-dropping-particle":"","parse-names":false,"suffix":""},{"dropping-particle":"","family":"Bozec","given":"Yves Marie","non-dropping-particle":"","parse-names":false,"suffix":""},{"dropping-particle":"","family":"Bythell","given":"John C.","non-dropping-particle":"","parse-names":false,"suffix":""},{"dropping-particle":"","family":"Donner","given":"Simon D.","non-dropping-particle":"","parse-names":false,"suffix":""},{"dropping-particle":"","family":"East","given":"Holly K.","non-dropping-particle":"","parse-names":false,"suffix":""},{"dropping-particle":"","family":"Edwards","given":"Alasdair J.","non-dropping-particle":"","parse-names":false,"suffix":""},{"dropping-particle":"","family":"Golbuu","given":"Yimnang","non-dropping-particle":"","parse-names":false,"suffix":""},{"dropping-particle":"","family":"Gouezo","given":"Marine","non-dropping-particle":"","parse-names":false,"suffix":""},{"dropping-particle":"","family":"Guest","given":"James R.","non-dropping-particle":"","parse-names":false,"suffix":""},{"dropping-particle":"","family":"Humanes","given":"Adriana","non-dropping-particle":"","parse-names":false,"suffix":""},{"dropping-particle":"","family":"Riginos","given":"Cynthia","non-dropping-particle":"","parse-names":false,"suffix":""},{"dropping-particle":"","family":"Mumby","given":"Peter J.","non-dropping-particle":"","parse-names":false,"suffix":""}],"container-title":"Science","id":"ITEM-1","issue":"6727","issued":{"date-parts":[["2024"]]},"page":"1289-1294","title":"Natural selection could determine whether Acropora corals persist under expected climate change","type":"article-journal","volume":"386"},"uris":["http://www.mendeley.com/documents/?uuid=66b801f0-86c9-4f59-938e-8d6f8b33f2a8"]}],"mendeley":{"formattedCitation":"&lt;sup&gt;9&lt;/sup&gt;","plainTextFormattedCitation":"9","previouslyFormattedCitation":"(9)"},"properties":{"noteIndex":0},"schema":"https://github.com/citation-style-language/schema/raw/master/csl-citation.json"}</w:instrText>
      </w:r>
      <w:r>
        <w:fldChar w:fldCharType="separate"/>
      </w:r>
      <w:r w:rsidRPr="00B513B7">
        <w:rPr>
          <w:noProof/>
          <w:vertAlign w:val="superscript"/>
        </w:rPr>
        <w:t>9</w:t>
      </w:r>
      <w:r>
        <w:fldChar w:fldCharType="end"/>
      </w:r>
      <w:r>
        <w:t>. Therefore, our study focussed only on the six GCMs with ECS values within the IPCCs best estimate range.</w:t>
      </w:r>
    </w:p>
    <w:p w14:paraId="19FCD286" w14:textId="77777777" w:rsidR="00066079" w:rsidRPr="006235FD" w:rsidRDefault="00066079" w:rsidP="00066079">
      <w:r>
        <w:t>These six GCMs were then evaluated for their ability to reproduce observed spatial variability in heatwave exposure across Palau, calculated as the mean cumulative heat stress anomaly (</w:t>
      </w:r>
      <w:proofErr w:type="spellStart"/>
      <w:r>
        <w:t>DHWa</w:t>
      </w:r>
      <w:proofErr w:type="spellEnd"/>
      <w:r>
        <w:t>) across all events exceeding 4°C-weeks (</w:t>
      </w:r>
      <w:r w:rsidRPr="415B336B">
        <w:rPr>
          <w:i/>
          <w:iCs/>
        </w:rPr>
        <w:t>e.g.</w:t>
      </w:r>
      <w:r>
        <w:t>, Fig. 2a). Congruency in DHW anomaly gradients between the satellite record (</w:t>
      </w:r>
      <w:proofErr w:type="spellStart"/>
      <w:r>
        <w:t>DHWa</w:t>
      </w:r>
      <w:r w:rsidRPr="415B336B">
        <w:rPr>
          <w:vertAlign w:val="subscript"/>
        </w:rPr>
        <w:t>CT</w:t>
      </w:r>
      <w:proofErr w:type="spellEnd"/>
      <w:r>
        <w:t>) and future projections statistically downscaled from GCMs (</w:t>
      </w:r>
      <w:proofErr w:type="spellStart"/>
      <w:r>
        <w:t>DHWa</w:t>
      </w:r>
      <w:r w:rsidRPr="415B336B">
        <w:rPr>
          <w:vertAlign w:val="subscript"/>
        </w:rPr>
        <w:t>GCM</w:t>
      </w:r>
      <w:proofErr w:type="spellEnd"/>
      <w:r>
        <w:t xml:space="preserve">) were tested using linear regressions. All retained models exhibited </w:t>
      </w:r>
      <w:r>
        <w:lastRenderedPageBreak/>
        <w:t>strong agreement with observations (0.67 ≤ R² ≤ 0.81), except one GCM with lower congruency (R² = 0.50–0.57 depending on scenario), which was excluded from further analyses (Fig. S14). The final ensemble of five models therefore comprised GCMs that reliably reproduced observed spatial heat stress variability.</w:t>
      </w:r>
    </w:p>
    <w:p w14:paraId="13252D6F" w14:textId="77777777" w:rsidR="00066079" w:rsidRPr="006235FD" w:rsidRDefault="00066079" w:rsidP="00066079">
      <w:pPr>
        <w:rPr>
          <w:b/>
          <w:bCs/>
        </w:rPr>
      </w:pPr>
      <w:r>
        <w:rPr>
          <w:b/>
          <w:bCs/>
        </w:rPr>
        <w:t xml:space="preserve">Text </w:t>
      </w:r>
      <w:r w:rsidRPr="006235FD">
        <w:rPr>
          <w:b/>
          <w:bCs/>
        </w:rPr>
        <w:t>S</w:t>
      </w:r>
      <w:r>
        <w:rPr>
          <w:b/>
          <w:bCs/>
        </w:rPr>
        <w:t>6.</w:t>
      </w:r>
      <w:r w:rsidRPr="006235FD">
        <w:rPr>
          <w:b/>
          <w:bCs/>
        </w:rPr>
        <w:t xml:space="preserve"> Management Parameterisation</w:t>
      </w:r>
    </w:p>
    <w:p w14:paraId="144CAB22" w14:textId="77777777" w:rsidR="00066079" w:rsidRDefault="00066079" w:rsidP="00066079">
      <w:r>
        <w:t xml:space="preserve">Management interventions were applied annually from 2025 until the end of the simulation in 2100 and consisted of either protection or restoration at all 31 selected sites (of the possible 95 sites, </w:t>
      </w:r>
      <w:r w:rsidRPr="415B336B">
        <w:rPr>
          <w:i/>
          <w:iCs/>
        </w:rPr>
        <w:t>e.g.</w:t>
      </w:r>
      <w:r>
        <w:t xml:space="preserve">, the top tercile of </w:t>
      </w:r>
      <w:proofErr w:type="spellStart"/>
      <w:r>
        <w:t>DHWa</w:t>
      </w:r>
      <w:proofErr w:type="spellEnd"/>
      <w:r>
        <w:t xml:space="preserve"> or in other words all hotspot reefs). Protection was implemented by exempting selected reefs from the stochastic non-thermal disturbance process described above. In effect, protected reefs did not experience disturbance-induced mortality, resulting in improved local survival and increased reproductive output relative to unmanaged reefs. Restoration involved out-planting corals at selected reef across 30% of the available substrate at that reef, and at a density of 4 individuals/m</w:t>
      </w:r>
      <w:r w:rsidRPr="415B336B">
        <w:rPr>
          <w:vertAlign w:val="superscript"/>
        </w:rPr>
        <w:t>2</w:t>
      </w:r>
      <w:r>
        <w:t xml:space="preserve">. We parameterised outplant traits to reflect a restoration approach of local broodstock collection followed by one year of rearing and out-planting to the natal reef, without any manipulation of heat tolerance (i.e., selective breeding or assisted evolution). To achieve this, we set outplant colony size to 3.2 cm diameter (± 0.25 SD) as determined from out-planting trials of </w:t>
      </w:r>
      <w:r w:rsidRPr="415B336B">
        <w:rPr>
          <w:i/>
          <w:iCs/>
        </w:rPr>
        <w:t xml:space="preserve">Acropora </w:t>
      </w:r>
      <w:proofErr w:type="spellStart"/>
      <w:r w:rsidRPr="415B336B">
        <w:rPr>
          <w:i/>
          <w:iCs/>
        </w:rPr>
        <w:t>digitifera</w:t>
      </w:r>
      <w:proofErr w:type="spellEnd"/>
      <w:r>
        <w:t xml:space="preserve"> in Palau</w:t>
      </w:r>
      <w:r>
        <w:fldChar w:fldCharType="begin" w:fldLock="1"/>
      </w:r>
      <w:r>
        <w:instrText>ADDIN CSL_CITATION {"citationItems":[{"id":"ITEM-1","itemData":{"DOI":"10.1007/s00338-025-02703-z","ISBN":"0123456789","ISSN":"1432-0975","author":[{"dropping-particle":"Van Der","family":"Steeg","given":"Eveline","non-dropping-particle":"","parse-names":false,"suffix":""},{"dropping-particle":"","family":"Humanes","given":"Adriana","non-dropping-particle":"","parse-names":false,"suffix":""},{"dropping-particle":"","family":"Bythell","given":"John C","non-dropping-particle":"","parse-names":false,"suffix":""},{"dropping-particle":"","family":"Craggs","given":"Jamie R","non-dropping-particle":"","parse-names":false,"suffix":""},{"dropping-particle":"","family":"Edwards","given":"Alasdair J","non-dropping-particle":"","parse-names":false,"suffix":""},{"dropping-particle":"","family":"Golbuu","given":"Yimnang","non-dropping-particle":"","parse-names":false,"suffix":""},{"dropping-particle":"","family":"Lachs","given":"Liam","non-dropping-particle":"","parse-names":false,"suffix":""},{"dropping-particle":"","family":"Miller","given":"Margaret W","non-dropping-particle":"","parse-names":false,"suffix":""},{"dropping-particle":"","family":"Randle","given":"Janna L","non-dropping-particle":"","parse-names":false,"suffix":""},{"dropping-particle":"","family":"Guest","given":"James R","non-dropping-particle":"","parse-names":false,"suffix":""}],"container-title":"Coral Reefs","id":"ITEM-1","issued":{"date-parts":[["2025"]]},"publisher":"Springer Berlin Heidelberg","title":"Grazing deterrents improve survival of outplanted juvenile corals","type":"article-journal"},"uris":["http://www.mendeley.com/documents/?uuid=6705e851-fd58-41ca-a933-fb93a408f4dc"]}],"mendeley":{"formattedCitation":"&lt;sup&gt;49&lt;/sup&gt;","plainTextFormattedCitation":"49","previouslyFormattedCitation":"(49)"},"properties":{"noteIndex":0},"schema":"https://github.com/citation-style-language/schema/raw/master/csl-citation.json"}</w:instrText>
      </w:r>
      <w:r>
        <w:fldChar w:fldCharType="separate"/>
      </w:r>
      <w:r w:rsidRPr="00B513B7">
        <w:rPr>
          <w:noProof/>
          <w:vertAlign w:val="superscript"/>
        </w:rPr>
        <w:t>49</w:t>
      </w:r>
      <w:r>
        <w:fldChar w:fldCharType="end"/>
      </w:r>
      <w:r>
        <w:t>, and outplant heat tolerance to that of the previous year’s reproductive colonies (potential broodstock).</w:t>
      </w:r>
    </w:p>
    <w:p w14:paraId="5C4DE67B" w14:textId="77777777" w:rsidR="00066079" w:rsidRPr="00620A46" w:rsidRDefault="00066079" w:rsidP="00066079">
      <w:pPr>
        <w:rPr>
          <w:b/>
          <w:bCs/>
        </w:rPr>
      </w:pPr>
    </w:p>
    <w:p w14:paraId="338FE030" w14:textId="77777777" w:rsidR="00066079" w:rsidRDefault="00066079" w:rsidP="00066079">
      <w:pPr>
        <w:rPr>
          <w:b/>
          <w:bCs/>
        </w:rPr>
      </w:pPr>
      <w:r>
        <w:rPr>
          <w:b/>
          <w:bCs/>
        </w:rPr>
        <w:br w:type="page"/>
      </w:r>
    </w:p>
    <w:p w14:paraId="319873AB" w14:textId="77777777" w:rsidR="00066079" w:rsidRDefault="00066079" w:rsidP="00066079">
      <w:pPr>
        <w:rPr>
          <w:b/>
          <w:bCs/>
        </w:rPr>
      </w:pPr>
      <w:r w:rsidRPr="415B336B">
        <w:rPr>
          <w:b/>
          <w:bCs/>
        </w:rPr>
        <w:lastRenderedPageBreak/>
        <w:t>Supplementary Figures</w:t>
      </w:r>
    </w:p>
    <w:p w14:paraId="409A45FB" w14:textId="77777777" w:rsidR="00066079" w:rsidRDefault="00066079" w:rsidP="00066079">
      <w:r w:rsidRPr="415B336B">
        <w:rPr>
          <w:noProof/>
        </w:rPr>
        <w:t xml:space="preserve"> </w:t>
      </w:r>
      <w:r>
        <w:rPr>
          <w:noProof/>
        </w:rPr>
        <w:drawing>
          <wp:inline distT="0" distB="0" distL="0" distR="0" wp14:anchorId="2D00F8F9" wp14:editId="195C39C2">
            <wp:extent cx="5676595" cy="4111708"/>
            <wp:effectExtent l="0" t="0" r="635" b="3175"/>
            <wp:docPr id="199327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73276" name=""/>
                    <pic:cNvPicPr/>
                  </pic:nvPicPr>
                  <pic:blipFill rotWithShape="1">
                    <a:blip r:embed="rId4"/>
                    <a:srcRect l="6765" r="6952"/>
                    <a:stretch>
                      <a:fillRect/>
                    </a:stretch>
                  </pic:blipFill>
                  <pic:spPr bwMode="auto">
                    <a:xfrm>
                      <a:off x="0" y="0"/>
                      <a:ext cx="5685039" cy="4117825"/>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797B865F" w14:textId="77777777" w:rsidR="00066079" w:rsidRDefault="00066079" w:rsidP="00066079">
      <w:r w:rsidRPr="415B336B">
        <w:rPr>
          <w:b/>
          <w:bCs/>
        </w:rPr>
        <w:t>Figure S1. Differences between hotspot reefs (hot, red) and thermal refugium reefs (ref, blue) in the counterfactual scenario with once-per-decade recurring non-thermal disturbances.</w:t>
      </w:r>
      <w:r>
        <w:t xml:space="preserve"> Results are shown as decadal mean differences (across 10 random simulations) between the two regions (colours) in terms of three metrics. (</w:t>
      </w:r>
      <w:r w:rsidRPr="415B336B">
        <w:rPr>
          <w:b/>
          <w:bCs/>
        </w:rPr>
        <w:t>a</w:t>
      </w:r>
      <w:r>
        <w:t>) Absolute benthic coral coverage. (</w:t>
      </w:r>
      <w:r w:rsidRPr="415B336B">
        <w:rPr>
          <w:b/>
          <w:bCs/>
        </w:rPr>
        <w:t>b</w:t>
      </w:r>
      <w:r>
        <w:t>) The percentage additional coral coverage relative to hotspot levels. For example, the additional ~0.5% areal coverage of corals at refugia compared to hotspots at the end of the 21</w:t>
      </w:r>
      <w:r w:rsidRPr="415B336B">
        <w:rPr>
          <w:vertAlign w:val="superscript"/>
        </w:rPr>
        <w:t>st</w:t>
      </w:r>
      <w:r>
        <w:t xml:space="preserve"> century in SSP2-4.5 (see </w:t>
      </w:r>
      <w:r w:rsidRPr="415B336B">
        <w:rPr>
          <w:b/>
          <w:bCs/>
        </w:rPr>
        <w:t>a</w:t>
      </w:r>
      <w:r>
        <w:t xml:space="preserve">) is equivalent to an additional ~10% in relative terms (see </w:t>
      </w:r>
      <w:r w:rsidRPr="415B336B">
        <w:rPr>
          <w:b/>
          <w:bCs/>
        </w:rPr>
        <w:t>b</w:t>
      </w:r>
      <w:r>
        <w:t>) because absolute coral coverage at hotspots is ~4.5% and at refugia is ~5% (0.5% absolute bonus = 10% relative bonus). (</w:t>
      </w:r>
      <w:r w:rsidRPr="415B336B">
        <w:rPr>
          <w:b/>
          <w:bCs/>
        </w:rPr>
        <w:t>c</w:t>
      </w:r>
      <w:r>
        <w:t>) Heat tolerance. Dashed lines show the reference region with lower values; hotspots for coral coverage (</w:t>
      </w:r>
      <w:r w:rsidRPr="415B336B">
        <w:rPr>
          <w:b/>
          <w:bCs/>
        </w:rPr>
        <w:t>a</w:t>
      </w:r>
      <w:r>
        <w:t>-</w:t>
      </w:r>
      <w:r w:rsidRPr="415B336B">
        <w:rPr>
          <w:b/>
          <w:bCs/>
        </w:rPr>
        <w:t>b</w:t>
      </w:r>
      <w:r>
        <w:t>), and refugia for heat tolerance (</w:t>
      </w:r>
      <w:r w:rsidRPr="415B336B">
        <w:rPr>
          <w:b/>
          <w:bCs/>
        </w:rPr>
        <w:t>c</w:t>
      </w:r>
      <w:r>
        <w:t>). Error bars show standard errors of delta values computed through propagation of standard errors on means.</w:t>
      </w:r>
    </w:p>
    <w:p w14:paraId="12DEE2B3" w14:textId="77777777" w:rsidR="00066079" w:rsidRDefault="00066079" w:rsidP="00066079">
      <w:r>
        <w:br w:type="page"/>
      </w:r>
    </w:p>
    <w:p w14:paraId="0BABADFE" w14:textId="77777777" w:rsidR="00066079" w:rsidRDefault="00066079" w:rsidP="00066079">
      <w:r>
        <w:rPr>
          <w:noProof/>
        </w:rPr>
        <w:lastRenderedPageBreak/>
        <w:drawing>
          <wp:inline distT="0" distB="0" distL="0" distR="0" wp14:anchorId="02207E07" wp14:editId="338F8F03">
            <wp:extent cx="5664200" cy="4092181"/>
            <wp:effectExtent l="0" t="0" r="0" b="3810"/>
            <wp:docPr id="18952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2162" name=""/>
                    <pic:cNvPicPr/>
                  </pic:nvPicPr>
                  <pic:blipFill rotWithShape="1">
                    <a:blip r:embed="rId5"/>
                    <a:srcRect l="6471" r="7024"/>
                    <a:stretch>
                      <a:fillRect/>
                    </a:stretch>
                  </pic:blipFill>
                  <pic:spPr bwMode="auto">
                    <a:xfrm>
                      <a:off x="0" y="0"/>
                      <a:ext cx="5672598" cy="4098248"/>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543EAF41" w14:textId="77777777" w:rsidR="00066079" w:rsidRDefault="00066079" w:rsidP="00066079">
      <w:r w:rsidRPr="415B336B">
        <w:rPr>
          <w:b/>
          <w:bCs/>
        </w:rPr>
        <w:t>Figure S2. System-wide benefits of management strategies (</w:t>
      </w:r>
      <w:r w:rsidRPr="415B336B">
        <w:rPr>
          <w:b/>
          <w:bCs/>
          <w:i/>
          <w:iCs/>
        </w:rPr>
        <w:t>i.e.</w:t>
      </w:r>
      <w:r w:rsidRPr="415B336B">
        <w:rPr>
          <w:b/>
          <w:bCs/>
        </w:rPr>
        <w:t>, protection or restoration) relative to the counterfactual scenario of no management (y=0, black line)</w:t>
      </w:r>
      <w:r>
        <w:t>. Time series are shown for delta values of coral coverage (</w:t>
      </w:r>
      <w:r w:rsidRPr="415B336B">
        <w:rPr>
          <w:b/>
          <w:bCs/>
        </w:rPr>
        <w:t>a</w:t>
      </w:r>
      <w:r>
        <w:t>) and heat tolerance (</w:t>
      </w:r>
      <w:r w:rsidRPr="415B336B">
        <w:rPr>
          <w:b/>
          <w:bCs/>
        </w:rPr>
        <w:t>b</w:t>
      </w:r>
      <w:r>
        <w:t xml:space="preserve">) as a function of management type and emissions scenario. Temporally fixed strategies (hotspot-only, refugia-only, random reef portfolio) and temporally shifting strategies (Ref2Hot, moving from early focus on refugia to later focus on hotspots) are shown. Lines represent decadal means across Global Climate </w:t>
      </w:r>
      <w:proofErr w:type="gramStart"/>
      <w:r>
        <w:t>Models</w:t>
      </w:r>
      <w:proofErr w:type="gramEnd"/>
      <w:r>
        <w:t xml:space="preserve"> and 10 random simulation runs for once-per-decade disturbances. </w:t>
      </w:r>
    </w:p>
    <w:p w14:paraId="03D6437B" w14:textId="77777777" w:rsidR="00066079" w:rsidRDefault="00066079" w:rsidP="00066079">
      <w:r>
        <w:br w:type="page"/>
      </w:r>
    </w:p>
    <w:p w14:paraId="4DE78A9E" w14:textId="77777777" w:rsidR="00066079" w:rsidRDefault="00066079" w:rsidP="00066079"/>
    <w:p w14:paraId="46BDAD6F" w14:textId="77777777" w:rsidR="00066079" w:rsidRDefault="00066079" w:rsidP="00066079">
      <w:r>
        <w:rPr>
          <w:noProof/>
        </w:rPr>
        <w:drawing>
          <wp:inline distT="0" distB="0" distL="0" distR="0" wp14:anchorId="256E2FF9" wp14:editId="0F3331AF">
            <wp:extent cx="5675791" cy="4003964"/>
            <wp:effectExtent l="0" t="0" r="1270" b="0"/>
            <wp:docPr id="1693763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58614" name=""/>
                    <pic:cNvPicPr/>
                  </pic:nvPicPr>
                  <pic:blipFill rotWithShape="1">
                    <a:blip r:embed="rId6"/>
                    <a:srcRect l="5681" r="5727"/>
                    <a:stretch>
                      <a:fillRect/>
                    </a:stretch>
                  </pic:blipFill>
                  <pic:spPr bwMode="auto">
                    <a:xfrm>
                      <a:off x="0" y="0"/>
                      <a:ext cx="5685091" cy="4010524"/>
                    </a:xfrm>
                    <a:prstGeom prst="rect">
                      <a:avLst/>
                    </a:prstGeom>
                    <a:ln>
                      <a:noFill/>
                    </a:ln>
                    <a:extLst>
                      <a:ext uri="{53640926-AAD7-44D8-BBD7-CCE9431645EC}">
                        <a14:shadowObscured xmlns:a14="http://schemas.microsoft.com/office/drawing/2010/main"/>
                      </a:ext>
                    </a:extLst>
                  </pic:spPr>
                </pic:pic>
              </a:graphicData>
            </a:graphic>
          </wp:inline>
        </w:drawing>
      </w:r>
    </w:p>
    <w:p w14:paraId="75B35396" w14:textId="77777777" w:rsidR="00066079" w:rsidRDefault="00066079" w:rsidP="00066079">
      <w:pPr>
        <w:rPr>
          <w:noProof/>
        </w:rPr>
      </w:pPr>
      <w:r w:rsidRPr="415B336B">
        <w:rPr>
          <w:b/>
          <w:bCs/>
          <w:noProof/>
        </w:rPr>
        <w:t>Figure S3.</w:t>
      </w:r>
      <w:r w:rsidRPr="415B336B">
        <w:rPr>
          <w:noProof/>
        </w:rPr>
        <w:t xml:space="preserve"> </w:t>
      </w:r>
      <w:r w:rsidRPr="415B336B">
        <w:rPr>
          <w:b/>
          <w:bCs/>
          <w:noProof/>
        </w:rPr>
        <w:t xml:space="preserve">Local benefits in coral coverage at target locations. </w:t>
      </w:r>
      <w:r w:rsidRPr="415B336B">
        <w:rPr>
          <w:noProof/>
        </w:rPr>
        <w:t>Results are shown for protection (</w:t>
      </w:r>
      <w:r w:rsidRPr="415B336B">
        <w:rPr>
          <w:b/>
          <w:bCs/>
          <w:noProof/>
        </w:rPr>
        <w:t>a</w:t>
      </w:r>
      <w:r w:rsidRPr="415B336B">
        <w:rPr>
          <w:noProof/>
        </w:rPr>
        <w:t>,</w:t>
      </w:r>
      <w:r w:rsidRPr="415B336B">
        <w:rPr>
          <w:b/>
          <w:bCs/>
          <w:noProof/>
        </w:rPr>
        <w:t>c</w:t>
      </w:r>
      <w:r w:rsidRPr="415B336B">
        <w:rPr>
          <w:noProof/>
        </w:rPr>
        <w:t>) and restoration (</w:t>
      </w:r>
      <w:r w:rsidRPr="415B336B">
        <w:rPr>
          <w:b/>
          <w:bCs/>
          <w:noProof/>
        </w:rPr>
        <w:t>b</w:t>
      </w:r>
      <w:r w:rsidRPr="415B336B">
        <w:rPr>
          <w:noProof/>
        </w:rPr>
        <w:t>,</w:t>
      </w:r>
      <w:r w:rsidRPr="415B336B">
        <w:rPr>
          <w:b/>
          <w:bCs/>
          <w:noProof/>
        </w:rPr>
        <w:t>d</w:t>
      </w:r>
      <w:r w:rsidRPr="415B336B">
        <w:rPr>
          <w:noProof/>
        </w:rPr>
        <w:t>) under SSP1-2.6 (</w:t>
      </w:r>
      <w:r w:rsidRPr="415B336B">
        <w:rPr>
          <w:b/>
          <w:bCs/>
          <w:noProof/>
        </w:rPr>
        <w:t>a</w:t>
      </w:r>
      <w:r w:rsidRPr="415B336B">
        <w:rPr>
          <w:noProof/>
        </w:rPr>
        <w:t>-</w:t>
      </w:r>
      <w:r w:rsidRPr="415B336B">
        <w:rPr>
          <w:b/>
          <w:bCs/>
          <w:noProof/>
        </w:rPr>
        <w:t>b</w:t>
      </w:r>
      <w:r w:rsidRPr="415B336B">
        <w:rPr>
          <w:noProof/>
        </w:rPr>
        <w:t>) and SSP2-4.5 (</w:t>
      </w:r>
      <w:r w:rsidRPr="415B336B">
        <w:rPr>
          <w:b/>
          <w:bCs/>
          <w:noProof/>
        </w:rPr>
        <w:t>c</w:t>
      </w:r>
      <w:r w:rsidRPr="415B336B">
        <w:rPr>
          <w:noProof/>
        </w:rPr>
        <w:t>-</w:t>
      </w:r>
      <w:r w:rsidRPr="415B336B">
        <w:rPr>
          <w:b/>
          <w:bCs/>
          <w:noProof/>
        </w:rPr>
        <w:t>d</w:t>
      </w:r>
      <w:r w:rsidRPr="415B336B">
        <w:rPr>
          <w:noProof/>
        </w:rPr>
        <w:t>)</w:t>
      </w:r>
      <w:r>
        <w:rPr>
          <w:noProof/>
        </w:rPr>
        <w:t xml:space="preserve"> for a single simulation under heatwave forcing from the MIROC6 GCM</w:t>
      </w:r>
      <w:r w:rsidRPr="415B336B">
        <w:rPr>
          <w:noProof/>
        </w:rPr>
        <w:t>. Upper panels show coral coverage at target locations, in other words, at hotspots for hotspot-focussed strategies (red) and at refugia for refuge-focussed strategies (blue), as the mean (solid line) and standard deviation (shading) from the management scenario and as the mean of the counterfactual without management (dashed line). Lower panels show the coral coverage benefit of management in terms of the mean (line) and the 25</w:t>
      </w:r>
      <w:r w:rsidRPr="415B336B">
        <w:rPr>
          <w:noProof/>
          <w:vertAlign w:val="superscript"/>
        </w:rPr>
        <w:t>th</w:t>
      </w:r>
      <w:r w:rsidRPr="415B336B">
        <w:rPr>
          <w:noProof/>
        </w:rPr>
        <w:t xml:space="preserve"> to 75</w:t>
      </w:r>
      <w:r w:rsidRPr="415B336B">
        <w:rPr>
          <w:noProof/>
          <w:vertAlign w:val="superscript"/>
        </w:rPr>
        <w:t>th</w:t>
      </w:r>
      <w:r w:rsidRPr="415B336B">
        <w:rPr>
          <w:noProof/>
        </w:rPr>
        <w:t xml:space="preserve"> percentiles (shading) for each of the target regions (colour). This benefit is relative to the counterfacual (CF) of no management (dashed black line, y=0).</w:t>
      </w:r>
    </w:p>
    <w:p w14:paraId="7B9AA0A4" w14:textId="77777777" w:rsidR="00066079" w:rsidRDefault="00066079" w:rsidP="00066079">
      <w:r>
        <w:br w:type="page"/>
      </w:r>
    </w:p>
    <w:p w14:paraId="7611BD38" w14:textId="77777777" w:rsidR="00066079" w:rsidRDefault="00066079" w:rsidP="00066079">
      <w:r w:rsidRPr="415B336B">
        <w:rPr>
          <w:noProof/>
        </w:rPr>
        <w:lastRenderedPageBreak/>
        <w:t xml:space="preserve"> </w:t>
      </w:r>
      <w:r>
        <w:rPr>
          <w:noProof/>
        </w:rPr>
        <w:drawing>
          <wp:inline distT="0" distB="0" distL="0" distR="0" wp14:anchorId="3A05D254" wp14:editId="0C62AC7F">
            <wp:extent cx="5670644" cy="4066030"/>
            <wp:effectExtent l="0" t="0" r="6350" b="0"/>
            <wp:docPr id="98261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615074" name=""/>
                    <pic:cNvPicPr/>
                  </pic:nvPicPr>
                  <pic:blipFill rotWithShape="1">
                    <a:blip r:embed="rId7"/>
                    <a:srcRect l="6549" r="6291"/>
                    <a:stretch>
                      <a:fillRect/>
                    </a:stretch>
                  </pic:blipFill>
                  <pic:spPr bwMode="auto">
                    <a:xfrm>
                      <a:off x="0" y="0"/>
                      <a:ext cx="5679549" cy="4072415"/>
                    </a:xfrm>
                    <a:prstGeom prst="rect">
                      <a:avLst/>
                    </a:prstGeom>
                    <a:ln>
                      <a:noFill/>
                    </a:ln>
                    <a:extLst>
                      <a:ext uri="{53640926-AAD7-44D8-BBD7-CCE9431645EC}">
                        <a14:shadowObscured xmlns:a14="http://schemas.microsoft.com/office/drawing/2010/main"/>
                      </a:ext>
                    </a:extLst>
                  </pic:spPr>
                </pic:pic>
              </a:graphicData>
            </a:graphic>
          </wp:inline>
        </w:drawing>
      </w:r>
    </w:p>
    <w:p w14:paraId="2195011C" w14:textId="77777777" w:rsidR="00066079" w:rsidRDefault="00066079" w:rsidP="00066079">
      <w:r w:rsidRPr="415B336B">
        <w:rPr>
          <w:b/>
          <w:bCs/>
        </w:rPr>
        <w:t>Figure S4. System-wide and regional coral losses due to heatwave-induced mortality with simulated protection or restoration at hotspots or thermal refugia (bold or dashed lines) under the higher-level warming scenario SSP2-4.5.</w:t>
      </w:r>
      <w:r>
        <w:t xml:space="preserve"> (</w:t>
      </w:r>
      <w:r w:rsidRPr="415B336B">
        <w:rPr>
          <w:b/>
          <w:bCs/>
        </w:rPr>
        <w:t>a</w:t>
      </w:r>
      <w:r>
        <w:t>) Mean proportion of a reef’s coral coverage lost due to heatwave-mediated bleaching mortality for all of Palau (black line) and for the subsets of reefs falling into different heat stress regimes (coloured lines): hotspots, moderately heat-exposed reefs and thermal refugia. (</w:t>
      </w:r>
      <w:r w:rsidRPr="415B336B">
        <w:rPr>
          <w:b/>
          <w:bCs/>
        </w:rPr>
        <w:t>b</w:t>
      </w:r>
      <w:r>
        <w:t xml:space="preserve">) Corresponding decadal progression of heat tolerance benefits relative to a counterfactual scenario of no intervention shown as delta values, ∆X = </w:t>
      </w:r>
      <w:proofErr w:type="spellStart"/>
      <w:r>
        <w:t>X</w:t>
      </w:r>
      <w:r w:rsidRPr="415B336B">
        <w:rPr>
          <w:vertAlign w:val="subscript"/>
        </w:rPr>
        <w:t>Strategy</w:t>
      </w:r>
      <w:proofErr w:type="spellEnd"/>
      <w:r>
        <w:t xml:space="preserve"> – </w:t>
      </w:r>
      <w:proofErr w:type="spellStart"/>
      <w:r>
        <w:t>X</w:t>
      </w:r>
      <w:r w:rsidRPr="415B336B">
        <w:rPr>
          <w:vertAlign w:val="subscript"/>
        </w:rPr>
        <w:t>Counterfactual</w:t>
      </w:r>
      <w:proofErr w:type="spellEnd"/>
      <w:r>
        <w:t xml:space="preserve">). System-wide proportional coral losses due to heat stress are lessened when restoration focusses on hotspots rather than thermal refugia, in part due to elevated heat tolerance. Lines represent decadal means across </w:t>
      </w:r>
      <w:proofErr w:type="gramStart"/>
      <w:r>
        <w:t>GCMs</w:t>
      </w:r>
      <w:proofErr w:type="gramEnd"/>
      <w:r>
        <w:t xml:space="preserve"> and 10 random simulation runs for once-per-decade disturbances.</w:t>
      </w:r>
    </w:p>
    <w:p w14:paraId="6C585B12" w14:textId="77777777" w:rsidR="00066079" w:rsidRDefault="00066079" w:rsidP="00066079">
      <w:r>
        <w:br w:type="page"/>
      </w:r>
    </w:p>
    <w:p w14:paraId="14AAC1D2" w14:textId="77777777" w:rsidR="00066079" w:rsidRDefault="00066079" w:rsidP="00066079">
      <w:r>
        <w:rPr>
          <w:noProof/>
        </w:rPr>
        <w:lastRenderedPageBreak/>
        <w:drawing>
          <wp:inline distT="0" distB="0" distL="0" distR="0" wp14:anchorId="40803EA8" wp14:editId="12F0878E">
            <wp:extent cx="5679440" cy="4137102"/>
            <wp:effectExtent l="0" t="0" r="0" b="0"/>
            <wp:docPr id="76310472" name="Picture 1" descr="A graph of a graph and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10472" name="Picture 1" descr="A graph of a graph and a graph of a graph&#10;&#10;AI-generated content may be incorrect."/>
                    <pic:cNvPicPr/>
                  </pic:nvPicPr>
                  <pic:blipFill rotWithShape="1">
                    <a:blip r:embed="rId8"/>
                    <a:srcRect l="6292" r="7910"/>
                    <a:stretch>
                      <a:fillRect/>
                    </a:stretch>
                  </pic:blipFill>
                  <pic:spPr bwMode="auto">
                    <a:xfrm>
                      <a:off x="0" y="0"/>
                      <a:ext cx="5682243" cy="4139144"/>
                    </a:xfrm>
                    <a:prstGeom prst="rect">
                      <a:avLst/>
                    </a:prstGeom>
                    <a:ln>
                      <a:noFill/>
                    </a:ln>
                    <a:extLst>
                      <a:ext uri="{53640926-AAD7-44D8-BBD7-CCE9431645EC}">
                        <a14:shadowObscured xmlns:a14="http://schemas.microsoft.com/office/drawing/2010/main"/>
                      </a:ext>
                    </a:extLst>
                  </pic:spPr>
                </pic:pic>
              </a:graphicData>
            </a:graphic>
          </wp:inline>
        </w:drawing>
      </w:r>
    </w:p>
    <w:p w14:paraId="75DA4790" w14:textId="77777777" w:rsidR="00066079" w:rsidRDefault="00066079" w:rsidP="00066079">
      <w:r w:rsidRPr="415B336B">
        <w:rPr>
          <w:b/>
          <w:bCs/>
        </w:rPr>
        <w:t>Figure S5.</w:t>
      </w:r>
      <w:r>
        <w:t xml:space="preserve"> </w:t>
      </w:r>
      <w:r w:rsidRPr="415B336B">
        <w:rPr>
          <w:b/>
          <w:bCs/>
        </w:rPr>
        <w:t>Heat stress and stress to tolerance ratio under SSP2-4.5.</w:t>
      </w:r>
      <w:r>
        <w:t xml:space="preserve"> (</w:t>
      </w:r>
      <w:r w:rsidRPr="415B336B">
        <w:rPr>
          <w:b/>
          <w:bCs/>
        </w:rPr>
        <w:t>a</w:t>
      </w:r>
      <w:r>
        <w:t xml:space="preserve">) Timeseries of annual maximum DHW heat stress is shown for each reef and GCM (grey lines) and the ensemble decadal mean (black line). The decadal mean system-wide heat tolerance of corals for protection and restoration scenarios focussing on hotspots and refugia (blue and red solid and dashed lines) are also shown in </w:t>
      </w:r>
      <w:r w:rsidRPr="415B336B">
        <w:rPr>
          <w:b/>
          <w:bCs/>
        </w:rPr>
        <w:t>a</w:t>
      </w:r>
      <w:r>
        <w:t>. Note overlapping lines, so earlier years appear blue. (</w:t>
      </w:r>
      <w:r w:rsidRPr="415B336B">
        <w:rPr>
          <w:b/>
          <w:bCs/>
        </w:rPr>
        <w:t>b</w:t>
      </w:r>
      <w:r>
        <w:t>) The heat stress to heat tolerance ratio is given as decadal means for each reef management scenario. Values less than one are for cases where heat stress is less than heat tolerance and values greater than one are when heat stress exceeds levels of tolerance.</w:t>
      </w:r>
    </w:p>
    <w:p w14:paraId="51F85AF2" w14:textId="77777777" w:rsidR="00066079" w:rsidRDefault="00066079" w:rsidP="00066079"/>
    <w:p w14:paraId="3FC5C4AA" w14:textId="77777777" w:rsidR="00066079" w:rsidRDefault="00066079" w:rsidP="00066079">
      <w:r>
        <w:br w:type="page"/>
      </w:r>
    </w:p>
    <w:p w14:paraId="211683ED" w14:textId="77777777" w:rsidR="00066079" w:rsidRDefault="00066079" w:rsidP="00066079">
      <w:r>
        <w:rPr>
          <w:noProof/>
        </w:rPr>
        <w:lastRenderedPageBreak/>
        <w:drawing>
          <wp:inline distT="0" distB="0" distL="0" distR="0" wp14:anchorId="308D01DE" wp14:editId="2C8D6CBA">
            <wp:extent cx="5731510" cy="2803071"/>
            <wp:effectExtent l="0" t="0" r="2540" b="0"/>
            <wp:docPr id="1478858728" name="Picture 1" descr="A collage of graphs and diagr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58728" name="Picture 1" descr="A collage of graphs and diagrams&#10;&#10;AI-generated content may be incorrect."/>
                    <pic:cNvPicPr/>
                  </pic:nvPicPr>
                  <pic:blipFill rotWithShape="1">
                    <a:blip r:embed="rId9"/>
                    <a:srcRect t="10636" b="11110"/>
                    <a:stretch>
                      <a:fillRect/>
                    </a:stretch>
                  </pic:blipFill>
                  <pic:spPr bwMode="auto">
                    <a:xfrm>
                      <a:off x="0" y="0"/>
                      <a:ext cx="5731510" cy="2803071"/>
                    </a:xfrm>
                    <a:prstGeom prst="rect">
                      <a:avLst/>
                    </a:prstGeom>
                    <a:ln>
                      <a:noFill/>
                    </a:ln>
                    <a:extLst>
                      <a:ext uri="{53640926-AAD7-44D8-BBD7-CCE9431645EC}">
                        <a14:shadowObscured xmlns:a14="http://schemas.microsoft.com/office/drawing/2010/main"/>
                      </a:ext>
                    </a:extLst>
                  </pic:spPr>
                </pic:pic>
              </a:graphicData>
            </a:graphic>
          </wp:inline>
        </w:drawing>
      </w:r>
    </w:p>
    <w:p w14:paraId="77CFF096" w14:textId="77777777" w:rsidR="00066079" w:rsidRDefault="00066079" w:rsidP="00066079">
      <w:r w:rsidRPr="415B336B">
        <w:rPr>
          <w:b/>
          <w:bCs/>
        </w:rPr>
        <w:t>Figure S6. Comparison of the native dispersal regime with and low dispersal regime designed to mimic a larger reef network with reduced dispersal by distance.</w:t>
      </w:r>
      <w:r>
        <w:t xml:space="preserve"> (</w:t>
      </w:r>
      <w:r w:rsidRPr="415B336B">
        <w:rPr>
          <w:b/>
          <w:bCs/>
        </w:rPr>
        <w:t>a-b</w:t>
      </w:r>
      <w:r>
        <w:t>) Connectivity probabilities across all twelve connectivity matrices and sites are shown as a function of pairwise distance for the Palau dispersal regime (</w:t>
      </w:r>
      <w:r w:rsidRPr="415B336B">
        <w:rPr>
          <w:b/>
          <w:bCs/>
        </w:rPr>
        <w:t>a</w:t>
      </w:r>
      <w:r>
        <w:t>) and the large-scale dispersal regime (</w:t>
      </w:r>
      <w:r w:rsidRPr="415B336B">
        <w:rPr>
          <w:b/>
          <w:bCs/>
        </w:rPr>
        <w:t>b</w:t>
      </w:r>
      <w:r>
        <w:t>), coloured by data density. (</w:t>
      </w:r>
      <w:r w:rsidRPr="415B336B">
        <w:rPr>
          <w:b/>
          <w:bCs/>
        </w:rPr>
        <w:t>c-d</w:t>
      </w:r>
      <w:r>
        <w:t>) Comparisons of connectivity within the same heat stress regime (</w:t>
      </w:r>
      <w:r w:rsidRPr="415B336B">
        <w:rPr>
          <w:i/>
          <w:iCs/>
        </w:rPr>
        <w:t>i.e.</w:t>
      </w:r>
      <w:r>
        <w:t>, hotspot to hotspot or thermal refugium to thermal refugium) and among different heat stress regimes (</w:t>
      </w:r>
      <w:r w:rsidRPr="415B336B">
        <w:rPr>
          <w:i/>
          <w:iCs/>
        </w:rPr>
        <w:t>i.e.</w:t>
      </w:r>
      <w:r>
        <w:t>, hotspot to refugium or refugium to hotspot) are shown for both dispersal regimes (grey and black). Variables shown are the mean connectivity probability and 95% confidence intervals (c) and the number of strong connections (P&gt;0.3, the 90</w:t>
      </w:r>
      <w:r w:rsidRPr="415B336B">
        <w:rPr>
          <w:vertAlign w:val="superscript"/>
        </w:rPr>
        <w:t>th</w:t>
      </w:r>
      <w:r>
        <w:t xml:space="preserve"> percentile) per dispersal simulation (d).</w:t>
      </w:r>
    </w:p>
    <w:p w14:paraId="7F4DB45B" w14:textId="77777777" w:rsidR="00066079" w:rsidRDefault="00066079" w:rsidP="00066079">
      <w:r>
        <w:rPr>
          <w:noProof/>
        </w:rPr>
        <w:lastRenderedPageBreak/>
        <w:drawing>
          <wp:inline distT="0" distB="0" distL="0" distR="0" wp14:anchorId="4890F58F" wp14:editId="7C294E8E">
            <wp:extent cx="5666375" cy="4620986"/>
            <wp:effectExtent l="0" t="0" r="0" b="8255"/>
            <wp:docPr id="1625143121" name="Picture 1"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43121" name="Picture 1" descr="A graph of different types of data&#10;&#10;AI-generated content may be incorrect."/>
                    <pic:cNvPicPr/>
                  </pic:nvPicPr>
                  <pic:blipFill rotWithShape="1">
                    <a:blip r:embed="rId10"/>
                    <a:srcRect l="11776" r="11589"/>
                    <a:stretch>
                      <a:fillRect/>
                    </a:stretch>
                  </pic:blipFill>
                  <pic:spPr bwMode="auto">
                    <a:xfrm>
                      <a:off x="0" y="0"/>
                      <a:ext cx="5677042" cy="4629685"/>
                    </a:xfrm>
                    <a:prstGeom prst="rect">
                      <a:avLst/>
                    </a:prstGeom>
                    <a:ln>
                      <a:noFill/>
                    </a:ln>
                    <a:extLst>
                      <a:ext uri="{53640926-AAD7-44D8-BBD7-CCE9431645EC}">
                        <a14:shadowObscured xmlns:a14="http://schemas.microsoft.com/office/drawing/2010/main"/>
                      </a:ext>
                    </a:extLst>
                  </pic:spPr>
                </pic:pic>
              </a:graphicData>
            </a:graphic>
          </wp:inline>
        </w:drawing>
      </w:r>
    </w:p>
    <w:p w14:paraId="630D0FA7" w14:textId="77777777" w:rsidR="00066079" w:rsidRDefault="00066079" w:rsidP="00066079">
      <w:r w:rsidRPr="415B336B">
        <w:rPr>
          <w:b/>
          <w:bCs/>
        </w:rPr>
        <w:t xml:space="preserve">Figure S7. Comparison of hotspot and thermal refugia-focussed strategies to reef management under a large-dispersal network scenario. </w:t>
      </w:r>
      <w:r>
        <w:t>The low dispersal regime is that shown in Fig. S6, with reduced larval connections among heat stress regimes, as would be the case over reef systems that exist over larger spatial scales. Interpretation of axes and colours are the same as in Fig. 3.</w:t>
      </w:r>
    </w:p>
    <w:p w14:paraId="071E589B" w14:textId="77777777" w:rsidR="00066079" w:rsidRDefault="00066079" w:rsidP="00066079">
      <w:r>
        <w:rPr>
          <w:noProof/>
        </w:rPr>
        <w:lastRenderedPageBreak/>
        <w:drawing>
          <wp:inline distT="0" distB="0" distL="0" distR="0" wp14:anchorId="57B79518" wp14:editId="38DFAF22">
            <wp:extent cx="5715000" cy="4791664"/>
            <wp:effectExtent l="0" t="0" r="0" b="9525"/>
            <wp:docPr id="1022362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580838" name=""/>
                    <pic:cNvPicPr/>
                  </pic:nvPicPr>
                  <pic:blipFill rotWithShape="1">
                    <a:blip r:embed="rId11"/>
                    <a:srcRect l="12675" r="12785"/>
                    <a:stretch>
                      <a:fillRect/>
                    </a:stretch>
                  </pic:blipFill>
                  <pic:spPr bwMode="auto">
                    <a:xfrm>
                      <a:off x="0" y="0"/>
                      <a:ext cx="5721162" cy="4796831"/>
                    </a:xfrm>
                    <a:prstGeom prst="rect">
                      <a:avLst/>
                    </a:prstGeom>
                    <a:ln>
                      <a:noFill/>
                    </a:ln>
                    <a:extLst>
                      <a:ext uri="{53640926-AAD7-44D8-BBD7-CCE9431645EC}">
                        <a14:shadowObscured xmlns:a14="http://schemas.microsoft.com/office/drawing/2010/main"/>
                      </a:ext>
                    </a:extLst>
                  </pic:spPr>
                </pic:pic>
              </a:graphicData>
            </a:graphic>
          </wp:inline>
        </w:drawing>
      </w:r>
      <w:r w:rsidRPr="415B336B">
        <w:rPr>
          <w:b/>
          <w:bCs/>
        </w:rPr>
        <w:t>Figure S8. Influence of DHW gradient strength on outcomes.</w:t>
      </w:r>
      <w:r>
        <w:t xml:space="preserve"> (</w:t>
      </w:r>
      <w:r w:rsidRPr="415B336B">
        <w:rPr>
          <w:b/>
          <w:bCs/>
        </w:rPr>
        <w:t>a</w:t>
      </w:r>
      <w:r>
        <w:t>) System-wide mean coral coverage under two SSPs, depending on the DHW gradient strength (grey shading), ranging from x1 (native) to a fivefold spatial DHW gradient (x5), with the range of spatial DHW anomalies given in brackets. (</w:t>
      </w:r>
      <w:r w:rsidRPr="415B336B">
        <w:rPr>
          <w:b/>
          <w:bCs/>
        </w:rPr>
        <w:t>b</w:t>
      </w:r>
      <w:r>
        <w:t>) The among-reef variability in coral coverage, expressed as the absolute difference between the 5</w:t>
      </w:r>
      <w:r w:rsidRPr="415B336B">
        <w:rPr>
          <w:vertAlign w:val="superscript"/>
        </w:rPr>
        <w:t>th</w:t>
      </w:r>
      <w:r>
        <w:t xml:space="preserve"> and the 95</w:t>
      </w:r>
      <w:r w:rsidRPr="415B336B">
        <w:rPr>
          <w:vertAlign w:val="superscript"/>
        </w:rPr>
        <w:t>th</w:t>
      </w:r>
      <w:r>
        <w:t xml:space="preserve"> percentiles of coral coverage by year. As expected, coral coverage variability among reefs is greater when the spatial DHW gradient is greater (e.g., pale grey). (</w:t>
      </w:r>
      <w:r w:rsidRPr="415B336B">
        <w:rPr>
          <w:b/>
          <w:bCs/>
        </w:rPr>
        <w:t>c</w:t>
      </w:r>
      <w:r>
        <w:t>) The difference between hotspots and thermal refugia (delta values) of each conservation scenario’s relative coral coverage benefits (relative to the counterfactual, i.e., coverage with management minus coverage without management).</w:t>
      </w:r>
    </w:p>
    <w:p w14:paraId="3239EB1B" w14:textId="77777777" w:rsidR="00066079" w:rsidRDefault="00066079" w:rsidP="00066079">
      <w:r>
        <w:br w:type="page"/>
      </w:r>
    </w:p>
    <w:p w14:paraId="72FD3882" w14:textId="77777777" w:rsidR="00066079" w:rsidRDefault="00066079" w:rsidP="00066079">
      <w:r>
        <w:rPr>
          <w:noProof/>
        </w:rPr>
        <w:lastRenderedPageBreak/>
        <w:drawing>
          <wp:inline distT="0" distB="0" distL="0" distR="0" wp14:anchorId="784E7707" wp14:editId="753932EA">
            <wp:extent cx="5699480" cy="4110037"/>
            <wp:effectExtent l="0" t="0" r="0" b="5080"/>
            <wp:docPr id="239236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664045" name=""/>
                    <pic:cNvPicPr/>
                  </pic:nvPicPr>
                  <pic:blipFill rotWithShape="1">
                    <a:blip r:embed="rId12"/>
                    <a:srcRect l="6564" r="6769"/>
                    <a:stretch>
                      <a:fillRect/>
                    </a:stretch>
                  </pic:blipFill>
                  <pic:spPr bwMode="auto">
                    <a:xfrm>
                      <a:off x="0" y="0"/>
                      <a:ext cx="5707528" cy="4115840"/>
                    </a:xfrm>
                    <a:prstGeom prst="rect">
                      <a:avLst/>
                    </a:prstGeom>
                    <a:ln>
                      <a:noFill/>
                    </a:ln>
                    <a:extLst>
                      <a:ext uri="{53640926-AAD7-44D8-BBD7-CCE9431645EC}">
                        <a14:shadowObscured xmlns:a14="http://schemas.microsoft.com/office/drawing/2010/main"/>
                      </a:ext>
                    </a:extLst>
                  </pic:spPr>
                </pic:pic>
              </a:graphicData>
            </a:graphic>
          </wp:inline>
        </w:drawing>
      </w:r>
      <w:r w:rsidRPr="415B336B">
        <w:rPr>
          <w:b/>
          <w:bCs/>
        </w:rPr>
        <w:t>Figure S9. Timeseries of coral coverage and heat tolerance depending on the strength of the DHW gradient.</w:t>
      </w:r>
      <w:r>
        <w:t xml:space="preserve"> (</w:t>
      </w:r>
      <w:r w:rsidRPr="415B336B">
        <w:rPr>
          <w:b/>
          <w:bCs/>
        </w:rPr>
        <w:t>a</w:t>
      </w:r>
      <w:r>
        <w:t>) coral coverage and (</w:t>
      </w:r>
      <w:r w:rsidRPr="415B336B">
        <w:rPr>
          <w:b/>
          <w:bCs/>
        </w:rPr>
        <w:t>b</w:t>
      </w:r>
      <w:r>
        <w:t>) heat tolerance benefits in management scenarios (coloured lines) are shown relative to the counterfactual of no management (black line). Trajectories are coloured depending on the target region for management, either hotspots (red) or thermal refugia (blue), with paleness representing the strength of the DHW gradient, from x1 (the native gradient with DHW anomaly range among sites = 2.1 °C-weeks) to x5 (a five-fold stronger DHW anomaly gradient with range among sites of 10.4 °C-weeks).</w:t>
      </w:r>
    </w:p>
    <w:p w14:paraId="776DBAED" w14:textId="77777777" w:rsidR="00066079" w:rsidRDefault="00066079" w:rsidP="00066079">
      <w:r>
        <w:br w:type="page"/>
      </w:r>
    </w:p>
    <w:p w14:paraId="47A8FEEC" w14:textId="77777777" w:rsidR="00066079" w:rsidRDefault="00066079" w:rsidP="00066079">
      <w:r>
        <w:rPr>
          <w:noProof/>
        </w:rPr>
        <w:lastRenderedPageBreak/>
        <w:drawing>
          <wp:inline distT="0" distB="0" distL="0" distR="0" wp14:anchorId="2E632016" wp14:editId="2BD2C72E">
            <wp:extent cx="5715162" cy="5760965"/>
            <wp:effectExtent l="0" t="0" r="0" b="0"/>
            <wp:docPr id="1988519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519534" name="Picture 1988519534"/>
                    <pic:cNvPicPr/>
                  </pic:nvPicPr>
                  <pic:blipFill>
                    <a:blip r:embed="rId13">
                      <a:extLst>
                        <a:ext uri="{28A0092B-C50C-407E-A947-70E740481C1C}">
                          <a14:useLocalDpi xmlns:a14="http://schemas.microsoft.com/office/drawing/2010/main"/>
                        </a:ext>
                      </a:extLst>
                    </a:blip>
                    <a:srcRect l="19134" r="18801"/>
                    <a:stretch>
                      <a:fillRect/>
                    </a:stretch>
                  </pic:blipFill>
                  <pic:spPr>
                    <a:xfrm>
                      <a:off x="0" y="0"/>
                      <a:ext cx="5715162" cy="5760965"/>
                    </a:xfrm>
                    <a:prstGeom prst="rect">
                      <a:avLst/>
                    </a:prstGeom>
                  </pic:spPr>
                </pic:pic>
              </a:graphicData>
            </a:graphic>
          </wp:inline>
        </w:drawing>
      </w:r>
    </w:p>
    <w:p w14:paraId="39488212" w14:textId="77777777" w:rsidR="00066079" w:rsidRDefault="00066079" w:rsidP="00066079">
      <w:r w:rsidRPr="415B336B">
        <w:rPr>
          <w:b/>
          <w:bCs/>
        </w:rPr>
        <w:t>Figure S10. Time-series comparison of spatial and spatiotemporal strategies toward restoration under a high emissions future (SSP2-4.5).</w:t>
      </w:r>
      <w:r>
        <w:t xml:space="preserve"> These include temporally fixed strategies to target hotspots (red, </w:t>
      </w:r>
      <w:r w:rsidRPr="415B336B">
        <w:rPr>
          <w:i/>
          <w:iCs/>
        </w:rPr>
        <w:t xml:space="preserve">c.f. </w:t>
      </w:r>
      <w:r>
        <w:t xml:space="preserve">Fig. 3), thermal refugia (blue, </w:t>
      </w:r>
      <w:r w:rsidRPr="415B336B">
        <w:rPr>
          <w:i/>
          <w:iCs/>
        </w:rPr>
        <w:t>c.f.</w:t>
      </w:r>
      <w:r>
        <w:t xml:space="preserve"> Fig. 3), or random reefs (grey), and temporally shifting strategies (Ref2Hot, purple) with restoration efforts first focusing on thermal refugia before gradually transitioning to hotspots over a single decade period. Different versions of Ref2Hot scenarios are tested, each with a different decade of transition (purple hue). These spatiotemporal strategies test the ability to address the near-term losses resulting from targeting restoration at hotspots rather than thermal refugia in SSP2-4.5 (</w:t>
      </w:r>
      <w:r w:rsidRPr="415B336B">
        <w:rPr>
          <w:i/>
          <w:iCs/>
        </w:rPr>
        <w:t>c.f.</w:t>
      </w:r>
      <w:r>
        <w:t xml:space="preserve"> Fig. 3b). Each restoration strategy is compared to a purely hotspot reef-focussed approach in terms of coral coverage and heat tolerance (red), shown together (</w:t>
      </w:r>
      <w:r w:rsidRPr="415B336B">
        <w:rPr>
          <w:b/>
          <w:bCs/>
        </w:rPr>
        <w:t>a</w:t>
      </w:r>
      <w:r>
        <w:t>) and independently (</w:t>
      </w:r>
      <w:r w:rsidRPr="415B336B">
        <w:rPr>
          <w:b/>
          <w:bCs/>
        </w:rPr>
        <w:t>b-c</w:t>
      </w:r>
      <w:r>
        <w:t xml:space="preserve">). Lines represent decadal means across </w:t>
      </w:r>
      <w:proofErr w:type="gramStart"/>
      <w:r>
        <w:t>GCMs</w:t>
      </w:r>
      <w:proofErr w:type="gramEnd"/>
      <w:r>
        <w:t xml:space="preserve"> and 10 random simulation runs for once-per-decade disturbances. The 2020s, 2050s, and 2090s decades are highlighted with text (in </w:t>
      </w:r>
      <w:r w:rsidRPr="415B336B">
        <w:rPr>
          <w:b/>
          <w:bCs/>
        </w:rPr>
        <w:t>a</w:t>
      </w:r>
      <w:r>
        <w:t>) to allow easier interpretation of timeseries combined coverage and tolerance trajectories.</w:t>
      </w:r>
      <w:r>
        <w:br w:type="page"/>
      </w:r>
    </w:p>
    <w:p w14:paraId="2DB2BA51" w14:textId="77777777" w:rsidR="00066079" w:rsidRDefault="00066079" w:rsidP="00066079">
      <w:r>
        <w:rPr>
          <w:noProof/>
        </w:rPr>
        <w:lastRenderedPageBreak/>
        <w:drawing>
          <wp:inline distT="0" distB="0" distL="0" distR="0" wp14:anchorId="50300BB9" wp14:editId="5E3E9424">
            <wp:extent cx="5724525" cy="1617157"/>
            <wp:effectExtent l="0" t="0" r="0" b="0"/>
            <wp:docPr id="1139766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83364" name=""/>
                    <pic:cNvPicPr/>
                  </pic:nvPicPr>
                  <pic:blipFill rotWithShape="1">
                    <a:blip r:embed="rId14"/>
                    <a:srcRect t="27259" b="27539"/>
                    <a:stretch>
                      <a:fillRect/>
                    </a:stretch>
                  </pic:blipFill>
                  <pic:spPr bwMode="auto">
                    <a:xfrm>
                      <a:off x="0" y="0"/>
                      <a:ext cx="5724525" cy="1617157"/>
                    </a:xfrm>
                    <a:prstGeom prst="rect">
                      <a:avLst/>
                    </a:prstGeom>
                    <a:ln>
                      <a:noFill/>
                    </a:ln>
                  </pic:spPr>
                </pic:pic>
              </a:graphicData>
            </a:graphic>
          </wp:inline>
        </w:drawing>
      </w:r>
    </w:p>
    <w:p w14:paraId="3CA27DBB" w14:textId="77777777" w:rsidR="00066079" w:rsidRDefault="00066079" w:rsidP="00066079">
      <w:r w:rsidRPr="415B336B">
        <w:rPr>
          <w:b/>
          <w:bCs/>
        </w:rPr>
        <w:t>Figure S1</w:t>
      </w:r>
      <w:r>
        <w:rPr>
          <w:b/>
          <w:bCs/>
        </w:rPr>
        <w:t>1</w:t>
      </w:r>
      <w:r w:rsidRPr="415B336B">
        <w:rPr>
          <w:b/>
          <w:bCs/>
        </w:rPr>
        <w:t xml:space="preserve">. Model behaviour for a slow growing but high heat tolerance coral taxon like </w:t>
      </w:r>
      <w:r w:rsidRPr="009A48C5">
        <w:rPr>
          <w:b/>
          <w:bCs/>
          <w:i/>
          <w:iCs/>
        </w:rPr>
        <w:t>Porites lobata</w:t>
      </w:r>
      <w:r w:rsidRPr="415B336B">
        <w:rPr>
          <w:b/>
          <w:bCs/>
        </w:rPr>
        <w:t xml:space="preserve">. </w:t>
      </w:r>
      <w:r>
        <w:t xml:space="preserve">The colony growth rate and heat tolerance were based on differences between corymbose </w:t>
      </w:r>
      <w:r w:rsidRPr="415B336B">
        <w:rPr>
          <w:i/>
          <w:iCs/>
        </w:rPr>
        <w:t xml:space="preserve">Acropora </w:t>
      </w:r>
      <w:r>
        <w:t xml:space="preserve">and massive Porites based on </w:t>
      </w:r>
      <w:proofErr w:type="spellStart"/>
      <w:r>
        <w:t>Bozec</w:t>
      </w:r>
      <w:proofErr w:type="spellEnd"/>
      <w:r>
        <w:t xml:space="preserve"> </w:t>
      </w:r>
      <w:r w:rsidRPr="415B336B">
        <w:rPr>
          <w:i/>
          <w:iCs/>
        </w:rPr>
        <w:t>et al</w:t>
      </w:r>
      <w:r>
        <w:t>. 2022</w:t>
      </w:r>
      <w:r>
        <w:fldChar w:fldCharType="begin" w:fldLock="1"/>
      </w:r>
      <w:r>
        <w:instrText>ADDIN CSL_CITATION {"citationItems":[{"id":"ITEM-1","itemData":{"DOI":"10.1002/ecm.1494","ISSN":"15577015","abstract":"Cumulative impacts assessments on marine ecosystems have been hindered by the difficulty of collecting environmental data and identifying drivers of community dynamics beyond local scales. On coral reefs, an additional challenge is to disentangle the relative influence of multiple drivers that operate at different stages of coral ontogeny. We integrated coral life history, population dynamics, and spatially explicit environmental drivers to assess the relative and cumulative impacts of multiple stressors across 2,300 km of the world’s largest coral reef ecosystem, Australia’s Great Barrier Reef (GBR). Using literature data, we characterized relationships between coral life history processes (reproduction, larval dispersal, recruitment, growth, and mortality) and environmental variables. We then simulated coral demographics and stressor impacts at the organism (coral colony) level on &gt;3,800 individual reefs linked by larval connectivity and exposed to temporally and spatially realistic regimes of acute (crown-of-thorns starfish outbreaks, cyclones, and mass coral bleaching) and chronic (water-quality) stressors. Model simulations produced a credible reconstruction of recent (2008–2020) coral trajectories consistent with monitoring observations, while estimating the impacts of each stressor at reef and regional scales. Overall, simulated coral populations declined by one-third across the GBR, from an average of ~29% to ~19% hard coral cover. By 2020, &lt;20% of the GBR had coral cover higher than 30%, a status of reef health corroborated by scarce and sparsely distributed monitoring data. Reef-wide annual rates of coral mortality were driven by bleaching (48%) ahead of cyclones (41%) and starfish predation (11%). Beyond the reconstructed status and trends, the model enabled the emergence of complex interactions that compound the effects of multiple stressors while promoting a mechanistic understanding of coral cover dynamics. Drivers of coral cover growth were identified; notably, water quality (suspended sediments) was estimated to delay recovery for at least 25% of inshore reefs. Standardized rates of coral loss and recovery allowed the integration of all cumulative impacts to determine the equilibrium cover for each reef. This metric, combined with maps of impacts, recovery potential, water-quality thresholds, and reef state metrics, facilitates strategic spatial planning and resilience-based management across the GBR.","author":[{"dropping-particle":"","family":"Bozec","given":"Yves Marie","non-dropping-particle":"","parse-names":false,"suffix":""},{"dropping-particle":"","family":"Hock","given":"Karlo","non-dropping-particle":"","parse-names":false,"suffix":""},{"dropping-particle":"","family":"Mason","given":"Robert A.B.","non-dropping-particle":"","parse-names":false,"suffix":""},{"dropping-particle":"","family":"Baird","given":"Mark E.","non-dropping-particle":"","parse-names":false,"suffix":""},{"dropping-particle":"","family":"Castro-Sanguino","given":"Carolina","non-dropping-particle":"","parse-names":false,"suffix":""},{"dropping-particle":"","family":"Condie","given":"Scott A.","non-dropping-particle":"","parse-names":false,"suffix":""},{"dropping-particle":"","family":"Puotinen","given":"Marji","non-dropping-particle":"","parse-names":false,"suffix":""},{"dropping-particle":"","family":"Thompson","given":"Angus","non-dropping-particle":"","parse-names":false,"suffix":""},{"dropping-particle":"","family":"Mumby","given":"Peter J.","non-dropping-particle":"","parse-names":false,"suffix":""}],"container-title":"Ecological Monographs","id":"ITEM-1","issue":"1","issued":{"date-parts":[["2022"]]},"page":"1-29","title":"Cumulative impacts across Australia’s Great Barrier Reef: a mechanistic evaluation","type":"article-journal","volume":"92"},"uris":["http://www.mendeley.com/documents/?uuid=fbdc87cb-b5b6-4cac-8bd0-b9f9a79968bf"]}],"mendeley":{"formattedCitation":"&lt;sup&gt;54&lt;/sup&gt;","plainTextFormattedCitation":"54","previouslyFormattedCitation":"(54)"},"properties":{"noteIndex":0},"schema":"https://github.com/citation-style-language/schema/raw/master/csl-citation.json"}</w:instrText>
      </w:r>
      <w:r>
        <w:fldChar w:fldCharType="separate"/>
      </w:r>
      <w:r w:rsidRPr="00B513B7">
        <w:rPr>
          <w:noProof/>
          <w:vertAlign w:val="superscript"/>
        </w:rPr>
        <w:t>54</w:t>
      </w:r>
      <w:r>
        <w:fldChar w:fldCharType="end"/>
      </w:r>
      <w:r>
        <w:t>, with linear growth rate of 0.6 cm/6 months and heat tolerance with LD50 of 12.9 °C-weeks. (</w:t>
      </w:r>
      <w:r w:rsidRPr="415B336B">
        <w:rPr>
          <w:b/>
          <w:bCs/>
        </w:rPr>
        <w:t>a</w:t>
      </w:r>
      <w:r>
        <w:t>) Counterfactual projections of coral coverage under SSP1-2.6 and SSP2-4.5, showing a lower carrying capacity than corymbose Acropora given the slower coral growth rate (compare to Fig. 2c-d). (</w:t>
      </w:r>
      <w:r w:rsidRPr="415B336B">
        <w:rPr>
          <w:b/>
          <w:bCs/>
        </w:rPr>
        <w:t>b</w:t>
      </w:r>
      <w:r>
        <w:t xml:space="preserve">) Differences in system-wide coral coverage and heat tolerance benefits between hotspot-focussed and refuge-focussed management approaches (delta values, ΔX = </w:t>
      </w:r>
      <w:proofErr w:type="spellStart"/>
      <w:r>
        <w:t>X</w:t>
      </w:r>
      <w:r w:rsidRPr="415B336B">
        <w:rPr>
          <w:vertAlign w:val="subscript"/>
        </w:rPr>
        <w:t>Hotspots</w:t>
      </w:r>
      <w:proofErr w:type="spellEnd"/>
      <w:r w:rsidRPr="415B336B">
        <w:rPr>
          <w:vertAlign w:val="subscript"/>
        </w:rPr>
        <w:t xml:space="preserve"> </w:t>
      </w:r>
      <w:r>
        <w:t xml:space="preserve">– </w:t>
      </w:r>
      <w:proofErr w:type="spellStart"/>
      <w:r>
        <w:t>X</w:t>
      </w:r>
      <w:r w:rsidRPr="415B336B">
        <w:rPr>
          <w:vertAlign w:val="subscript"/>
        </w:rPr>
        <w:t>Refugia</w:t>
      </w:r>
      <w:proofErr w:type="spellEnd"/>
      <w:r>
        <w:t>). (</w:t>
      </w:r>
      <w:r w:rsidRPr="415B336B">
        <w:rPr>
          <w:b/>
          <w:bCs/>
        </w:rPr>
        <w:t>c</w:t>
      </w:r>
      <w:r>
        <w:t xml:space="preserve">) Comparison of spatial portfolio restoration strategies in SSP2-4.5 relative to the hotspot only strategy (ΔX = </w:t>
      </w:r>
      <w:proofErr w:type="spellStart"/>
      <w:r>
        <w:t>X</w:t>
      </w:r>
      <w:r w:rsidRPr="415B336B">
        <w:rPr>
          <w:vertAlign w:val="subscript"/>
        </w:rPr>
        <w:t>Other</w:t>
      </w:r>
      <w:proofErr w:type="spellEnd"/>
      <w:r w:rsidRPr="415B336B">
        <w:rPr>
          <w:vertAlign w:val="subscript"/>
        </w:rPr>
        <w:t xml:space="preserve"> Strategy </w:t>
      </w:r>
      <w:r>
        <w:t xml:space="preserve">– </w:t>
      </w:r>
      <w:proofErr w:type="spellStart"/>
      <w:r>
        <w:t>X</w:t>
      </w:r>
      <w:r w:rsidRPr="415B336B">
        <w:rPr>
          <w:vertAlign w:val="subscript"/>
        </w:rPr>
        <w:t>Hotspots</w:t>
      </w:r>
      <w:proofErr w:type="spellEnd"/>
      <w:r>
        <w:t>), to assess whether portfolios can address time-dependent trade-offs in near- and long-term coral coverage that exist between hotspot-only versus refuge-only approaches.</w:t>
      </w:r>
    </w:p>
    <w:p w14:paraId="40BE53A3" w14:textId="77777777" w:rsidR="00066079" w:rsidRDefault="00066079" w:rsidP="00066079"/>
    <w:p w14:paraId="609B72D9" w14:textId="77777777" w:rsidR="00066079" w:rsidRDefault="00066079" w:rsidP="00066079">
      <w:r>
        <w:br w:type="page"/>
      </w:r>
    </w:p>
    <w:p w14:paraId="4691D87B" w14:textId="77777777" w:rsidR="00066079" w:rsidRDefault="00066079" w:rsidP="00066079">
      <w:r>
        <w:rPr>
          <w:noProof/>
        </w:rPr>
        <w:lastRenderedPageBreak/>
        <w:drawing>
          <wp:inline distT="0" distB="0" distL="0" distR="0" wp14:anchorId="21C6246A" wp14:editId="496FA93C">
            <wp:extent cx="5675890" cy="5791200"/>
            <wp:effectExtent l="0" t="0" r="1270" b="0"/>
            <wp:docPr id="183035086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350862" name="Picture 1" descr="A screenshot of a graph&#10;&#10;AI-generated content may be incorrect."/>
                    <pic:cNvPicPr/>
                  </pic:nvPicPr>
                  <pic:blipFill rotWithShape="1">
                    <a:blip r:embed="rId15"/>
                    <a:srcRect l="19088" r="19659"/>
                    <a:stretch/>
                  </pic:blipFill>
                  <pic:spPr bwMode="auto">
                    <a:xfrm>
                      <a:off x="0" y="0"/>
                      <a:ext cx="5686145" cy="5801664"/>
                    </a:xfrm>
                    <a:prstGeom prst="rect">
                      <a:avLst/>
                    </a:prstGeom>
                    <a:ln>
                      <a:noFill/>
                    </a:ln>
                    <a:extLst>
                      <a:ext uri="{53640926-AAD7-44D8-BBD7-CCE9431645EC}">
                        <a14:shadowObscured xmlns:a14="http://schemas.microsoft.com/office/drawing/2010/main"/>
                      </a:ext>
                    </a:extLst>
                  </pic:spPr>
                </pic:pic>
              </a:graphicData>
            </a:graphic>
          </wp:inline>
        </w:drawing>
      </w:r>
    </w:p>
    <w:p w14:paraId="642AC4DE" w14:textId="77777777" w:rsidR="00066079" w:rsidRDefault="00066079" w:rsidP="00066079">
      <w:r w:rsidRPr="415B336B">
        <w:rPr>
          <w:b/>
          <w:bCs/>
        </w:rPr>
        <w:t>Figure S12. Sensitivity analysis of the difference between hotspot-focussed and thermal refugia-focussed management strategies as a function of the return period of manageable spatially ubiquitous</w:t>
      </w:r>
      <w:r>
        <w:t xml:space="preserve"> </w:t>
      </w:r>
      <w:r w:rsidRPr="415B336B">
        <w:rPr>
          <w:b/>
          <w:bCs/>
        </w:rPr>
        <w:t>non-thermal disturbances</w:t>
      </w:r>
      <w:r>
        <w:t>. All data are shown as decadal means across the GCM ensemble and 10 random simulations, displayed as differences in system-wide coral coverage (</w:t>
      </w:r>
      <w:r w:rsidRPr="415B336B">
        <w:rPr>
          <w:b/>
          <w:bCs/>
        </w:rPr>
        <w:t>a</w:t>
      </w:r>
      <w:r>
        <w:t>) and heat tolerance (</w:t>
      </w:r>
      <w:r w:rsidRPr="415B336B">
        <w:rPr>
          <w:b/>
          <w:bCs/>
        </w:rPr>
        <w:t>b</w:t>
      </w:r>
      <w:r>
        <w:t xml:space="preserve">) between hotspot-focussed strategies versus thermal refugia-focussed strategies (coloured solid lines). Delta values (∆X = </w:t>
      </w:r>
      <w:proofErr w:type="spellStart"/>
      <w:r>
        <w:t>X</w:t>
      </w:r>
      <w:r w:rsidRPr="415B336B">
        <w:rPr>
          <w:vertAlign w:val="subscript"/>
        </w:rPr>
        <w:t>Hotspot</w:t>
      </w:r>
      <w:proofErr w:type="spellEnd"/>
      <w:r>
        <w:t xml:space="preserve"> – </w:t>
      </w:r>
      <w:proofErr w:type="spellStart"/>
      <w:r>
        <w:t>X</w:t>
      </w:r>
      <w:r w:rsidRPr="415B336B">
        <w:rPr>
          <w:vertAlign w:val="subscript"/>
        </w:rPr>
        <w:t>Refuge</w:t>
      </w:r>
      <w:proofErr w:type="spellEnd"/>
      <w:r>
        <w:t>) are shown relative to the thermal refuge strategy, which is highlighted as the null (y=0, dashed blue line). We highlight the trajectory for the once-per-decade disturbance regime (yellow line) and the average trajectory across all disturbance return time regimes (dashed black line).</w:t>
      </w:r>
    </w:p>
    <w:p w14:paraId="57CF5ED9" w14:textId="77777777" w:rsidR="00066079" w:rsidRDefault="00066079" w:rsidP="00066079">
      <w:r>
        <w:br w:type="page"/>
      </w:r>
    </w:p>
    <w:p w14:paraId="4976A1BE" w14:textId="77777777" w:rsidR="00066079" w:rsidRDefault="00066079" w:rsidP="00066079">
      <w:r>
        <w:rPr>
          <w:noProof/>
        </w:rPr>
        <w:lastRenderedPageBreak/>
        <w:drawing>
          <wp:inline distT="0" distB="0" distL="0" distR="0" wp14:anchorId="5BBC3B83" wp14:editId="5F43ECD3">
            <wp:extent cx="5731259" cy="2947774"/>
            <wp:effectExtent l="0" t="0" r="3175" b="5080"/>
            <wp:docPr id="210178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78571" name=""/>
                    <pic:cNvPicPr/>
                  </pic:nvPicPr>
                  <pic:blipFill rotWithShape="1">
                    <a:blip r:embed="rId16"/>
                    <a:srcRect t="8382" b="9321"/>
                    <a:stretch>
                      <a:fillRect/>
                    </a:stretch>
                  </pic:blipFill>
                  <pic:spPr bwMode="auto">
                    <a:xfrm>
                      <a:off x="0" y="0"/>
                      <a:ext cx="5731510" cy="2947903"/>
                    </a:xfrm>
                    <a:prstGeom prst="rect">
                      <a:avLst/>
                    </a:prstGeom>
                    <a:ln>
                      <a:noFill/>
                    </a:ln>
                    <a:extLst>
                      <a:ext uri="{53640926-AAD7-44D8-BBD7-CCE9431645EC}">
                        <a14:shadowObscured xmlns:a14="http://schemas.microsoft.com/office/drawing/2010/main"/>
                      </a:ext>
                    </a:extLst>
                  </pic:spPr>
                </pic:pic>
              </a:graphicData>
            </a:graphic>
          </wp:inline>
        </w:drawing>
      </w:r>
    </w:p>
    <w:p w14:paraId="6727D9FA" w14:textId="77777777" w:rsidR="00066079" w:rsidRDefault="00066079" w:rsidP="00066079">
      <w:r w:rsidRPr="415B336B">
        <w:rPr>
          <w:b/>
          <w:bCs/>
        </w:rPr>
        <w:t xml:space="preserve">Figure S13. </w:t>
      </w:r>
      <w:r>
        <w:t>Comparison of hotspot and thermal refugia-focussed strategies to reef management under SSP2-4.5, with a spatially patchy rather than the spatially ubiquitous non-thermal disturbance regime. This disturbance regime is characterised by 3-year return time disturbances that affect 30% of reefs. Interpretation of axes and colours are the same as in Fig. 3.</w:t>
      </w:r>
    </w:p>
    <w:p w14:paraId="7EE2317F" w14:textId="77777777" w:rsidR="00066079" w:rsidRDefault="00066079" w:rsidP="00066079">
      <w:r>
        <w:br w:type="page"/>
      </w:r>
    </w:p>
    <w:p w14:paraId="4691C1A2" w14:textId="77777777" w:rsidR="00066079" w:rsidRDefault="00066079" w:rsidP="00066079">
      <w:r>
        <w:rPr>
          <w:noProof/>
        </w:rPr>
        <w:lastRenderedPageBreak/>
        <w:drawing>
          <wp:inline distT="0" distB="0" distL="0" distR="0" wp14:anchorId="4BE14B7E" wp14:editId="1D1A0FBF">
            <wp:extent cx="5731510" cy="2286000"/>
            <wp:effectExtent l="0" t="0" r="2540" b="0"/>
            <wp:docPr id="1213443947"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43947" name="Picture 1" descr="A screenshot of a graph&#10;&#10;AI-generated content may be incorrect."/>
                    <pic:cNvPicPr/>
                  </pic:nvPicPr>
                  <pic:blipFill rotWithShape="1">
                    <a:blip r:embed="rId17"/>
                    <a:srcRect t="17816" b="18366"/>
                    <a:stretch/>
                  </pic:blipFill>
                  <pic:spPr bwMode="auto">
                    <a:xfrm>
                      <a:off x="0" y="0"/>
                      <a:ext cx="5731510" cy="2286000"/>
                    </a:xfrm>
                    <a:prstGeom prst="rect">
                      <a:avLst/>
                    </a:prstGeom>
                    <a:ln>
                      <a:noFill/>
                    </a:ln>
                    <a:extLst>
                      <a:ext uri="{53640926-AAD7-44D8-BBD7-CCE9431645EC}">
                        <a14:shadowObscured xmlns:a14="http://schemas.microsoft.com/office/drawing/2010/main"/>
                      </a:ext>
                    </a:extLst>
                  </pic:spPr>
                </pic:pic>
              </a:graphicData>
            </a:graphic>
          </wp:inline>
        </w:drawing>
      </w:r>
    </w:p>
    <w:p w14:paraId="60BE3E4A" w14:textId="77777777" w:rsidR="00066079" w:rsidRDefault="00066079" w:rsidP="00066079">
      <w:r w:rsidRPr="415B336B">
        <w:rPr>
          <w:b/>
          <w:bCs/>
        </w:rPr>
        <w:t xml:space="preserve">Figure S14. </w:t>
      </w:r>
      <w:r>
        <w:t>Correlation between the heat stress regimes, calculated as the mean cumulative heat stress anomaly (</w:t>
      </w:r>
      <w:proofErr w:type="spellStart"/>
      <w:r>
        <w:t>DHWa</w:t>
      </w:r>
      <w:proofErr w:type="spellEnd"/>
      <w:r>
        <w:t>) across all events exceeding 4°C-weeks, between the historic satellite record (</w:t>
      </w:r>
      <w:proofErr w:type="spellStart"/>
      <w:r>
        <w:t>DHWa</w:t>
      </w:r>
      <w:r w:rsidRPr="415B336B">
        <w:rPr>
          <w:vertAlign w:val="subscript"/>
        </w:rPr>
        <w:t>CT</w:t>
      </w:r>
      <w:proofErr w:type="spellEnd"/>
      <w:r>
        <w:t>) and future projections statistically downscaled from global circulation models (</w:t>
      </w:r>
      <w:proofErr w:type="spellStart"/>
      <w:r>
        <w:t>DHWa</w:t>
      </w:r>
      <w:r w:rsidRPr="415B336B">
        <w:rPr>
          <w:vertAlign w:val="subscript"/>
        </w:rPr>
        <w:t>GCM</w:t>
      </w:r>
      <w:proofErr w:type="spellEnd"/>
      <w:r>
        <w:t>). The NorESM2-LM model was excluded from analyses due to lower coefficient of determination (</w:t>
      </w:r>
      <w:r w:rsidRPr="415B336B">
        <w:rPr>
          <w:i/>
          <w:iCs/>
        </w:rPr>
        <w:t>R</w:t>
      </w:r>
      <w:r w:rsidRPr="415B336B">
        <w:rPr>
          <w:i/>
          <w:iCs/>
          <w:vertAlign w:val="superscript"/>
        </w:rPr>
        <w:t>2</w:t>
      </w:r>
      <w:r>
        <w:t>).</w:t>
      </w:r>
    </w:p>
    <w:p w14:paraId="7D687FEF" w14:textId="77777777" w:rsidR="00066079" w:rsidRDefault="00066079" w:rsidP="00066079"/>
    <w:p w14:paraId="51F54FF3" w14:textId="77777777" w:rsidR="00C6465A" w:rsidRDefault="00C6465A"/>
    <w:sectPr w:rsidR="00C6465A" w:rsidSect="000660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79"/>
    <w:rsid w:val="00066079"/>
    <w:rsid w:val="000905F0"/>
    <w:rsid w:val="00112C91"/>
    <w:rsid w:val="00242B4F"/>
    <w:rsid w:val="00302F9E"/>
    <w:rsid w:val="004E23CF"/>
    <w:rsid w:val="006D5216"/>
    <w:rsid w:val="00A80498"/>
    <w:rsid w:val="00AE61FF"/>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DB54E"/>
  <w15:chartTrackingRefBased/>
  <w15:docId w15:val="{5B729DEC-75E1-45C1-A48E-7E74D50C3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079"/>
    <w:pPr>
      <w:spacing w:line="259" w:lineRule="auto"/>
    </w:pPr>
    <w:rPr>
      <w:sz w:val="22"/>
      <w:szCs w:val="22"/>
      <w:lang w:val="en-GB"/>
    </w:rPr>
  </w:style>
  <w:style w:type="paragraph" w:styleId="Heading1">
    <w:name w:val="heading 1"/>
    <w:basedOn w:val="Normal"/>
    <w:next w:val="Normal"/>
    <w:link w:val="Heading1Char"/>
    <w:uiPriority w:val="9"/>
    <w:qFormat/>
    <w:rsid w:val="0006607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06607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066079"/>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066079"/>
    <w:pPr>
      <w:keepNext/>
      <w:keepLines/>
      <w:spacing w:before="80" w:after="40" w:line="278" w:lineRule="auto"/>
      <w:outlineLvl w:val="3"/>
    </w:pPr>
    <w:rPr>
      <w:rFonts w:eastAsiaTheme="majorEastAsia"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066079"/>
    <w:pPr>
      <w:keepNext/>
      <w:keepLines/>
      <w:spacing w:before="80" w:after="40" w:line="278" w:lineRule="auto"/>
      <w:outlineLvl w:val="4"/>
    </w:pPr>
    <w:rPr>
      <w:rFonts w:eastAsiaTheme="majorEastAsia"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066079"/>
    <w:pPr>
      <w:keepNext/>
      <w:keepLines/>
      <w:spacing w:before="40" w:after="0" w:line="278" w:lineRule="auto"/>
      <w:outlineLvl w:val="5"/>
    </w:pPr>
    <w:rPr>
      <w:rFonts w:eastAsiaTheme="majorEastAsia"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066079"/>
    <w:pPr>
      <w:keepNext/>
      <w:keepLines/>
      <w:spacing w:before="40" w:after="0" w:line="278" w:lineRule="auto"/>
      <w:outlineLvl w:val="6"/>
    </w:pPr>
    <w:rPr>
      <w:rFonts w:eastAsiaTheme="majorEastAsia"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066079"/>
    <w:pPr>
      <w:keepNext/>
      <w:keepLines/>
      <w:spacing w:after="0" w:line="278" w:lineRule="auto"/>
      <w:outlineLvl w:val="7"/>
    </w:pPr>
    <w:rPr>
      <w:rFonts w:eastAsiaTheme="majorEastAsia"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066079"/>
    <w:pPr>
      <w:keepNext/>
      <w:keepLines/>
      <w:spacing w:after="0" w:line="278" w:lineRule="auto"/>
      <w:outlineLvl w:val="8"/>
    </w:pPr>
    <w:rPr>
      <w:rFonts w:eastAsiaTheme="majorEastAsia"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079"/>
    <w:rPr>
      <w:rFonts w:eastAsiaTheme="majorEastAsia" w:cstheme="majorBidi"/>
      <w:color w:val="272727" w:themeColor="text1" w:themeTint="D8"/>
    </w:rPr>
  </w:style>
  <w:style w:type="paragraph" w:styleId="Title">
    <w:name w:val="Title"/>
    <w:basedOn w:val="Normal"/>
    <w:next w:val="Normal"/>
    <w:link w:val="TitleChar"/>
    <w:uiPriority w:val="10"/>
    <w:qFormat/>
    <w:rsid w:val="00066079"/>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066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079"/>
    <w:pPr>
      <w:numPr>
        <w:ilvl w:val="1"/>
      </w:numPr>
      <w:spacing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066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079"/>
    <w:pPr>
      <w:spacing w:before="160" w:line="278" w:lineRule="auto"/>
      <w:jc w:val="center"/>
    </w:pPr>
    <w:rPr>
      <w:i/>
      <w:iCs/>
      <w:color w:val="404040" w:themeColor="text1" w:themeTint="BF"/>
      <w:sz w:val="24"/>
      <w:szCs w:val="24"/>
      <w:lang w:val="en-IN"/>
    </w:rPr>
  </w:style>
  <w:style w:type="character" w:customStyle="1" w:styleId="QuoteChar">
    <w:name w:val="Quote Char"/>
    <w:basedOn w:val="DefaultParagraphFont"/>
    <w:link w:val="Quote"/>
    <w:uiPriority w:val="29"/>
    <w:rsid w:val="00066079"/>
    <w:rPr>
      <w:i/>
      <w:iCs/>
      <w:color w:val="404040" w:themeColor="text1" w:themeTint="BF"/>
    </w:rPr>
  </w:style>
  <w:style w:type="paragraph" w:styleId="ListParagraph">
    <w:name w:val="List Paragraph"/>
    <w:basedOn w:val="Normal"/>
    <w:uiPriority w:val="34"/>
    <w:qFormat/>
    <w:rsid w:val="00066079"/>
    <w:pPr>
      <w:spacing w:line="278" w:lineRule="auto"/>
      <w:ind w:left="720"/>
      <w:contextualSpacing/>
    </w:pPr>
    <w:rPr>
      <w:sz w:val="24"/>
      <w:szCs w:val="24"/>
      <w:lang w:val="en-IN"/>
    </w:rPr>
  </w:style>
  <w:style w:type="character" w:styleId="IntenseEmphasis">
    <w:name w:val="Intense Emphasis"/>
    <w:basedOn w:val="DefaultParagraphFont"/>
    <w:uiPriority w:val="21"/>
    <w:qFormat/>
    <w:rsid w:val="00066079"/>
    <w:rPr>
      <w:i/>
      <w:iCs/>
      <w:color w:val="0F4761" w:themeColor="accent1" w:themeShade="BF"/>
    </w:rPr>
  </w:style>
  <w:style w:type="paragraph" w:styleId="IntenseQuote">
    <w:name w:val="Intense Quote"/>
    <w:basedOn w:val="Normal"/>
    <w:next w:val="Normal"/>
    <w:link w:val="IntenseQuoteChar"/>
    <w:uiPriority w:val="30"/>
    <w:qFormat/>
    <w:rsid w:val="0006607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066079"/>
    <w:rPr>
      <w:i/>
      <w:iCs/>
      <w:color w:val="0F4761" w:themeColor="accent1" w:themeShade="BF"/>
    </w:rPr>
  </w:style>
  <w:style w:type="character" w:styleId="IntenseReference">
    <w:name w:val="Intense Reference"/>
    <w:basedOn w:val="DefaultParagraphFont"/>
    <w:uiPriority w:val="32"/>
    <w:qFormat/>
    <w:rsid w:val="000660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17890</Words>
  <Characters>101977</Characters>
  <Application>Microsoft Office Word</Application>
  <DocSecurity>0</DocSecurity>
  <Lines>849</Lines>
  <Paragraphs>239</Paragraphs>
  <ScaleCrop>false</ScaleCrop>
  <Company/>
  <LinksUpToDate>false</LinksUpToDate>
  <CharactersWithSpaces>119628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2026-10-13T07:49:00Z</dcterms:created>
  <dcterms:modified xsi:type="dcterms:W3CDTF">2026-10-13T07:50:00Z</dcterms:modified>
</cp:coreProperties>
</file>