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CE0A" w14:textId="77777777" w:rsidR="005F53CE" w:rsidRPr="00896FBA" w:rsidRDefault="00000000" w:rsidP="00896FBA">
      <w:pPr>
        <w:pStyle w:val="SupplementTitle"/>
        <w:spacing w:line="360" w:lineRule="auto"/>
        <w:jc w:val="center"/>
        <w:rPr>
          <w:rFonts w:ascii="Arial" w:hAnsi="Arial" w:cs="Arial"/>
          <w:sz w:val="24"/>
          <w:szCs w:val="20"/>
        </w:rPr>
      </w:pPr>
      <w:r w:rsidRPr="00896FBA">
        <w:rPr>
          <w:rFonts w:ascii="Arial" w:hAnsi="Arial" w:cs="Arial"/>
          <w:sz w:val="24"/>
          <w:szCs w:val="20"/>
        </w:rPr>
        <w:t>Supplementary Materials</w:t>
      </w:r>
    </w:p>
    <w:p w14:paraId="1A7E0066" w14:textId="77777777" w:rsidR="005F53CE" w:rsidRPr="00896FBA" w:rsidRDefault="00000000">
      <w:pPr>
        <w:spacing w:before="160" w:after="80"/>
        <w:rPr>
          <w:rFonts w:ascii="Arial" w:hAnsi="Arial" w:cs="Arial"/>
          <w:sz w:val="22"/>
          <w:szCs w:val="24"/>
        </w:rPr>
      </w:pPr>
      <w:r w:rsidRPr="00896FBA">
        <w:rPr>
          <w:rFonts w:ascii="Arial" w:hAnsi="Arial" w:cs="Arial"/>
          <w:b/>
          <w:sz w:val="22"/>
          <w:szCs w:val="24"/>
        </w:rPr>
        <w:t>Supplemental Table 3. Pre-specified criteria for ICU unit participation, derived from the PROADI-SUS project protocol.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92"/>
        <w:gridCol w:w="7343"/>
      </w:tblGrid>
      <w:tr w:rsidR="005F53CE" w:rsidRPr="000A1D6A" w14:paraId="5D827959" w14:textId="77777777" w:rsidTr="000A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6EE20D3D" w14:textId="77777777" w:rsidR="005F53CE" w:rsidRPr="000A1D6A" w:rsidRDefault="00000000" w:rsidP="00896F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Domain</w:t>
            </w:r>
          </w:p>
        </w:tc>
        <w:tc>
          <w:tcPr>
            <w:tcW w:w="7343" w:type="dxa"/>
            <w:vAlign w:val="center"/>
          </w:tcPr>
          <w:p w14:paraId="7122C23C" w14:textId="77777777" w:rsidR="005F53CE" w:rsidRPr="000A1D6A" w:rsidRDefault="00000000" w:rsidP="00896FB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Criteria</w:t>
            </w:r>
          </w:p>
        </w:tc>
      </w:tr>
      <w:tr w:rsidR="005F53CE" w:rsidRPr="000A1D6A" w14:paraId="291DA124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7176276B" w14:textId="77777777" w:rsidR="005F53CE" w:rsidRPr="000A1D6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Eligibility (candidate units)</w:t>
            </w:r>
          </w:p>
        </w:tc>
        <w:tc>
          <w:tcPr>
            <w:tcW w:w="7343" w:type="dxa"/>
            <w:vAlign w:val="center"/>
          </w:tcPr>
          <w:p w14:paraId="5CD316C6" w14:textId="77777777" w:rsidR="005F53CE" w:rsidRPr="000A1D6A" w:rsidRDefault="00000000" w:rsidP="000A1D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• Public or philanthropic hospital.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Adult ICU with at least five beds.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Hospital integrated into the urgency and emergency care network.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No concurrent participation in another PROADI-SUS Tele-ICU or related project led by a different center of excellence in the same ICU.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Preferentially located in inland municipalities away from state capitals.</w:t>
            </w:r>
          </w:p>
        </w:tc>
      </w:tr>
      <w:tr w:rsidR="005F53CE" w:rsidRPr="000A1D6A" w14:paraId="16EC8603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70BBBB8A" w14:textId="77777777" w:rsidR="005F53CE" w:rsidRPr="000A1D6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Classification (ranking)</w:t>
            </w:r>
          </w:p>
        </w:tc>
        <w:tc>
          <w:tcPr>
            <w:tcW w:w="7343" w:type="dxa"/>
            <w:vAlign w:val="center"/>
          </w:tcPr>
          <w:p w14:paraId="6D1698B0" w14:textId="77777777" w:rsidR="005F53CE" w:rsidRPr="000A1D6A" w:rsidRDefault="00000000" w:rsidP="000A1D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• Number of adult ICU beds available in the hospital.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First representative per national macroregion (North; Northeast; South; Southeast; Central-West).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Among the first five hospitals selected per macroregion in the North or Northeast.</w:t>
            </w:r>
          </w:p>
        </w:tc>
      </w:tr>
      <w:tr w:rsidR="005F53CE" w:rsidRPr="000A1D6A" w14:paraId="0576ED21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0ADDCE20" w14:textId="77777777" w:rsidR="005F53CE" w:rsidRPr="000A1D6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Selection (operational readiness)</w:t>
            </w:r>
          </w:p>
        </w:tc>
        <w:tc>
          <w:tcPr>
            <w:tcW w:w="7343" w:type="dxa"/>
            <w:vAlign w:val="center"/>
          </w:tcPr>
          <w:p w14:paraId="7A395B77" w14:textId="77777777" w:rsidR="005F53CE" w:rsidRPr="000A1D6A" w:rsidRDefault="00000000" w:rsidP="000A1D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• Local clinical leadership (medicine, nursing, physiotherapy) motivated to participate.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Available Wi-Fi connectivity at the ICU, or eligibility to receive program-supplied mobile devices.</w:t>
            </w:r>
          </w:p>
        </w:tc>
      </w:tr>
      <w:tr w:rsidR="005F53CE" w:rsidRPr="000A1D6A" w14:paraId="3C4E2B2E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3E73B912" w14:textId="77777777" w:rsidR="005F53CE" w:rsidRPr="000A1D6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Exclusion (during implementation)</w:t>
            </w:r>
          </w:p>
        </w:tc>
        <w:tc>
          <w:tcPr>
            <w:tcW w:w="7343" w:type="dxa"/>
            <w:vAlign w:val="center"/>
          </w:tcPr>
          <w:p w14:paraId="788FB636" w14:textId="77777777" w:rsidR="005F53CE" w:rsidRPr="000A1D6A" w:rsidRDefault="00000000" w:rsidP="000A1D6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• Cancellation of five consecutive scheduled telerounds, or nine intercalated cancellations within one calendar month.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ICU occupancy below 50% sustained over two consecutive weeks.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Loss of clinical leadership engagement.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Loss of minimum infrastructure for internet connectivity.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>• Failure to sign the cooperation agreement.</w:t>
            </w:r>
          </w:p>
        </w:tc>
      </w:tr>
      <w:tr w:rsidR="005F53CE" w:rsidRPr="000A1D6A" w14:paraId="6BC845CC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2" w:type="dxa"/>
            <w:vAlign w:val="center"/>
          </w:tcPr>
          <w:p w14:paraId="1DDB5D67" w14:textId="77777777" w:rsidR="005F53CE" w:rsidRPr="000A1D6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Substitution (replacement window)</w:t>
            </w:r>
          </w:p>
        </w:tc>
        <w:tc>
          <w:tcPr>
            <w:tcW w:w="7343" w:type="dxa"/>
            <w:vAlign w:val="center"/>
          </w:tcPr>
          <w:p w14:paraId="039AFC28" w14:textId="4D7A02F8" w:rsidR="005F53CE" w:rsidRPr="000A1D6A" w:rsidRDefault="00000000" w:rsidP="000A1D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• Replacement permitted within the first ten months of the project.</w:t>
            </w:r>
            <w:r w:rsidRPr="000A1D6A">
              <w:rPr>
                <w:rFonts w:ascii="Arial" w:hAnsi="Arial" w:cs="Arial"/>
              </w:rPr>
              <w:br/>
            </w:r>
            <w:r w:rsidRPr="000A1D6A">
              <w:rPr>
                <w:rFonts w:ascii="Arial" w:hAnsi="Arial" w:cs="Arial"/>
                <w:sz w:val="17"/>
              </w:rPr>
              <w:t xml:space="preserve">• Next-ranked institution from the technical-area list </w:t>
            </w:r>
            <w:r w:rsidR="00896FBA">
              <w:rPr>
                <w:rFonts w:ascii="Arial" w:hAnsi="Arial" w:cs="Arial"/>
                <w:sz w:val="17"/>
              </w:rPr>
              <w:t xml:space="preserve">was </w:t>
            </w:r>
            <w:r w:rsidRPr="000A1D6A">
              <w:rPr>
                <w:rFonts w:ascii="Arial" w:hAnsi="Arial" w:cs="Arial"/>
                <w:sz w:val="17"/>
              </w:rPr>
              <w:t>invited; once the list was exhausted, no further substitution was performed.</w:t>
            </w:r>
          </w:p>
        </w:tc>
      </w:tr>
    </w:tbl>
    <w:p w14:paraId="7D2A96F2" w14:textId="77777777" w:rsidR="000A1D6A" w:rsidRDefault="000A1D6A">
      <w:pPr>
        <w:spacing w:before="160" w:after="80"/>
        <w:rPr>
          <w:b/>
        </w:rPr>
      </w:pPr>
    </w:p>
    <w:p w14:paraId="6C34568A" w14:textId="55F2FDE4" w:rsidR="005F53CE" w:rsidRPr="00896FBA" w:rsidRDefault="00000000" w:rsidP="00896FBA">
      <w:pPr>
        <w:spacing w:before="160" w:after="80"/>
        <w:rPr>
          <w:rFonts w:ascii="Arial" w:hAnsi="Arial" w:cs="Arial"/>
          <w:sz w:val="22"/>
          <w:szCs w:val="24"/>
        </w:rPr>
      </w:pPr>
      <w:r w:rsidRPr="00896FBA">
        <w:rPr>
          <w:rFonts w:ascii="Arial" w:hAnsi="Arial" w:cs="Arial"/>
          <w:b/>
          <w:sz w:val="22"/>
          <w:szCs w:val="24"/>
        </w:rPr>
        <w:t>Supplemental Table 4. Pre-specified monitoring and escalation framework, applied monthly to identify units at risk of disengagement and to trigger graded intervention.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792"/>
        <w:gridCol w:w="1368"/>
        <w:gridCol w:w="4464"/>
        <w:gridCol w:w="3311"/>
      </w:tblGrid>
      <w:tr w:rsidR="005F53CE" w:rsidRPr="000A1D6A" w14:paraId="22E33247" w14:textId="77777777" w:rsidTr="000A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vAlign w:val="center"/>
          </w:tcPr>
          <w:p w14:paraId="2EE8EE5C" w14:textId="77777777" w:rsidR="005F53CE" w:rsidRPr="000A1D6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Score</w:t>
            </w:r>
          </w:p>
        </w:tc>
        <w:tc>
          <w:tcPr>
            <w:tcW w:w="1368" w:type="dxa"/>
            <w:vAlign w:val="center"/>
          </w:tcPr>
          <w:p w14:paraId="390D0D93" w14:textId="77777777" w:rsidR="005F53CE" w:rsidRPr="000A1D6A" w:rsidRDefault="00000000" w:rsidP="000A1D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Risk level</w:t>
            </w:r>
          </w:p>
        </w:tc>
        <w:tc>
          <w:tcPr>
            <w:tcW w:w="4464" w:type="dxa"/>
            <w:vAlign w:val="center"/>
          </w:tcPr>
          <w:p w14:paraId="44CE8530" w14:textId="77777777" w:rsidR="005F53CE" w:rsidRPr="000A1D6A" w:rsidRDefault="00000000" w:rsidP="000A1D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Trigger</w:t>
            </w:r>
          </w:p>
        </w:tc>
        <w:tc>
          <w:tcPr>
            <w:tcW w:w="3311" w:type="dxa"/>
            <w:vAlign w:val="center"/>
          </w:tcPr>
          <w:p w14:paraId="41D85289" w14:textId="77777777" w:rsidR="005F53CE" w:rsidRPr="000A1D6A" w:rsidRDefault="00000000" w:rsidP="000A1D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Escalation action</w:t>
            </w:r>
          </w:p>
        </w:tc>
      </w:tr>
      <w:tr w:rsidR="005F53CE" w:rsidRPr="000A1D6A" w14:paraId="6AFEF350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vAlign w:val="center"/>
          </w:tcPr>
          <w:p w14:paraId="010CA5D6" w14:textId="77777777" w:rsidR="005F53CE" w:rsidRPr="000A1D6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1</w:t>
            </w:r>
          </w:p>
        </w:tc>
        <w:tc>
          <w:tcPr>
            <w:tcW w:w="1368" w:type="dxa"/>
            <w:vAlign w:val="center"/>
          </w:tcPr>
          <w:p w14:paraId="5D42C6A0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Low</w:t>
            </w:r>
          </w:p>
        </w:tc>
        <w:tc>
          <w:tcPr>
            <w:tcW w:w="4464" w:type="dxa"/>
            <w:vAlign w:val="center"/>
          </w:tcPr>
          <w:p w14:paraId="65CAD7B1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Non-attendance at two consecutive educational activities.</w:t>
            </w:r>
          </w:p>
        </w:tc>
        <w:tc>
          <w:tcPr>
            <w:tcW w:w="3311" w:type="dxa"/>
            <w:vAlign w:val="center"/>
          </w:tcPr>
          <w:p w14:paraId="31C1985D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Meeting with local clinical/care management.</w:t>
            </w:r>
          </w:p>
        </w:tc>
      </w:tr>
      <w:tr w:rsidR="005F53CE" w:rsidRPr="000A1D6A" w14:paraId="6A625B33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vAlign w:val="center"/>
          </w:tcPr>
          <w:p w14:paraId="51C9217F" w14:textId="77777777" w:rsidR="005F53CE" w:rsidRPr="000A1D6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2-3</w:t>
            </w:r>
          </w:p>
        </w:tc>
        <w:tc>
          <w:tcPr>
            <w:tcW w:w="1368" w:type="dxa"/>
            <w:vAlign w:val="center"/>
          </w:tcPr>
          <w:p w14:paraId="2C16F275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Medium</w:t>
            </w:r>
          </w:p>
        </w:tc>
        <w:tc>
          <w:tcPr>
            <w:tcW w:w="4464" w:type="dxa"/>
            <w:vAlign w:val="center"/>
          </w:tcPr>
          <w:p w14:paraId="07604CDF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Performance approaching exclusion criteria for three consecutive months.</w:t>
            </w:r>
          </w:p>
        </w:tc>
        <w:tc>
          <w:tcPr>
            <w:tcW w:w="3311" w:type="dxa"/>
            <w:vAlign w:val="center"/>
          </w:tcPr>
          <w:p w14:paraId="1471BCBD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Meeting with hospital executive leadership, with defined deadlines and targets.</w:t>
            </w:r>
          </w:p>
        </w:tc>
      </w:tr>
      <w:tr w:rsidR="005F53CE" w:rsidRPr="000A1D6A" w14:paraId="7DD35315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vAlign w:val="center"/>
          </w:tcPr>
          <w:p w14:paraId="5A51AABD" w14:textId="77777777" w:rsidR="005F53CE" w:rsidRPr="000A1D6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4</w:t>
            </w:r>
          </w:p>
        </w:tc>
        <w:tc>
          <w:tcPr>
            <w:tcW w:w="1368" w:type="dxa"/>
            <w:vAlign w:val="center"/>
          </w:tcPr>
          <w:p w14:paraId="0A0FEE21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Moderate</w:t>
            </w:r>
          </w:p>
        </w:tc>
        <w:tc>
          <w:tcPr>
            <w:tcW w:w="4464" w:type="dxa"/>
            <w:vAlign w:val="center"/>
          </w:tcPr>
          <w:p w14:paraId="202F16D2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No improvement in process indicators (failure to reach 50% of pre-specified targets) over four months.</w:t>
            </w:r>
          </w:p>
        </w:tc>
        <w:tc>
          <w:tcPr>
            <w:tcW w:w="3311" w:type="dxa"/>
            <w:vAlign w:val="center"/>
          </w:tcPr>
          <w:p w14:paraId="498B3DEC" w14:textId="77777777" w:rsidR="005F53CE" w:rsidRPr="000A1D6A" w:rsidRDefault="00000000" w:rsidP="000A1D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Meeting with the state-level health secretariat.</w:t>
            </w:r>
          </w:p>
        </w:tc>
      </w:tr>
      <w:tr w:rsidR="005F53CE" w:rsidRPr="000A1D6A" w14:paraId="2A93E658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vAlign w:val="center"/>
          </w:tcPr>
          <w:p w14:paraId="2F27505B" w14:textId="77777777" w:rsidR="005F53CE" w:rsidRPr="000A1D6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b w:val="0"/>
                <w:sz w:val="17"/>
              </w:rPr>
              <w:t>5</w:t>
            </w:r>
          </w:p>
        </w:tc>
        <w:tc>
          <w:tcPr>
            <w:tcW w:w="1368" w:type="dxa"/>
            <w:vAlign w:val="center"/>
          </w:tcPr>
          <w:p w14:paraId="12427320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High</w:t>
            </w:r>
          </w:p>
        </w:tc>
        <w:tc>
          <w:tcPr>
            <w:tcW w:w="4464" w:type="dxa"/>
            <w:vAlign w:val="center"/>
          </w:tcPr>
          <w:p w14:paraId="1A4751B8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Cancellation of five consecutive scheduled telerounds or nine intercalated cancellations within a month.</w:t>
            </w:r>
          </w:p>
        </w:tc>
        <w:tc>
          <w:tcPr>
            <w:tcW w:w="3311" w:type="dxa"/>
            <w:vAlign w:val="center"/>
          </w:tcPr>
          <w:p w14:paraId="3D16B112" w14:textId="77777777" w:rsidR="005F53CE" w:rsidRPr="000A1D6A" w:rsidRDefault="00000000" w:rsidP="000A1D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1D6A">
              <w:rPr>
                <w:rFonts w:ascii="Arial" w:hAnsi="Arial" w:cs="Arial"/>
                <w:sz w:val="17"/>
              </w:rPr>
              <w:t>Formal reporting to the Brazilian Ministry of Health.</w:t>
            </w:r>
          </w:p>
        </w:tc>
      </w:tr>
    </w:tbl>
    <w:p w14:paraId="06F8798A" w14:textId="77777777" w:rsidR="005F53CE" w:rsidRPr="00896FBA" w:rsidRDefault="00000000">
      <w:pPr>
        <w:spacing w:before="40" w:after="120"/>
        <w:rPr>
          <w:rFonts w:ascii="Arial" w:hAnsi="Arial" w:cs="Arial"/>
        </w:rPr>
      </w:pPr>
      <w:r w:rsidRPr="00896FBA">
        <w:rPr>
          <w:rFonts w:ascii="Arial" w:hAnsi="Arial" w:cs="Arial"/>
          <w:i/>
          <w:sz w:val="18"/>
        </w:rPr>
        <w:t>Sustained score &gt;=5 for three consecutive months without response to virtual interventions triggered an on-site assisted-intervention visit. Persistence of a score of 5 in the month following the in-person visit could, in joint decision with the Ministry of Health technical area, lead to formal exclusion. Eight monitoring/rescue site visits were conducted during 2023.</w:t>
      </w:r>
    </w:p>
    <w:p w14:paraId="055B661F" w14:textId="77777777" w:rsidR="005F53CE" w:rsidRDefault="00000000">
      <w:r>
        <w:br w:type="page"/>
      </w:r>
    </w:p>
    <w:p w14:paraId="1E697593" w14:textId="77777777" w:rsidR="005F53CE" w:rsidRPr="00896FBA" w:rsidRDefault="00000000">
      <w:pPr>
        <w:spacing w:before="160" w:after="80"/>
        <w:rPr>
          <w:rFonts w:ascii="Arial" w:hAnsi="Arial" w:cs="Arial"/>
        </w:rPr>
      </w:pPr>
      <w:r w:rsidRPr="00896FBA">
        <w:rPr>
          <w:rFonts w:ascii="Arial" w:hAnsi="Arial" w:cs="Arial"/>
          <w:b/>
        </w:rPr>
        <w:lastRenderedPageBreak/>
        <w:t>Supplemental Table 5. Flow of ICU unit enrolment and continuity through the program period (May 2022-November 2023).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623"/>
        <w:gridCol w:w="3311"/>
      </w:tblGrid>
      <w:tr w:rsidR="005F53CE" w:rsidRPr="00896FBA" w14:paraId="5D4CED70" w14:textId="77777777" w:rsidTr="000A1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4ED058BA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Stage</w:t>
            </w:r>
          </w:p>
        </w:tc>
        <w:tc>
          <w:tcPr>
            <w:tcW w:w="3311" w:type="dxa"/>
            <w:vAlign w:val="center"/>
          </w:tcPr>
          <w:p w14:paraId="29E8A69F" w14:textId="77777777" w:rsidR="005F53CE" w:rsidRPr="00896FBA" w:rsidRDefault="00000000" w:rsidP="00896FB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Count</w:t>
            </w:r>
          </w:p>
        </w:tc>
      </w:tr>
      <w:tr w:rsidR="005F53CE" w:rsidRPr="00896FBA" w14:paraId="75D53F48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6B3DCD0F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Eligible units invited (national selection process)</w:t>
            </w:r>
          </w:p>
        </w:tc>
        <w:tc>
          <w:tcPr>
            <w:tcW w:w="3311" w:type="dxa"/>
            <w:vAlign w:val="center"/>
          </w:tcPr>
          <w:p w14:paraId="3CF09D74" w14:textId="77777777" w:rsidR="005F53CE" w:rsidRPr="00896FBA" w:rsidRDefault="00000000" w:rsidP="00896FB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32 units</w:t>
            </w:r>
          </w:p>
        </w:tc>
      </w:tr>
      <w:tr w:rsidR="005F53CE" w:rsidRPr="00896FBA" w14:paraId="657A9CD5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10E9ACB0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that accepted participation</w:t>
            </w:r>
          </w:p>
        </w:tc>
        <w:tc>
          <w:tcPr>
            <w:tcW w:w="3311" w:type="dxa"/>
            <w:vAlign w:val="center"/>
          </w:tcPr>
          <w:p w14:paraId="6F929568" w14:textId="77777777" w:rsidR="005F53CE" w:rsidRPr="00896FBA" w:rsidRDefault="00000000" w:rsidP="00896FB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28 units</w:t>
            </w:r>
          </w:p>
        </w:tc>
      </w:tr>
      <w:tr w:rsidR="005F53CE" w:rsidRPr="00896FBA" w14:paraId="2FBF2B8A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2BDF8081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excluded before onboarding (insufficient connectivity or staffing)</w:t>
            </w:r>
          </w:p>
        </w:tc>
        <w:tc>
          <w:tcPr>
            <w:tcW w:w="3311" w:type="dxa"/>
            <w:vAlign w:val="center"/>
          </w:tcPr>
          <w:p w14:paraId="3851A8A2" w14:textId="77777777" w:rsidR="005F53CE" w:rsidRPr="00896FBA" w:rsidRDefault="00000000" w:rsidP="00896FB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2 units</w:t>
            </w:r>
          </w:p>
        </w:tc>
      </w:tr>
      <w:tr w:rsidR="005F53CE" w:rsidRPr="00896FBA" w14:paraId="6FEA36C2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53F61B0F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that completed onboarding and initiated telerounds</w:t>
            </w:r>
          </w:p>
        </w:tc>
        <w:tc>
          <w:tcPr>
            <w:tcW w:w="3311" w:type="dxa"/>
            <w:vAlign w:val="center"/>
          </w:tcPr>
          <w:p w14:paraId="2378E4B2" w14:textId="77777777" w:rsidR="005F53CE" w:rsidRPr="00896FBA" w:rsidRDefault="00000000" w:rsidP="00896FB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26 units (across 24 hospitals; one hospital enrolled two distinct ICUs)</w:t>
            </w:r>
          </w:p>
        </w:tc>
      </w:tr>
      <w:tr w:rsidR="005F53CE" w:rsidRPr="00896FBA" w14:paraId="1B9A3746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0743B63A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sustaining continuous participation through the end of the round-delivery period (Nov 2023)</w:t>
            </w:r>
          </w:p>
        </w:tc>
        <w:tc>
          <w:tcPr>
            <w:tcW w:w="3311" w:type="dxa"/>
            <w:vAlign w:val="center"/>
          </w:tcPr>
          <w:p w14:paraId="4BB28B63" w14:textId="77777777" w:rsidR="005F53CE" w:rsidRPr="00896FBA" w:rsidRDefault="00000000" w:rsidP="00896FB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13 units</w:t>
            </w:r>
          </w:p>
        </w:tc>
      </w:tr>
      <w:tr w:rsidR="005F53CE" w:rsidRPr="00896FBA" w14:paraId="053A7C8A" w14:textId="77777777" w:rsidTr="000A1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064737E6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discontinued or formally excluded during implementation under predefined criteria</w:t>
            </w:r>
          </w:p>
        </w:tc>
        <w:tc>
          <w:tcPr>
            <w:tcW w:w="3311" w:type="dxa"/>
            <w:vAlign w:val="center"/>
          </w:tcPr>
          <w:p w14:paraId="75382042" w14:textId="77777777" w:rsidR="005F53CE" w:rsidRPr="00896FBA" w:rsidRDefault="00000000" w:rsidP="00896FB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7 units</w:t>
            </w:r>
          </w:p>
        </w:tc>
      </w:tr>
      <w:tr w:rsidR="005F53CE" w:rsidRPr="00896FBA" w14:paraId="5F5E35B5" w14:textId="77777777" w:rsidTr="000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3" w:type="dxa"/>
            <w:vAlign w:val="center"/>
          </w:tcPr>
          <w:p w14:paraId="2FC877A6" w14:textId="77777777" w:rsidR="005F53CE" w:rsidRPr="00896FBA" w:rsidRDefault="00000000" w:rsidP="000A1D6A">
            <w:pPr>
              <w:spacing w:line="360" w:lineRule="auto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Units with brief participation during early pilot months and no further activity</w:t>
            </w:r>
          </w:p>
        </w:tc>
        <w:tc>
          <w:tcPr>
            <w:tcW w:w="3311" w:type="dxa"/>
            <w:vAlign w:val="center"/>
          </w:tcPr>
          <w:p w14:paraId="38A2FA04" w14:textId="77777777" w:rsidR="005F53CE" w:rsidRPr="00896FBA" w:rsidRDefault="00000000" w:rsidP="00896FB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6 units</w:t>
            </w:r>
          </w:p>
        </w:tc>
      </w:tr>
    </w:tbl>
    <w:p w14:paraId="3C3F3AD1" w14:textId="77777777" w:rsidR="005F53CE" w:rsidRPr="00896FBA" w:rsidRDefault="00000000">
      <w:pPr>
        <w:spacing w:before="40" w:after="120"/>
        <w:rPr>
          <w:rFonts w:ascii="Arial" w:hAnsi="Arial" w:cs="Arial"/>
          <w:i/>
          <w:sz w:val="18"/>
        </w:rPr>
      </w:pPr>
      <w:r w:rsidRPr="00896FBA">
        <w:rPr>
          <w:rFonts w:ascii="Arial" w:hAnsi="Arial" w:cs="Arial"/>
          <w:i/>
          <w:sz w:val="18"/>
        </w:rPr>
        <w:t>Counts reflect program monitoring data; "active months" denotes months with at least one delivered teleround. December 2023 was primarily a close-out and monitoring month. Discontinuation was predominantly attributable to organizational factors - ICU coordinator turnover, loss of institutional or managerial support, and structural or staffing constraints - rather than to baseline clinical characteristics. The final analytic cohort comprised the 26 ICU units that completed onboarding; quantitative implementation indicators are reported across the full cohort throughout the program period.</w:t>
      </w:r>
    </w:p>
    <w:p w14:paraId="60C04A80" w14:textId="77777777" w:rsidR="000A1D6A" w:rsidRPr="00896FBA" w:rsidRDefault="000A1D6A">
      <w:pPr>
        <w:spacing w:before="40" w:after="120"/>
        <w:rPr>
          <w:rFonts w:ascii="Arial" w:hAnsi="Arial" w:cs="Arial"/>
        </w:rPr>
      </w:pPr>
    </w:p>
    <w:p w14:paraId="4BF703E4" w14:textId="77777777" w:rsidR="005F53CE" w:rsidRPr="00896FBA" w:rsidRDefault="00000000">
      <w:pPr>
        <w:spacing w:before="160" w:after="80"/>
        <w:rPr>
          <w:rFonts w:ascii="Arial" w:hAnsi="Arial" w:cs="Arial"/>
        </w:rPr>
      </w:pPr>
      <w:r w:rsidRPr="00896FBA">
        <w:rPr>
          <w:rFonts w:ascii="Arial" w:hAnsi="Arial" w:cs="Arial"/>
          <w:b/>
        </w:rPr>
        <w:t>Supplemental Table 6.1. Virtual Learning Sessions (</w:t>
      </w:r>
      <w:proofErr w:type="spellStart"/>
      <w:r w:rsidR="000A1D6A" w:rsidRPr="00896FBA">
        <w:rPr>
          <w:rFonts w:ascii="Arial" w:hAnsi="Arial" w:cs="Arial"/>
          <w:b/>
        </w:rPr>
        <w:t>Sessões</w:t>
      </w:r>
      <w:proofErr w:type="spellEnd"/>
      <w:r w:rsidRPr="00896FBA">
        <w:rPr>
          <w:rFonts w:ascii="Arial" w:hAnsi="Arial" w:cs="Arial"/>
          <w:b/>
        </w:rPr>
        <w:t xml:space="preserve"> de </w:t>
      </w:r>
      <w:proofErr w:type="spellStart"/>
      <w:r w:rsidRPr="00896FBA">
        <w:rPr>
          <w:rFonts w:ascii="Arial" w:hAnsi="Arial" w:cs="Arial"/>
          <w:b/>
        </w:rPr>
        <w:t>Aprendizagem</w:t>
      </w:r>
      <w:proofErr w:type="spellEnd"/>
      <w:r w:rsidRPr="00896FBA">
        <w:rPr>
          <w:rFonts w:ascii="Arial" w:hAnsi="Arial" w:cs="Arial"/>
          <w:b/>
        </w:rPr>
        <w:t xml:space="preserve"> Virtual, SAVs).</w:t>
      </w:r>
    </w:p>
    <w:p w14:paraId="5E5D112D" w14:textId="77777777" w:rsidR="005F53CE" w:rsidRPr="00896FBA" w:rsidRDefault="00000000">
      <w:pPr>
        <w:spacing w:before="40" w:after="120"/>
        <w:rPr>
          <w:rFonts w:ascii="Arial" w:hAnsi="Arial" w:cs="Arial"/>
        </w:rPr>
      </w:pPr>
      <w:r w:rsidRPr="00896FBA">
        <w:rPr>
          <w:rFonts w:ascii="Arial" w:hAnsi="Arial" w:cs="Arial"/>
          <w:i/>
          <w:sz w:val="18"/>
        </w:rPr>
        <w:t>Monthly synchronous sessions were delivered collaboratively by the participating centers of excellence, with simultaneous attendance by all participating ICUs. Sessions were recorded and made available asynchronously in the program repository.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28"/>
        <w:gridCol w:w="4930"/>
      </w:tblGrid>
      <w:tr w:rsidR="005F53CE" w:rsidRPr="00896FBA" w14:paraId="6FD1818D" w14:textId="77777777" w:rsidTr="00896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3368D2E6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Month</w:t>
            </w:r>
          </w:p>
        </w:tc>
        <w:tc>
          <w:tcPr>
            <w:tcW w:w="4930" w:type="dxa"/>
            <w:vAlign w:val="center"/>
          </w:tcPr>
          <w:p w14:paraId="576F9C71" w14:textId="77777777" w:rsidR="005F53CE" w:rsidRPr="00896FBA" w:rsidRDefault="00000000" w:rsidP="000A1D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Topic</w:t>
            </w:r>
          </w:p>
        </w:tc>
      </w:tr>
      <w:tr w:rsidR="005F53CE" w:rsidRPr="00896FBA" w14:paraId="5DE67631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5363EAA5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Sep 2022</w:t>
            </w:r>
          </w:p>
        </w:tc>
        <w:tc>
          <w:tcPr>
            <w:tcW w:w="4930" w:type="dxa"/>
            <w:vAlign w:val="center"/>
          </w:tcPr>
          <w:p w14:paraId="3B2D8F7D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Renal replacement therapy</w:t>
            </w:r>
          </w:p>
        </w:tc>
      </w:tr>
      <w:tr w:rsidR="005F53CE" w:rsidRPr="00896FBA" w14:paraId="780863FB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6D511016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Oct 2022</w:t>
            </w:r>
          </w:p>
        </w:tc>
        <w:tc>
          <w:tcPr>
            <w:tcW w:w="4930" w:type="dxa"/>
            <w:vAlign w:val="center"/>
          </w:tcPr>
          <w:p w14:paraId="59E31779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Pressure injury prevention and management</w:t>
            </w:r>
          </w:p>
        </w:tc>
      </w:tr>
      <w:tr w:rsidR="005F53CE" w:rsidRPr="00896FBA" w14:paraId="10C73117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4F08B04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Nov 2022</w:t>
            </w:r>
          </w:p>
        </w:tc>
        <w:tc>
          <w:tcPr>
            <w:tcW w:w="4930" w:type="dxa"/>
            <w:vAlign w:val="center"/>
          </w:tcPr>
          <w:p w14:paraId="4B121BF4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Palliative care in the ICU</w:t>
            </w:r>
          </w:p>
        </w:tc>
      </w:tr>
      <w:tr w:rsidR="005F53CE" w:rsidRPr="00896FBA" w14:paraId="01F75C4C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44B303D7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Dec 2022</w:t>
            </w:r>
          </w:p>
        </w:tc>
        <w:tc>
          <w:tcPr>
            <w:tcW w:w="4930" w:type="dxa"/>
            <w:vAlign w:val="center"/>
          </w:tcPr>
          <w:p w14:paraId="22A729B2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Nutritional therapy in critical care</w:t>
            </w:r>
          </w:p>
        </w:tc>
      </w:tr>
      <w:tr w:rsidR="005F53CE" w:rsidRPr="00896FBA" w14:paraId="35CE9AF4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99C7FCB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Jan 2023</w:t>
            </w:r>
          </w:p>
        </w:tc>
        <w:tc>
          <w:tcPr>
            <w:tcW w:w="4930" w:type="dxa"/>
            <w:vAlign w:val="center"/>
          </w:tcPr>
          <w:p w14:paraId="53DF3A5B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Aspiration prevention</w:t>
            </w:r>
          </w:p>
        </w:tc>
      </w:tr>
      <w:tr w:rsidR="005F53CE" w:rsidRPr="00896FBA" w14:paraId="6BA63500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521B4E64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Mar 2023</w:t>
            </w:r>
          </w:p>
        </w:tc>
        <w:tc>
          <w:tcPr>
            <w:tcW w:w="4930" w:type="dxa"/>
            <w:vAlign w:val="center"/>
          </w:tcPr>
          <w:p w14:paraId="7C9B44AA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Mechanical ventilation in special situations</w:t>
            </w:r>
          </w:p>
        </w:tc>
      </w:tr>
      <w:tr w:rsidR="005F53CE" w:rsidRPr="00896FBA" w14:paraId="52650E3A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624C3BF5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Apr 2023</w:t>
            </w:r>
          </w:p>
        </w:tc>
        <w:tc>
          <w:tcPr>
            <w:tcW w:w="4930" w:type="dxa"/>
            <w:vAlign w:val="center"/>
          </w:tcPr>
          <w:p w14:paraId="21A502B1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Sedation and analgesia</w:t>
            </w:r>
          </w:p>
        </w:tc>
      </w:tr>
      <w:tr w:rsidR="005F53CE" w:rsidRPr="00896FBA" w14:paraId="1DD90E11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9DF9D51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May 2023</w:t>
            </w:r>
          </w:p>
        </w:tc>
        <w:tc>
          <w:tcPr>
            <w:tcW w:w="4930" w:type="dxa"/>
            <w:vAlign w:val="center"/>
          </w:tcPr>
          <w:p w14:paraId="62A2E286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Preoperative fasting reduction</w:t>
            </w:r>
          </w:p>
        </w:tc>
      </w:tr>
      <w:tr w:rsidR="005F53CE" w:rsidRPr="00896FBA" w14:paraId="2FC07D34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2AFD5E6B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Jun 2023</w:t>
            </w:r>
          </w:p>
        </w:tc>
        <w:tc>
          <w:tcPr>
            <w:tcW w:w="4930" w:type="dxa"/>
            <w:vAlign w:val="center"/>
          </w:tcPr>
          <w:p w14:paraId="551C0A35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Neurocritical patient monitoring</w:t>
            </w:r>
          </w:p>
        </w:tc>
      </w:tr>
      <w:tr w:rsidR="005F53CE" w:rsidRPr="00896FBA" w14:paraId="6A0978A9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6900797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Jul 2023</w:t>
            </w:r>
          </w:p>
        </w:tc>
        <w:tc>
          <w:tcPr>
            <w:tcW w:w="4930" w:type="dxa"/>
            <w:vAlign w:val="center"/>
          </w:tcPr>
          <w:p w14:paraId="5E7FDB35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Intravenous medication management</w:t>
            </w:r>
          </w:p>
        </w:tc>
      </w:tr>
      <w:tr w:rsidR="005F53CE" w:rsidRPr="00896FBA" w14:paraId="5A2690CC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866E7A1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Aug 2023</w:t>
            </w:r>
          </w:p>
        </w:tc>
        <w:tc>
          <w:tcPr>
            <w:tcW w:w="4930" w:type="dxa"/>
            <w:vAlign w:val="center"/>
          </w:tcPr>
          <w:p w14:paraId="6ED0C51B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Major ICU infections</w:t>
            </w:r>
          </w:p>
        </w:tc>
      </w:tr>
      <w:tr w:rsidR="005F53CE" w:rsidRPr="00896FBA" w14:paraId="377A939C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148DC2D8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Sep 2023</w:t>
            </w:r>
          </w:p>
        </w:tc>
        <w:tc>
          <w:tcPr>
            <w:tcW w:w="4930" w:type="dxa"/>
            <w:vAlign w:val="center"/>
          </w:tcPr>
          <w:p w14:paraId="1D789F0E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Inpatient glycaemic management</w:t>
            </w:r>
          </w:p>
        </w:tc>
      </w:tr>
      <w:tr w:rsidR="005F53CE" w:rsidRPr="00896FBA" w14:paraId="7183746F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47D91FF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Oct 2023</w:t>
            </w:r>
          </w:p>
        </w:tc>
        <w:tc>
          <w:tcPr>
            <w:tcW w:w="4930" w:type="dxa"/>
            <w:vAlign w:val="center"/>
          </w:tcPr>
          <w:p w14:paraId="1056EB09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Cardiac patient management in the ICU</w:t>
            </w:r>
          </w:p>
        </w:tc>
      </w:tr>
      <w:tr w:rsidR="005F53CE" w:rsidRPr="00896FBA" w14:paraId="7AF2A597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5B16C10E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Nov 2023</w:t>
            </w:r>
          </w:p>
        </w:tc>
        <w:tc>
          <w:tcPr>
            <w:tcW w:w="4930" w:type="dxa"/>
            <w:vAlign w:val="center"/>
          </w:tcPr>
          <w:p w14:paraId="12F9244F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Multidisciplinary rehabilitation of the critically ill patient</w:t>
            </w:r>
          </w:p>
        </w:tc>
      </w:tr>
    </w:tbl>
    <w:p w14:paraId="49C78937" w14:textId="77777777" w:rsidR="005F53CE" w:rsidRPr="00896FBA" w:rsidRDefault="00000000">
      <w:pPr>
        <w:spacing w:before="40" w:after="120"/>
        <w:rPr>
          <w:rFonts w:ascii="Arial" w:hAnsi="Arial" w:cs="Arial"/>
        </w:rPr>
      </w:pPr>
      <w:r w:rsidRPr="00896FBA">
        <w:rPr>
          <w:rFonts w:ascii="Arial" w:hAnsi="Arial" w:cs="Arial"/>
          <w:i/>
          <w:sz w:val="18"/>
        </w:rPr>
        <w:t>Total recorded in the program-monitoring dashboard: 15 sessions delivered, reaching 1,933 unique professionals. The table lists the sessions for which month/topic metadata were available in the consolidated source table.</w:t>
      </w:r>
    </w:p>
    <w:p w14:paraId="06E7EA76" w14:textId="77777777" w:rsidR="000A1D6A" w:rsidRDefault="000A1D6A">
      <w:pPr>
        <w:spacing w:before="160" w:after="80"/>
        <w:rPr>
          <w:b/>
        </w:rPr>
      </w:pPr>
    </w:p>
    <w:p w14:paraId="0A1A5E6D" w14:textId="77777777" w:rsidR="000A1D6A" w:rsidRDefault="000A1D6A">
      <w:pPr>
        <w:spacing w:before="160" w:after="80"/>
        <w:rPr>
          <w:b/>
        </w:rPr>
      </w:pPr>
    </w:p>
    <w:p w14:paraId="30A53FDC" w14:textId="77777777" w:rsidR="000A1D6A" w:rsidRDefault="000A1D6A">
      <w:pPr>
        <w:spacing w:before="160" w:after="80"/>
        <w:rPr>
          <w:b/>
        </w:rPr>
      </w:pPr>
    </w:p>
    <w:p w14:paraId="4E8FA09B" w14:textId="77777777" w:rsidR="000A1D6A" w:rsidRDefault="000A1D6A">
      <w:pPr>
        <w:spacing w:before="160" w:after="80"/>
        <w:rPr>
          <w:b/>
        </w:rPr>
      </w:pPr>
    </w:p>
    <w:p w14:paraId="7711314C" w14:textId="77777777" w:rsidR="005F53CE" w:rsidRPr="00896FBA" w:rsidRDefault="00000000">
      <w:pPr>
        <w:spacing w:before="160" w:after="80"/>
        <w:rPr>
          <w:rFonts w:ascii="Arial" w:hAnsi="Arial" w:cs="Arial"/>
        </w:rPr>
      </w:pPr>
      <w:r w:rsidRPr="00896FBA">
        <w:rPr>
          <w:rFonts w:ascii="Arial" w:hAnsi="Arial" w:cs="Arial"/>
          <w:b/>
        </w:rPr>
        <w:lastRenderedPageBreak/>
        <w:t xml:space="preserve">Supplemental Table 6.2. Periodic thematic campaigns </w:t>
      </w:r>
      <w:r w:rsidR="00A3663C" w:rsidRPr="00896FBA">
        <w:rPr>
          <w:rFonts w:ascii="Arial" w:hAnsi="Arial" w:cs="Arial"/>
          <w:b/>
        </w:rPr>
        <w:t xml:space="preserve">are </w:t>
      </w:r>
      <w:r w:rsidRPr="00896FBA">
        <w:rPr>
          <w:rFonts w:ascii="Arial" w:hAnsi="Arial" w:cs="Arial"/>
          <w:b/>
        </w:rPr>
        <w:t>delivered by the coordinating center on priority clinical and safety topics.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28"/>
        <w:gridCol w:w="6914"/>
      </w:tblGrid>
      <w:tr w:rsidR="005F53CE" w:rsidRPr="00896FBA" w14:paraId="603F08A3" w14:textId="77777777" w:rsidTr="00896F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99D2C64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Month</w:t>
            </w:r>
          </w:p>
        </w:tc>
        <w:tc>
          <w:tcPr>
            <w:tcW w:w="6914" w:type="dxa"/>
          </w:tcPr>
          <w:p w14:paraId="4DBCD4DD" w14:textId="77777777" w:rsidR="005F53CE" w:rsidRPr="00896FBA" w:rsidRDefault="00000000" w:rsidP="000A1D6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Topic</w:t>
            </w:r>
          </w:p>
        </w:tc>
      </w:tr>
      <w:tr w:rsidR="005F53CE" w:rsidRPr="00896FBA" w14:paraId="61897A16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D3B33B2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Jun 2022</w:t>
            </w:r>
          </w:p>
        </w:tc>
        <w:tc>
          <w:tcPr>
            <w:tcW w:w="6914" w:type="dxa"/>
          </w:tcPr>
          <w:p w14:paraId="133B35BE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Clinical case discussion</w:t>
            </w:r>
          </w:p>
        </w:tc>
      </w:tr>
      <w:tr w:rsidR="005F53CE" w:rsidRPr="00896FBA" w14:paraId="05FD013E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21D8371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Jul 2022</w:t>
            </w:r>
          </w:p>
        </w:tc>
        <w:tc>
          <w:tcPr>
            <w:tcW w:w="6914" w:type="dxa"/>
          </w:tcPr>
          <w:p w14:paraId="71488401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Sedation and analgesia</w:t>
            </w:r>
          </w:p>
        </w:tc>
      </w:tr>
      <w:tr w:rsidR="005F53CE" w:rsidRPr="00896FBA" w14:paraId="75E78DC9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6256A22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Nov 2022</w:t>
            </w:r>
          </w:p>
        </w:tc>
        <w:tc>
          <w:tcPr>
            <w:tcW w:w="6914" w:type="dxa"/>
          </w:tcPr>
          <w:p w14:paraId="7465868C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Phlebitis and central venous access management</w:t>
            </w:r>
          </w:p>
        </w:tc>
      </w:tr>
      <w:tr w:rsidR="005F53CE" w:rsidRPr="00896FBA" w14:paraId="75BF48DD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F374BA2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Dec 2022</w:t>
            </w:r>
          </w:p>
        </w:tc>
        <w:tc>
          <w:tcPr>
            <w:tcW w:w="6914" w:type="dxa"/>
          </w:tcPr>
          <w:p w14:paraId="175D6A2F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Ventilator weaning, extubation, and non-invasive ventilation</w:t>
            </w:r>
          </w:p>
        </w:tc>
      </w:tr>
      <w:tr w:rsidR="005F53CE" w:rsidRPr="00896FBA" w14:paraId="4BA84CBB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65B448A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Jan 2023</w:t>
            </w:r>
          </w:p>
        </w:tc>
        <w:tc>
          <w:tcPr>
            <w:tcW w:w="6914" w:type="dxa"/>
          </w:tcPr>
          <w:p w14:paraId="36613E85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Early mobilization</w:t>
            </w:r>
          </w:p>
        </w:tc>
      </w:tr>
      <w:tr w:rsidR="005F53CE" w:rsidRPr="00896FBA" w14:paraId="59D40E87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29488AA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Feb 2023</w:t>
            </w:r>
          </w:p>
        </w:tc>
        <w:tc>
          <w:tcPr>
            <w:tcW w:w="6914" w:type="dxa"/>
          </w:tcPr>
          <w:p w14:paraId="674B965B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Assertive communication</w:t>
            </w:r>
          </w:p>
        </w:tc>
      </w:tr>
      <w:tr w:rsidR="005F53CE" w:rsidRPr="00896FBA" w14:paraId="2700E738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73E3958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Mar 2023</w:t>
            </w:r>
          </w:p>
        </w:tc>
        <w:tc>
          <w:tcPr>
            <w:tcW w:w="6914" w:type="dxa"/>
          </w:tcPr>
          <w:p w14:paraId="692AB8D0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Pressure injury prevention</w:t>
            </w:r>
          </w:p>
        </w:tc>
      </w:tr>
      <w:tr w:rsidR="005F53CE" w:rsidRPr="00896FBA" w14:paraId="461C112D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8B31925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Apr 2023</w:t>
            </w:r>
          </w:p>
        </w:tc>
        <w:tc>
          <w:tcPr>
            <w:tcW w:w="6914" w:type="dxa"/>
          </w:tcPr>
          <w:p w14:paraId="39D89D6C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Pressure injury treatment</w:t>
            </w:r>
          </w:p>
        </w:tc>
      </w:tr>
      <w:tr w:rsidR="005F53CE" w:rsidRPr="00896FBA" w14:paraId="44EDAB8A" w14:textId="77777777" w:rsidTr="00896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DCBB620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Jun 2023</w:t>
            </w:r>
          </w:p>
        </w:tc>
        <w:tc>
          <w:tcPr>
            <w:tcW w:w="6914" w:type="dxa"/>
          </w:tcPr>
          <w:p w14:paraId="4B16CE1A" w14:textId="77777777" w:rsidR="005F53CE" w:rsidRPr="00896FBA" w:rsidRDefault="00000000" w:rsidP="00896FB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Early mobilization (continuation)</w:t>
            </w:r>
          </w:p>
        </w:tc>
      </w:tr>
      <w:tr w:rsidR="005F53CE" w:rsidRPr="00896FBA" w14:paraId="16263A66" w14:textId="77777777" w:rsidTr="00896F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CDA9CC7" w14:textId="77777777" w:rsidR="005F53CE" w:rsidRPr="00896FBA" w:rsidRDefault="00000000" w:rsidP="000A1D6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b w:val="0"/>
                <w:sz w:val="17"/>
              </w:rPr>
              <w:t>Nov 2023</w:t>
            </w:r>
          </w:p>
        </w:tc>
        <w:tc>
          <w:tcPr>
            <w:tcW w:w="6914" w:type="dxa"/>
          </w:tcPr>
          <w:p w14:paraId="19BD81B8" w14:textId="77777777" w:rsidR="005F53CE" w:rsidRPr="00896FBA" w:rsidRDefault="00000000" w:rsidP="00896FB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96FBA">
              <w:rPr>
                <w:rFonts w:ascii="Arial" w:hAnsi="Arial" w:cs="Arial"/>
                <w:sz w:val="17"/>
              </w:rPr>
              <w:t>Speech-language pathology in the ICU: assessment, intervention, and pathways</w:t>
            </w:r>
          </w:p>
        </w:tc>
      </w:tr>
    </w:tbl>
    <w:p w14:paraId="539B2AA1" w14:textId="77777777" w:rsidR="005F53CE" w:rsidRPr="00896FBA" w:rsidRDefault="00000000">
      <w:pPr>
        <w:spacing w:before="40" w:after="120"/>
        <w:rPr>
          <w:rFonts w:ascii="Arial" w:hAnsi="Arial" w:cs="Arial"/>
        </w:rPr>
      </w:pPr>
      <w:r w:rsidRPr="00896FBA">
        <w:rPr>
          <w:rFonts w:ascii="Arial" w:hAnsi="Arial" w:cs="Arial"/>
          <w:i/>
          <w:sz w:val="18"/>
        </w:rPr>
        <w:t>Total: 11 campaigns delivered, reaching 701 unique professionals.</w:t>
      </w:r>
    </w:p>
    <w:p w14:paraId="02BF3896" w14:textId="77777777" w:rsidR="005F53CE" w:rsidRPr="00896FBA" w:rsidRDefault="00000000">
      <w:pPr>
        <w:rPr>
          <w:rFonts w:ascii="Arial" w:hAnsi="Arial" w:cs="Arial"/>
        </w:rPr>
      </w:pPr>
      <w:r w:rsidRPr="00896FBA">
        <w:rPr>
          <w:rFonts w:ascii="Arial" w:hAnsi="Arial" w:cs="Arial"/>
        </w:rPr>
        <w:br w:type="page"/>
      </w:r>
    </w:p>
    <w:p w14:paraId="7CEA7AA6" w14:textId="77777777" w:rsidR="005F53CE" w:rsidRPr="00896FBA" w:rsidRDefault="00000000" w:rsidP="000A1D6A">
      <w:pPr>
        <w:pStyle w:val="SupplementHeading"/>
        <w:spacing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lastRenderedPageBreak/>
        <w:t>Supplemental Section 7. Qualitative data sources and CFIR-guided analytic procedure</w:t>
      </w:r>
    </w:p>
    <w:p w14:paraId="4A70404C" w14:textId="77777777" w:rsidR="005F53CE" w:rsidRPr="00896FBA" w:rsidRDefault="00000000" w:rsidP="000A1D6A">
      <w:pPr>
        <w:spacing w:before="160" w:after="4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b/>
          <w:sz w:val="24"/>
          <w:szCs w:val="24"/>
        </w:rPr>
        <w:t>S7.1. Framework</w:t>
      </w:r>
    </w:p>
    <w:p w14:paraId="4F5F761B" w14:textId="77777777" w:rsidR="005F53CE" w:rsidRPr="00896FBA" w:rsidRDefault="00000000" w:rsidP="000A1D6A">
      <w:pPr>
        <w:spacing w:after="8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t>Qualitative data were analyzed using a directed-content approach guided by the Consolidated Framework for Implementation Research (CFIR; Damschroder et al., Implement Sci 2009;4:50), encompassing five domains: intervention characteristics, outer setting, inner setting, characteristics of individuals, and implementation process.</w:t>
      </w:r>
    </w:p>
    <w:p w14:paraId="1C42C320" w14:textId="77777777" w:rsidR="005F53CE" w:rsidRPr="00896FBA" w:rsidRDefault="00000000" w:rsidP="000A1D6A">
      <w:pPr>
        <w:spacing w:before="160" w:after="4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b/>
          <w:sz w:val="24"/>
          <w:szCs w:val="24"/>
        </w:rPr>
        <w:t>S7.2. Data sources</w:t>
      </w:r>
    </w:p>
    <w:p w14:paraId="484469E2" w14:textId="77777777" w:rsidR="005F53CE" w:rsidRPr="00896FBA" w:rsidRDefault="00000000" w:rsidP="00896FBA">
      <w:pPr>
        <w:spacing w:after="80" w:line="480" w:lineRule="auto"/>
        <w:ind w:left="720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t>• Structured site-visit reports (initial and monitoring/rescue visits).</w:t>
      </w:r>
      <w:r w:rsidRPr="00896FBA">
        <w:rPr>
          <w:rFonts w:ascii="Arial" w:hAnsi="Arial" w:cs="Arial"/>
          <w:sz w:val="24"/>
          <w:szCs w:val="24"/>
        </w:rPr>
        <w:br/>
        <w:t>• Implementation feedback documents submitted by participating units.</w:t>
      </w:r>
      <w:r w:rsidRPr="00896FBA">
        <w:rPr>
          <w:rFonts w:ascii="Arial" w:hAnsi="Arial" w:cs="Arial"/>
          <w:sz w:val="24"/>
          <w:szCs w:val="24"/>
        </w:rPr>
        <w:br/>
        <w:t>• Coordinator debriefings (end-of-program structured interviews and ad-hoc reports).</w:t>
      </w:r>
      <w:r w:rsidRPr="00896FBA">
        <w:rPr>
          <w:rFonts w:ascii="Arial" w:hAnsi="Arial" w:cs="Arial"/>
          <w:sz w:val="24"/>
          <w:szCs w:val="24"/>
        </w:rPr>
        <w:br/>
        <w:t>• Coordination-team correspondence and meeting minutes.</w:t>
      </w:r>
      <w:r w:rsidRPr="00896FBA">
        <w:rPr>
          <w:rFonts w:ascii="Arial" w:hAnsi="Arial" w:cs="Arial"/>
          <w:sz w:val="24"/>
          <w:szCs w:val="24"/>
        </w:rPr>
        <w:br/>
        <w:t>• Aggregated quarterly performance reports.</w:t>
      </w:r>
    </w:p>
    <w:p w14:paraId="039ED2FB" w14:textId="77777777" w:rsidR="005F53CE" w:rsidRPr="00896FBA" w:rsidRDefault="00000000" w:rsidP="000A1D6A">
      <w:pPr>
        <w:spacing w:before="160" w:after="4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b/>
          <w:sz w:val="24"/>
          <w:szCs w:val="24"/>
        </w:rPr>
        <w:t>S7.3. Coding procedure</w:t>
      </w:r>
    </w:p>
    <w:p w14:paraId="7F108C6B" w14:textId="77777777" w:rsidR="005F53CE" w:rsidRPr="00896FBA" w:rsidRDefault="00000000" w:rsidP="000A1D6A">
      <w:pPr>
        <w:spacing w:after="8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t>Primary coding was performed by one analyst (DLGR), reflecting resource constraints common in large-scale service evaluations. A codebook was developed iteratively from the CFIR domains and refined during analysis. Each excerpt was tagged with the corresponding domain and sub-construct (e.g., inner setting/leadership engagement). Convergence and divergence with quantitative indicators were examined under a convergent mixed-methods integration design.</w:t>
      </w:r>
    </w:p>
    <w:p w14:paraId="38E7EFA4" w14:textId="77777777" w:rsidR="005F53CE" w:rsidRPr="00896FBA" w:rsidRDefault="00000000" w:rsidP="000A1D6A">
      <w:pPr>
        <w:spacing w:before="160" w:after="4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b/>
          <w:sz w:val="24"/>
          <w:szCs w:val="24"/>
        </w:rPr>
        <w:t>S7.4. Procedures to enhance analytic credibility</w:t>
      </w:r>
    </w:p>
    <w:p w14:paraId="34E12957" w14:textId="77777777" w:rsidR="005F53CE" w:rsidRPr="00896FBA" w:rsidRDefault="00000000" w:rsidP="00896FBA">
      <w:pPr>
        <w:spacing w:after="80" w:line="480" w:lineRule="auto"/>
        <w:ind w:left="720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t>• Member checking: emerging themes and interpretations were shared with site coordinators of sustained units for validation and refinement.</w:t>
      </w:r>
      <w:r w:rsidRPr="00896FBA">
        <w:rPr>
          <w:rFonts w:ascii="Arial" w:hAnsi="Arial" w:cs="Arial"/>
          <w:sz w:val="24"/>
          <w:szCs w:val="24"/>
        </w:rPr>
        <w:br/>
        <w:t>• Peer debriefing: two independent researchers reviewed the codebook, sampled coded excerpts, and the resulting thematic synthesis.</w:t>
      </w:r>
      <w:r w:rsidRPr="00896FBA">
        <w:rPr>
          <w:rFonts w:ascii="Arial" w:hAnsi="Arial" w:cs="Arial"/>
          <w:sz w:val="24"/>
          <w:szCs w:val="24"/>
        </w:rPr>
        <w:br/>
        <w:t xml:space="preserve">• Reflexive analytic team discussions were used to identify and mitigate potential </w:t>
      </w:r>
      <w:r w:rsidRPr="00896FBA">
        <w:rPr>
          <w:rFonts w:ascii="Arial" w:hAnsi="Arial" w:cs="Arial"/>
          <w:sz w:val="24"/>
          <w:szCs w:val="24"/>
        </w:rPr>
        <w:lastRenderedPageBreak/>
        <w:t>interpretive bias.</w:t>
      </w:r>
      <w:r w:rsidRPr="00896FBA">
        <w:rPr>
          <w:rFonts w:ascii="Arial" w:hAnsi="Arial" w:cs="Arial"/>
          <w:sz w:val="24"/>
          <w:szCs w:val="24"/>
        </w:rPr>
        <w:br/>
        <w:t>• Triangulation was performed across multiple data sources (site visits, debriefings, correspondence, performance reports).</w:t>
      </w:r>
    </w:p>
    <w:p w14:paraId="3CFBC260" w14:textId="77777777" w:rsidR="005F53CE" w:rsidRPr="00896FBA" w:rsidRDefault="00000000" w:rsidP="000A1D6A">
      <w:pPr>
        <w:spacing w:before="160" w:after="4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b/>
          <w:sz w:val="24"/>
          <w:szCs w:val="24"/>
        </w:rPr>
        <w:t>S7.5. Summary of CFIR findings</w:t>
      </w:r>
    </w:p>
    <w:p w14:paraId="215CB990" w14:textId="77777777" w:rsidR="005F53CE" w:rsidRPr="00896FBA" w:rsidRDefault="00000000" w:rsidP="000A1D6A">
      <w:pPr>
        <w:spacing w:after="80" w:line="480" w:lineRule="auto"/>
        <w:rPr>
          <w:rFonts w:ascii="Arial" w:hAnsi="Arial" w:cs="Arial"/>
          <w:sz w:val="24"/>
          <w:szCs w:val="24"/>
        </w:rPr>
      </w:pPr>
      <w:r w:rsidRPr="00896FBA">
        <w:rPr>
          <w:rFonts w:ascii="Arial" w:hAnsi="Arial" w:cs="Arial"/>
          <w:sz w:val="24"/>
          <w:szCs w:val="24"/>
        </w:rPr>
        <w:t>A summary of CFIR-identified facilitators and barriers is provided in Table 2 of the main manuscript.</w:t>
      </w:r>
    </w:p>
    <w:sectPr w:rsidR="005F53CE" w:rsidRPr="00896FBA" w:rsidSect="00034616">
      <w:pgSz w:w="12240" w:h="15840"/>
      <w:pgMar w:top="936" w:right="864" w:bottom="93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991531">
    <w:abstractNumId w:val="8"/>
  </w:num>
  <w:num w:numId="2" w16cid:durableId="1113868388">
    <w:abstractNumId w:val="6"/>
  </w:num>
  <w:num w:numId="3" w16cid:durableId="989212094">
    <w:abstractNumId w:val="5"/>
  </w:num>
  <w:num w:numId="4" w16cid:durableId="1398933">
    <w:abstractNumId w:val="4"/>
  </w:num>
  <w:num w:numId="5" w16cid:durableId="1880976118">
    <w:abstractNumId w:val="7"/>
  </w:num>
  <w:num w:numId="6" w16cid:durableId="1726445079">
    <w:abstractNumId w:val="3"/>
  </w:num>
  <w:num w:numId="7" w16cid:durableId="453212471">
    <w:abstractNumId w:val="2"/>
  </w:num>
  <w:num w:numId="8" w16cid:durableId="267196407">
    <w:abstractNumId w:val="1"/>
  </w:num>
  <w:num w:numId="9" w16cid:durableId="181109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494"/>
    <w:rsid w:val="000A1D6A"/>
    <w:rsid w:val="00127249"/>
    <w:rsid w:val="0015074B"/>
    <w:rsid w:val="0029639D"/>
    <w:rsid w:val="00326F90"/>
    <w:rsid w:val="005F53CE"/>
    <w:rsid w:val="00714CAE"/>
    <w:rsid w:val="007C537E"/>
    <w:rsid w:val="00896FBA"/>
    <w:rsid w:val="00A3663C"/>
    <w:rsid w:val="00AA1D8D"/>
    <w:rsid w:val="00B47730"/>
    <w:rsid w:val="00B71D1A"/>
    <w:rsid w:val="00B87D8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4ACF5"/>
  <w14:defaultImageDpi w14:val="300"/>
  <w15:docId w15:val="{84E0726C-CA53-4576-B311-0C844D73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pplementTitle">
    <w:name w:val="Supplement Title"/>
    <w:rPr>
      <w:rFonts w:ascii="Times New Roman" w:hAnsi="Times New Roman"/>
      <w:b/>
      <w:sz w:val="26"/>
    </w:rPr>
  </w:style>
  <w:style w:type="paragraph" w:customStyle="1" w:styleId="SupplementHeading">
    <w:name w:val="Supplement Heading"/>
    <w:rPr>
      <w:rFonts w:ascii="Times New Roman" w:hAnsi="Times New Roman"/>
      <w:b/>
    </w:rPr>
  </w:style>
  <w:style w:type="table" w:styleId="PlainTable5">
    <w:name w:val="Plain Table 5"/>
    <w:basedOn w:val="TableNormal"/>
    <w:uiPriority w:val="99"/>
    <w:rsid w:val="000A1D6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0A1D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1244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 Laranja Rodrigues</cp:lastModifiedBy>
  <cp:revision>2</cp:revision>
  <dcterms:created xsi:type="dcterms:W3CDTF">2026-06-29T21:05:00Z</dcterms:created>
  <dcterms:modified xsi:type="dcterms:W3CDTF">2026-06-29T21:05:00Z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2bcb6b9c-572c-4855-b7d8-d37b7285be94</vt:lpwstr>
  </property>
</Properties>
</file>