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BE907" w14:textId="145A334B" w:rsidR="00F35A57" w:rsidRDefault="00497CD5" w:rsidP="006B3714">
      <w:pPr>
        <w:spacing w:line="480" w:lineRule="auto"/>
      </w:pPr>
      <w:r>
        <w:rPr>
          <w:noProof/>
        </w:rPr>
        <w:drawing>
          <wp:inline distT="0" distB="0" distL="0" distR="0" wp14:anchorId="636E8642" wp14:editId="7132B177">
            <wp:extent cx="5943600" cy="2299335"/>
            <wp:effectExtent l="0" t="0" r="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2299335"/>
                    </a:xfrm>
                    <a:prstGeom prst="rect">
                      <a:avLst/>
                    </a:prstGeom>
                  </pic:spPr>
                </pic:pic>
              </a:graphicData>
            </a:graphic>
          </wp:inline>
        </w:drawing>
      </w:r>
    </w:p>
    <w:p w14:paraId="0E2CE528" w14:textId="3C61A2CA" w:rsidR="001B6BDE" w:rsidRDefault="00582E73" w:rsidP="001B6BDE">
      <w:pPr>
        <w:spacing w:line="480" w:lineRule="auto"/>
      </w:pPr>
      <w:r w:rsidRPr="00956844">
        <w:rPr>
          <w:b/>
          <w:bCs/>
        </w:rPr>
        <w:t>Figure S</w:t>
      </w:r>
      <w:r>
        <w:rPr>
          <w:b/>
          <w:bCs/>
        </w:rPr>
        <w:t>1</w:t>
      </w:r>
      <w:r>
        <w:t xml:space="preserve">. </w:t>
      </w:r>
      <w:r w:rsidRPr="007D2B0B">
        <w:rPr>
          <w:b/>
          <w:bCs/>
        </w:rPr>
        <w:t>Decadal AMOC streamfunction anomalies and regional transport summaries for 1965–20</w:t>
      </w:r>
      <w:r>
        <w:rPr>
          <w:b/>
          <w:bCs/>
        </w:rPr>
        <w:t>22</w:t>
      </w:r>
      <w:r w:rsidRPr="007D2B0B">
        <w:t>. (a–</w:t>
      </w:r>
      <w:r>
        <w:t>f</w:t>
      </w:r>
      <w:r w:rsidRPr="007D2B0B">
        <w:t>) AMOC streamfunction anomalies in potential density (</w:t>
      </w:r>
      <w:r w:rsidRPr="008E3A09">
        <w:rPr>
          <w:i/>
          <w:iCs/>
        </w:rPr>
        <w:t>ρ</w:t>
      </w:r>
      <w:r w:rsidRPr="007D2B0B">
        <w:rPr>
          <w:vertAlign w:val="subscript"/>
        </w:rPr>
        <w:t>2</w:t>
      </w:r>
      <w:r w:rsidRPr="007D2B0B">
        <w:t>) coordinate</w:t>
      </w:r>
      <w:r>
        <w:t>s</w:t>
      </w:r>
      <w:r w:rsidRPr="007D2B0B">
        <w:t xml:space="preserve"> against latitude for the </w:t>
      </w:r>
      <w:r w:rsidR="00F27E56">
        <w:t>2015</w:t>
      </w:r>
      <w:r w:rsidR="00F27E56" w:rsidRPr="007D2B0B">
        <w:t>–</w:t>
      </w:r>
      <w:r w:rsidR="00F27E56">
        <w:t>2022, 2005</w:t>
      </w:r>
      <w:r w:rsidR="00F27E56" w:rsidRPr="007D2B0B">
        <w:t>–</w:t>
      </w:r>
      <w:r w:rsidR="00F27E56">
        <w:t xml:space="preserve">2014, </w:t>
      </w:r>
      <w:r w:rsidRPr="007D2B0B">
        <w:t xml:space="preserve">1995–2004, 1985–1994, 1975–1984, and 1965–1974 periods relative to the 1955–1964 </w:t>
      </w:r>
      <w:r w:rsidR="005E0416">
        <w:t>b baseline</w:t>
      </w:r>
      <w:r w:rsidRPr="007D2B0B">
        <w:t xml:space="preserve"> period. (</w:t>
      </w:r>
      <w:r w:rsidR="00F27E56">
        <w:t>g</w:t>
      </w:r>
      <w:r w:rsidRPr="007D2B0B">
        <w:t>–</w:t>
      </w:r>
      <w:r w:rsidR="00F27E56">
        <w:t>l</w:t>
      </w:r>
      <w:r w:rsidRPr="007D2B0B">
        <w:t>) Corresponding bar plots summarizing the absolute transport values for regional MOC components (</w:t>
      </w:r>
      <w:r>
        <w:t>MOC</w:t>
      </w:r>
      <w:r w:rsidRPr="00B72BBC">
        <w:rPr>
          <w:vertAlign w:val="subscript"/>
        </w:rPr>
        <w:t>45N</w:t>
      </w:r>
      <w:r w:rsidRPr="003F32CE">
        <w:t xml:space="preserve">, </w:t>
      </w:r>
      <w:r>
        <w:t>MOC</w:t>
      </w:r>
      <w:r w:rsidRPr="00B72BBC">
        <w:rPr>
          <w:vertAlign w:val="subscript"/>
        </w:rPr>
        <w:t>SPO</w:t>
      </w:r>
      <w:r w:rsidRPr="003F32CE">
        <w:t xml:space="preserve">, </w:t>
      </w:r>
      <w:r>
        <w:t>MOC</w:t>
      </w:r>
      <w:r w:rsidRPr="00B72BBC">
        <w:rPr>
          <w:vertAlign w:val="subscript"/>
        </w:rPr>
        <w:t>70N</w:t>
      </w:r>
      <w:r w:rsidRPr="003F32CE">
        <w:t xml:space="preserve">, </w:t>
      </w:r>
      <w:r>
        <w:t>MOC</w:t>
      </w:r>
      <w:r w:rsidRPr="00B72BBC">
        <w:rPr>
          <w:vertAlign w:val="subscript"/>
        </w:rPr>
        <w:t>NOR</w:t>
      </w:r>
      <w:r w:rsidRPr="003F32CE">
        <w:t xml:space="preserve">, </w:t>
      </w:r>
      <w:r>
        <w:t>and MOC</w:t>
      </w:r>
      <w:r w:rsidRPr="00B72BBC">
        <w:rPr>
          <w:vertAlign w:val="subscript"/>
        </w:rPr>
        <w:t>ARC</w:t>
      </w:r>
      <w:r w:rsidRPr="007D2B0B">
        <w:t xml:space="preserve">) compared to the </w:t>
      </w:r>
      <w:r w:rsidR="005E0416">
        <w:t>baseline</w:t>
      </w:r>
      <w:r w:rsidRPr="007D2B0B">
        <w:t xml:space="preserve"> period (hatched bars).</w:t>
      </w:r>
      <w:r w:rsidR="001B6BDE">
        <w:t xml:space="preserve"> </w:t>
      </w:r>
      <w:r w:rsidR="001D3246" w:rsidRPr="001D3246">
        <w:t>Analysis periods are denoted by their initial boundary years (e.g., P1955 represents the 1955–1964 baseline, and P2015 represents 2015–2022).</w:t>
      </w:r>
      <w:r w:rsidR="001D3246">
        <w:t xml:space="preserve"> </w:t>
      </w:r>
      <w:r w:rsidR="001B6BDE">
        <w:t>The vertical dash-dot lines in (a</w:t>
      </w:r>
      <w:r w:rsidR="001B6BDE" w:rsidRPr="002A1E41">
        <w:t>–</w:t>
      </w:r>
      <w:r w:rsidR="001B6BDE">
        <w:t>h) indicate 45°N, 70°N, and 80°N latitudes, while the horizontal dash-dot lines in (a</w:t>
      </w:r>
      <w:r w:rsidR="001B6BDE" w:rsidRPr="002A1E41">
        <w:t>–</w:t>
      </w:r>
      <w:r w:rsidR="001B6BDE">
        <w:t xml:space="preserve">h) indicate two </w:t>
      </w:r>
      <w:r w:rsidR="001B6BDE" w:rsidRPr="001C7E09">
        <w:rPr>
          <w:i/>
          <w:iCs/>
        </w:rPr>
        <w:t>ρ</w:t>
      </w:r>
      <w:r w:rsidR="001B6BDE" w:rsidRPr="00EC469D">
        <w:rPr>
          <w:vertAlign w:val="subscript"/>
        </w:rPr>
        <w:t>2</w:t>
      </w:r>
      <w:r w:rsidR="001B6BDE">
        <w:t xml:space="preserve"> isopycnal horizons (1036.6, and 1037 </w:t>
      </w:r>
      <w:r w:rsidR="001B6BDE" w:rsidRPr="00EC469D">
        <w:rPr>
          <w:i/>
          <w:iCs/>
        </w:rPr>
        <w:t>kg m</w:t>
      </w:r>
      <w:r w:rsidR="001B6BDE">
        <w:t xml:space="preserve">⁻³) that roughly demarcate the boundaries between the AMOC’s upper and lower limbs, </w:t>
      </w:r>
      <w:r w:rsidR="001B6BDE" w:rsidRPr="00AE22FC">
        <w:t>and</w:t>
      </w:r>
      <w:r w:rsidR="001B6BDE">
        <w:t xml:space="preserve"> between</w:t>
      </w:r>
      <w:r w:rsidR="001B6BDE" w:rsidRPr="00AE22FC">
        <w:t xml:space="preserve"> the lower limb </w:t>
      </w:r>
      <w:r w:rsidR="001B6BDE">
        <w:t xml:space="preserve">and </w:t>
      </w:r>
      <w:r w:rsidR="001B6BDE" w:rsidRPr="00AE22FC">
        <w:t>the Nordic Seas overflow waters, respectively</w:t>
      </w:r>
      <w:r w:rsidR="001B6BDE">
        <w:t>.</w:t>
      </w:r>
    </w:p>
    <w:p w14:paraId="7EF74A54" w14:textId="6B5FF98F" w:rsidR="00582E73" w:rsidRDefault="00582E73" w:rsidP="00582E73">
      <w:pPr>
        <w:spacing w:line="480" w:lineRule="auto"/>
      </w:pPr>
    </w:p>
    <w:p w14:paraId="089114D7" w14:textId="6FEB75B8" w:rsidR="00582E73" w:rsidRDefault="00582E73" w:rsidP="00582E73">
      <w:pPr>
        <w:spacing w:line="480" w:lineRule="auto"/>
      </w:pPr>
    </w:p>
    <w:p w14:paraId="37B706E2" w14:textId="77777777" w:rsidR="00582E73" w:rsidRDefault="00582E73" w:rsidP="006B3714">
      <w:pPr>
        <w:spacing w:line="480" w:lineRule="auto"/>
        <w:rPr>
          <w:b/>
          <w:bCs/>
        </w:rPr>
      </w:pPr>
    </w:p>
    <w:p w14:paraId="6CDBD6B2" w14:textId="77777777" w:rsidR="00582E73" w:rsidRDefault="00582E73" w:rsidP="006B3714">
      <w:pPr>
        <w:spacing w:line="480" w:lineRule="auto"/>
        <w:rPr>
          <w:b/>
          <w:bCs/>
        </w:rPr>
      </w:pPr>
    </w:p>
    <w:p w14:paraId="545165E4" w14:textId="794E2119" w:rsidR="00582E73" w:rsidRDefault="00497CD5" w:rsidP="006B3714">
      <w:pPr>
        <w:spacing w:line="480" w:lineRule="auto"/>
        <w:rPr>
          <w:b/>
          <w:bCs/>
        </w:rPr>
      </w:pPr>
      <w:r>
        <w:rPr>
          <w:b/>
          <w:bCs/>
          <w:noProof/>
        </w:rPr>
        <w:lastRenderedPageBreak/>
        <w:drawing>
          <wp:inline distT="0" distB="0" distL="0" distR="0" wp14:anchorId="4558ABBA" wp14:editId="44EBD8E5">
            <wp:extent cx="5943600" cy="5441315"/>
            <wp:effectExtent l="0" t="0" r="0" b="698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5441315"/>
                    </a:xfrm>
                    <a:prstGeom prst="rect">
                      <a:avLst/>
                    </a:prstGeom>
                  </pic:spPr>
                </pic:pic>
              </a:graphicData>
            </a:graphic>
          </wp:inline>
        </w:drawing>
      </w:r>
    </w:p>
    <w:p w14:paraId="1F2765B2" w14:textId="77777777" w:rsidR="001D3246" w:rsidRDefault="00956844" w:rsidP="001D3246">
      <w:pPr>
        <w:spacing w:line="480" w:lineRule="auto"/>
      </w:pPr>
      <w:r w:rsidRPr="00956844">
        <w:rPr>
          <w:b/>
          <w:bCs/>
        </w:rPr>
        <w:t>Figure S</w:t>
      </w:r>
      <w:r w:rsidR="00582E73">
        <w:rPr>
          <w:b/>
          <w:bCs/>
        </w:rPr>
        <w:t>2</w:t>
      </w:r>
      <w:r>
        <w:t xml:space="preserve">. </w:t>
      </w:r>
      <w:r w:rsidR="001572C2" w:rsidRPr="001572C2">
        <w:rPr>
          <w:b/>
          <w:bCs/>
        </w:rPr>
        <w:t>AMOC streamfunction and profiles for the 1975–1984 and 1985–1994 decadal periods</w:t>
      </w:r>
      <w:r w:rsidR="001572C2" w:rsidRPr="001572C2">
        <w:t>.  (a, e) Total AMOC streamfunction in potential density (</w:t>
      </w:r>
      <w:r w:rsidR="00B7493D">
        <w:rPr>
          <w:i/>
          <w:iCs/>
        </w:rPr>
        <w:t>ρ</w:t>
      </w:r>
      <w:r w:rsidR="001572C2" w:rsidRPr="00D60302">
        <w:rPr>
          <w:vertAlign w:val="subscript"/>
        </w:rPr>
        <w:t>2</w:t>
      </w:r>
      <w:r w:rsidR="001572C2" w:rsidRPr="001572C2">
        <w:t xml:space="preserve">) coordinates against latitude. Contour lines represent the total transport, while color shading indicates the transport anomaly relative to the 1955–1964 </w:t>
      </w:r>
      <w:r w:rsidR="005E0416">
        <w:t>baseline</w:t>
      </w:r>
      <w:r w:rsidR="001572C2" w:rsidRPr="001572C2">
        <w:t xml:space="preserve"> period. (b–d, f–h) Profiles of the AMOC in </w:t>
      </w:r>
      <w:r w:rsidR="00F1029B">
        <w:rPr>
          <w:i/>
          <w:iCs/>
        </w:rPr>
        <w:t>ρ</w:t>
      </w:r>
      <w:r w:rsidR="001572C2" w:rsidRPr="00D60302">
        <w:rPr>
          <w:vertAlign w:val="subscript"/>
        </w:rPr>
        <w:t>2</w:t>
      </w:r>
      <w:r w:rsidR="001572C2" w:rsidRPr="001572C2">
        <w:t xml:space="preserve"> across 45°N, 70°N, and 80°N. Solid lines </w:t>
      </w:r>
      <w:r w:rsidR="001B6BDE">
        <w:t xml:space="preserve">in </w:t>
      </w:r>
      <w:r w:rsidR="001B6BDE" w:rsidRPr="001572C2">
        <w:t>(b–d, f–h)</w:t>
      </w:r>
      <w:r w:rsidR="001B6BDE">
        <w:t xml:space="preserve"> </w:t>
      </w:r>
      <w:r w:rsidR="001572C2" w:rsidRPr="001572C2">
        <w:t xml:space="preserve">denote the specified decadal period, and dashed lines </w:t>
      </w:r>
      <w:r w:rsidR="001B6BDE">
        <w:t xml:space="preserve">in </w:t>
      </w:r>
      <w:r w:rsidR="001B6BDE" w:rsidRPr="001572C2">
        <w:t>(b–d, f–h)</w:t>
      </w:r>
      <w:r w:rsidR="001B6BDE">
        <w:t xml:space="preserve"> </w:t>
      </w:r>
      <w:r w:rsidR="001572C2" w:rsidRPr="001572C2">
        <w:t xml:space="preserve">represent the </w:t>
      </w:r>
      <w:r w:rsidR="001B6BDE">
        <w:t>baseline</w:t>
      </w:r>
      <w:r w:rsidR="001572C2" w:rsidRPr="001572C2">
        <w:t xml:space="preserve"> period. Inset boxes indicate the transport difference (</w:t>
      </w:r>
      <w:r w:rsidR="001572C2" w:rsidRPr="003F32CE">
        <w:t>ΔMOC</w:t>
      </w:r>
      <w:r w:rsidR="001572C2" w:rsidRPr="001572C2">
        <w:t>) for specific regional components.</w:t>
      </w:r>
      <w:r w:rsidR="001D3246">
        <w:t xml:space="preserve"> </w:t>
      </w:r>
      <w:r w:rsidR="001D3246" w:rsidRPr="00F46B9A">
        <w:t xml:space="preserve">Analysis periods are denoted by their initial boundary years (e.g., </w:t>
      </w:r>
      <w:r w:rsidR="001D3246" w:rsidRPr="00F46B9A">
        <w:lastRenderedPageBreak/>
        <w:t>P1955 represents the 1955–1964 baseline, and P2015 represents 2015–2022).</w:t>
      </w:r>
      <w:r w:rsidR="001D3246">
        <w:t xml:space="preserve"> The vertical dash-dot lines in (a, e) indicate 45°N, 70°N, and 80°N latitudes, while the horizontal dash-dot lines in (a, e) indicate two </w:t>
      </w:r>
      <w:r w:rsidR="001D3246" w:rsidRPr="001C7E09">
        <w:rPr>
          <w:i/>
          <w:iCs/>
        </w:rPr>
        <w:t>ρ</w:t>
      </w:r>
      <w:r w:rsidR="001D3246" w:rsidRPr="00EC469D">
        <w:rPr>
          <w:vertAlign w:val="subscript"/>
        </w:rPr>
        <w:t>2</w:t>
      </w:r>
      <w:r w:rsidR="001D3246">
        <w:t xml:space="preserve"> isopycnal horizons (1036.6, and 1037 </w:t>
      </w:r>
      <w:r w:rsidR="001D3246" w:rsidRPr="00EC469D">
        <w:rPr>
          <w:i/>
          <w:iCs/>
        </w:rPr>
        <w:t>kg m</w:t>
      </w:r>
      <w:r w:rsidR="001D3246">
        <w:t xml:space="preserve">⁻³) that roughly demarcate the boundaries between the AMOC’s upper and lower limbs, </w:t>
      </w:r>
      <w:r w:rsidR="001D3246" w:rsidRPr="00AE22FC">
        <w:t>and</w:t>
      </w:r>
      <w:r w:rsidR="001D3246">
        <w:t xml:space="preserve"> between</w:t>
      </w:r>
      <w:r w:rsidR="001D3246" w:rsidRPr="00AE22FC">
        <w:t xml:space="preserve"> the lower limb </w:t>
      </w:r>
      <w:r w:rsidR="001D3246">
        <w:t xml:space="preserve">and </w:t>
      </w:r>
      <w:r w:rsidR="001D3246" w:rsidRPr="00AE22FC">
        <w:t>the Nordic Seas overflow waters, respectively</w:t>
      </w:r>
      <w:r w:rsidR="001D3246">
        <w:t xml:space="preserve">. </w:t>
      </w:r>
    </w:p>
    <w:p w14:paraId="457521A0" w14:textId="77777777" w:rsidR="001D3246" w:rsidRDefault="001D3246" w:rsidP="001D3246">
      <w:pPr>
        <w:spacing w:line="480" w:lineRule="auto"/>
      </w:pPr>
    </w:p>
    <w:p w14:paraId="64543D77" w14:textId="77777777" w:rsidR="00425D93" w:rsidRDefault="00425D93" w:rsidP="001D3246">
      <w:pPr>
        <w:spacing w:line="480" w:lineRule="auto"/>
      </w:pPr>
    </w:p>
    <w:p w14:paraId="0CE6982C" w14:textId="77777777" w:rsidR="00425D93" w:rsidRDefault="00425D93" w:rsidP="001D3246">
      <w:pPr>
        <w:spacing w:line="480" w:lineRule="auto"/>
      </w:pPr>
    </w:p>
    <w:p w14:paraId="29BBD5AA" w14:textId="77777777" w:rsidR="00425D93" w:rsidRDefault="00425D93" w:rsidP="001D3246">
      <w:pPr>
        <w:spacing w:line="480" w:lineRule="auto"/>
      </w:pPr>
    </w:p>
    <w:p w14:paraId="39B3B50D" w14:textId="77777777" w:rsidR="00425D93" w:rsidRDefault="00425D93" w:rsidP="001D3246">
      <w:pPr>
        <w:spacing w:line="480" w:lineRule="auto"/>
      </w:pPr>
    </w:p>
    <w:p w14:paraId="4CD543E0" w14:textId="77777777" w:rsidR="00425D93" w:rsidRDefault="00425D93" w:rsidP="001D3246">
      <w:pPr>
        <w:spacing w:line="480" w:lineRule="auto"/>
      </w:pPr>
    </w:p>
    <w:p w14:paraId="72E02453" w14:textId="77777777" w:rsidR="00425D93" w:rsidRDefault="00425D93" w:rsidP="001D3246">
      <w:pPr>
        <w:spacing w:line="480" w:lineRule="auto"/>
      </w:pPr>
    </w:p>
    <w:p w14:paraId="01DA76F9" w14:textId="77777777" w:rsidR="00425D93" w:rsidRDefault="00425D93" w:rsidP="001D3246">
      <w:pPr>
        <w:spacing w:line="480" w:lineRule="auto"/>
      </w:pPr>
    </w:p>
    <w:p w14:paraId="43C0C081" w14:textId="77777777" w:rsidR="00425D93" w:rsidRDefault="00425D93" w:rsidP="001D3246">
      <w:pPr>
        <w:spacing w:line="480" w:lineRule="auto"/>
      </w:pPr>
    </w:p>
    <w:p w14:paraId="2ED7E465" w14:textId="77777777" w:rsidR="00425D93" w:rsidRDefault="00425D93" w:rsidP="001D3246">
      <w:pPr>
        <w:spacing w:line="480" w:lineRule="auto"/>
      </w:pPr>
    </w:p>
    <w:p w14:paraId="6C1622E6" w14:textId="77777777" w:rsidR="00425D93" w:rsidRDefault="00425D93" w:rsidP="001D3246">
      <w:pPr>
        <w:spacing w:line="480" w:lineRule="auto"/>
      </w:pPr>
    </w:p>
    <w:p w14:paraId="7D514C9A" w14:textId="77777777" w:rsidR="00425D93" w:rsidRDefault="00425D93" w:rsidP="001D3246">
      <w:pPr>
        <w:spacing w:line="480" w:lineRule="auto"/>
      </w:pPr>
    </w:p>
    <w:p w14:paraId="7A84851B" w14:textId="77777777" w:rsidR="00425D93" w:rsidRDefault="00425D93" w:rsidP="001D3246">
      <w:pPr>
        <w:spacing w:line="480" w:lineRule="auto"/>
      </w:pPr>
    </w:p>
    <w:p w14:paraId="7C63D4C4" w14:textId="77777777" w:rsidR="00425D93" w:rsidRDefault="00425D93" w:rsidP="001D3246">
      <w:pPr>
        <w:spacing w:line="480" w:lineRule="auto"/>
      </w:pPr>
    </w:p>
    <w:p w14:paraId="68F404F1" w14:textId="77777777" w:rsidR="00425D93" w:rsidRDefault="00425D93" w:rsidP="001D3246">
      <w:pPr>
        <w:spacing w:line="480" w:lineRule="auto"/>
      </w:pPr>
    </w:p>
    <w:p w14:paraId="67E88A55" w14:textId="77777777" w:rsidR="00425D93" w:rsidRDefault="00425D93" w:rsidP="001D3246">
      <w:pPr>
        <w:spacing w:line="480" w:lineRule="auto"/>
      </w:pPr>
    </w:p>
    <w:p w14:paraId="1B620C6F" w14:textId="77777777" w:rsidR="00425D93" w:rsidRDefault="00425D93" w:rsidP="001D3246">
      <w:pPr>
        <w:spacing w:line="480" w:lineRule="auto"/>
      </w:pPr>
    </w:p>
    <w:p w14:paraId="4BAA4550" w14:textId="77777777" w:rsidR="00425D93" w:rsidRDefault="00425D93" w:rsidP="001D3246">
      <w:pPr>
        <w:spacing w:line="480" w:lineRule="auto"/>
      </w:pPr>
    </w:p>
    <w:p w14:paraId="077B8A3E" w14:textId="1284418A" w:rsidR="00244FFF" w:rsidRDefault="00497CD5" w:rsidP="006B3714">
      <w:pPr>
        <w:spacing w:line="480" w:lineRule="auto"/>
      </w:pPr>
      <w:r>
        <w:rPr>
          <w:noProof/>
        </w:rPr>
        <w:lastRenderedPageBreak/>
        <w:drawing>
          <wp:inline distT="0" distB="0" distL="0" distR="0" wp14:anchorId="76D30D11" wp14:editId="26556BA7">
            <wp:extent cx="5943600" cy="4078605"/>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4078605"/>
                    </a:xfrm>
                    <a:prstGeom prst="rect">
                      <a:avLst/>
                    </a:prstGeom>
                  </pic:spPr>
                </pic:pic>
              </a:graphicData>
            </a:graphic>
          </wp:inline>
        </w:drawing>
      </w:r>
    </w:p>
    <w:p w14:paraId="2D5C6308" w14:textId="77777777" w:rsidR="00425D93" w:rsidRDefault="00956844" w:rsidP="001572C2">
      <w:pPr>
        <w:spacing w:line="480" w:lineRule="auto"/>
      </w:pPr>
      <w:r w:rsidRPr="00DE1E05">
        <w:rPr>
          <w:b/>
          <w:bCs/>
        </w:rPr>
        <w:t xml:space="preserve">Figure </w:t>
      </w:r>
      <w:r>
        <w:rPr>
          <w:b/>
          <w:bCs/>
        </w:rPr>
        <w:t>S</w:t>
      </w:r>
      <w:r w:rsidR="00582E73">
        <w:rPr>
          <w:b/>
          <w:bCs/>
        </w:rPr>
        <w:t>3</w:t>
      </w:r>
      <w:r w:rsidRPr="00DE1E05">
        <w:t xml:space="preserve">. </w:t>
      </w:r>
      <w:r w:rsidR="001572C2" w:rsidRPr="001572C2">
        <w:rPr>
          <w:b/>
          <w:bCs/>
        </w:rPr>
        <w:t>Attribution of AMOC changes to salinity and temperature forcing</w:t>
      </w:r>
      <w:r w:rsidR="001572C2">
        <w:rPr>
          <w:b/>
          <w:bCs/>
        </w:rPr>
        <w:t xml:space="preserve"> fo</w:t>
      </w:r>
      <w:r w:rsidR="001572C2" w:rsidRPr="001572C2">
        <w:rPr>
          <w:b/>
          <w:bCs/>
        </w:rPr>
        <w:t>r the 19</w:t>
      </w:r>
      <w:r w:rsidR="001572C2">
        <w:rPr>
          <w:b/>
          <w:bCs/>
        </w:rPr>
        <w:t>6</w:t>
      </w:r>
      <w:r w:rsidR="001572C2" w:rsidRPr="001572C2">
        <w:rPr>
          <w:b/>
          <w:bCs/>
        </w:rPr>
        <w:t>5–19</w:t>
      </w:r>
      <w:r w:rsidR="001572C2">
        <w:rPr>
          <w:b/>
          <w:bCs/>
        </w:rPr>
        <w:t>7</w:t>
      </w:r>
      <w:r w:rsidR="001572C2" w:rsidRPr="001572C2">
        <w:rPr>
          <w:b/>
          <w:bCs/>
        </w:rPr>
        <w:t>4 and 19</w:t>
      </w:r>
      <w:r w:rsidR="001572C2">
        <w:rPr>
          <w:b/>
          <w:bCs/>
        </w:rPr>
        <w:t>7</w:t>
      </w:r>
      <w:r w:rsidR="001572C2" w:rsidRPr="001572C2">
        <w:rPr>
          <w:b/>
          <w:bCs/>
        </w:rPr>
        <w:t>5–19</w:t>
      </w:r>
      <w:r w:rsidR="001572C2">
        <w:rPr>
          <w:b/>
          <w:bCs/>
        </w:rPr>
        <w:t>8</w:t>
      </w:r>
      <w:r w:rsidR="001572C2" w:rsidRPr="001572C2">
        <w:rPr>
          <w:b/>
          <w:bCs/>
        </w:rPr>
        <w:t>4 periods</w:t>
      </w:r>
      <w:r w:rsidR="001572C2" w:rsidRPr="001572C2">
        <w:t xml:space="preserve">.  (Left Column) AMOC streamfunction anomalies for sensitivity runs constrained by decadal salinity but relaxed to </w:t>
      </w:r>
      <w:r w:rsidR="005E0416">
        <w:t>baseline</w:t>
      </w:r>
      <w:r w:rsidR="001572C2" w:rsidRPr="001572C2">
        <w:t xml:space="preserve"> temperature. (Middle Column) Anomalies for runs constrained by decadal temperature but relaxed to </w:t>
      </w:r>
      <w:r w:rsidR="005E0416">
        <w:t>baseline</w:t>
      </w:r>
      <w:r w:rsidR="001572C2" w:rsidRPr="001572C2">
        <w:t xml:space="preserve"> salinity. (Right Column) Bar plots quantifying the isolated salinity and temperature effects on regional MOC components</w:t>
      </w:r>
      <w:r w:rsidR="001572C2">
        <w:t xml:space="preserve">. </w:t>
      </w:r>
      <w:bookmarkStart w:id="0" w:name="_Hlk229814324"/>
      <w:r w:rsidR="00425D93" w:rsidRPr="007823A3">
        <w:t>S</w:t>
      </w:r>
      <w:r w:rsidR="00425D93">
        <w:t>1975</w:t>
      </w:r>
      <w:r w:rsidR="00425D93">
        <w:t>:T1955</w:t>
      </w:r>
      <w:r w:rsidR="00425D93" w:rsidRPr="007823A3">
        <w:t>, for example, denotes the experiment constrained by</w:t>
      </w:r>
      <w:r w:rsidR="00425D93">
        <w:t xml:space="preserve"> </w:t>
      </w:r>
      <w:r w:rsidR="00425D93">
        <w:t>1975</w:t>
      </w:r>
      <w:r w:rsidR="00425D93" w:rsidRPr="007823A3">
        <w:t>–</w:t>
      </w:r>
      <w:r w:rsidR="00425D93">
        <w:t>1984</w:t>
      </w:r>
      <w:r w:rsidR="00425D93" w:rsidRPr="007823A3">
        <w:t xml:space="preserve"> salinity </w:t>
      </w:r>
      <w:r w:rsidR="00425D93">
        <w:t xml:space="preserve">and </w:t>
      </w:r>
      <w:r w:rsidR="00425D93" w:rsidRPr="007823A3">
        <w:t xml:space="preserve">1955–1964 temperature, whereas </w:t>
      </w:r>
      <w:r w:rsidR="00425D93">
        <w:t>T</w:t>
      </w:r>
      <w:r w:rsidR="00425D93">
        <w:t>1975</w:t>
      </w:r>
      <w:r w:rsidR="00425D93">
        <w:t>:</w:t>
      </w:r>
      <w:r w:rsidR="00425D93" w:rsidRPr="007823A3">
        <w:t xml:space="preserve">S1955 denotes the experiment constrained by </w:t>
      </w:r>
      <w:r w:rsidR="00425D93">
        <w:t>1975</w:t>
      </w:r>
      <w:r w:rsidR="00425D93" w:rsidRPr="007823A3">
        <w:t>–</w:t>
      </w:r>
      <w:r w:rsidR="00425D93">
        <w:t>1984</w:t>
      </w:r>
      <w:r w:rsidR="00425D93" w:rsidRPr="007823A3">
        <w:t xml:space="preserve"> temperature</w:t>
      </w:r>
      <w:r w:rsidR="00425D93">
        <w:t xml:space="preserve"> and</w:t>
      </w:r>
      <w:r w:rsidR="00425D93" w:rsidRPr="007823A3">
        <w:t xml:space="preserve"> 1955–1964 salinity</w:t>
      </w:r>
      <w:r w:rsidR="00425D93">
        <w:t xml:space="preserve">. </w:t>
      </w:r>
      <w:r w:rsidR="00425D93" w:rsidRPr="00192076">
        <w:t>P1955 denotes the 1955–1964 baseline period.</w:t>
      </w:r>
      <w:r w:rsidR="00425D93">
        <w:t xml:space="preserve"> </w:t>
      </w:r>
      <w:r w:rsidR="001B6BDE">
        <w:t>The vertical dash-dot lines in (a</w:t>
      </w:r>
      <w:r w:rsidR="001B6BDE" w:rsidRPr="007823A3">
        <w:t>–</w:t>
      </w:r>
      <w:r w:rsidR="001B6BDE">
        <w:t>d) indicate 45°N, 70°N, and 80°N latitudes, while the horizontal dash-dot lines in (a</w:t>
      </w:r>
      <w:r w:rsidR="001B6BDE" w:rsidRPr="007823A3">
        <w:t>–</w:t>
      </w:r>
      <w:r w:rsidR="001B6BDE">
        <w:t xml:space="preserve">d) indicate two </w:t>
      </w:r>
      <w:r w:rsidR="001B6BDE" w:rsidRPr="001C7E09">
        <w:rPr>
          <w:i/>
          <w:iCs/>
        </w:rPr>
        <w:t>ρ</w:t>
      </w:r>
      <w:r w:rsidR="001B6BDE" w:rsidRPr="00EC469D">
        <w:rPr>
          <w:vertAlign w:val="subscript"/>
        </w:rPr>
        <w:t>2</w:t>
      </w:r>
      <w:r w:rsidR="001B6BDE">
        <w:t xml:space="preserve"> isopycnal horizons (1036.6, and 1037 </w:t>
      </w:r>
      <w:r w:rsidR="001B6BDE" w:rsidRPr="00EC469D">
        <w:rPr>
          <w:i/>
          <w:iCs/>
        </w:rPr>
        <w:t>kg m</w:t>
      </w:r>
      <w:r w:rsidR="001B6BDE">
        <w:t xml:space="preserve">⁻³) </w:t>
      </w:r>
      <w:r w:rsidR="001B6BDE">
        <w:lastRenderedPageBreak/>
        <w:t xml:space="preserve">that roughly demarcate the boundaries between the AMOC’s upper and lower limbs, </w:t>
      </w:r>
      <w:r w:rsidR="001B6BDE" w:rsidRPr="00AE22FC">
        <w:t>and</w:t>
      </w:r>
      <w:r w:rsidR="001B6BDE">
        <w:t xml:space="preserve"> between</w:t>
      </w:r>
      <w:r w:rsidR="001B6BDE" w:rsidRPr="00AE22FC">
        <w:t xml:space="preserve"> the lower limb </w:t>
      </w:r>
      <w:r w:rsidR="001B6BDE">
        <w:t xml:space="preserve">and </w:t>
      </w:r>
      <w:r w:rsidR="001B6BDE" w:rsidRPr="00AE22FC">
        <w:t>the Nordic Seas overflow waters, respectively</w:t>
      </w:r>
      <w:r w:rsidR="001B6BDE">
        <w:t xml:space="preserve">. </w:t>
      </w:r>
      <w:r w:rsidR="001572C2">
        <w:t xml:space="preserve">See Figure 6 for </w:t>
      </w:r>
    </w:p>
    <w:p w14:paraId="7B8C7CFC" w14:textId="77A033FC" w:rsidR="00425D93" w:rsidRDefault="00425D93" w:rsidP="00425D93">
      <w:pPr>
        <w:spacing w:line="480" w:lineRule="auto"/>
      </w:pPr>
      <w:r w:rsidRPr="00F46B9A">
        <w:t>S</w:t>
      </w:r>
      <w:r>
        <w:t>2015</w:t>
      </w:r>
      <w:r w:rsidRPr="00F46B9A">
        <w:t>:T1955</w:t>
      </w:r>
      <w:r>
        <w:t xml:space="preserve">, </w:t>
      </w:r>
      <w:r w:rsidRPr="007823A3">
        <w:t>S</w:t>
      </w:r>
      <w:r>
        <w:t>2005</w:t>
      </w:r>
      <w:r>
        <w:t xml:space="preserve">:T1955, </w:t>
      </w:r>
      <w:r w:rsidRPr="00F46B9A">
        <w:t>S</w:t>
      </w:r>
      <w:r>
        <w:t>1995</w:t>
      </w:r>
      <w:r w:rsidRPr="00F46B9A">
        <w:t>:T1955</w:t>
      </w:r>
      <w:r>
        <w:t xml:space="preserve">, </w:t>
      </w:r>
      <w:r w:rsidRPr="007823A3">
        <w:t>S</w:t>
      </w:r>
      <w:r>
        <w:t>1985</w:t>
      </w:r>
      <w:r>
        <w:t>:T1955</w:t>
      </w:r>
      <w:r>
        <w:t xml:space="preserve">, </w:t>
      </w:r>
      <w:r>
        <w:t>T</w:t>
      </w:r>
      <w:r>
        <w:t>2015</w:t>
      </w:r>
      <w:r>
        <w:t>:</w:t>
      </w:r>
      <w:r w:rsidRPr="007823A3">
        <w:t>S1955</w:t>
      </w:r>
      <w:r>
        <w:t>, T</w:t>
      </w:r>
      <w:r>
        <w:t>2005</w:t>
      </w:r>
      <w:r>
        <w:t>:</w:t>
      </w:r>
      <w:r w:rsidRPr="007823A3">
        <w:t>S1955</w:t>
      </w:r>
      <w:r>
        <w:t xml:space="preserve">, </w:t>
      </w:r>
    </w:p>
    <w:p w14:paraId="020B61C4" w14:textId="171DA889" w:rsidR="00425D93" w:rsidRDefault="00425D93" w:rsidP="00425D93">
      <w:pPr>
        <w:spacing w:line="480" w:lineRule="auto"/>
      </w:pPr>
      <w:r>
        <w:t>T19</w:t>
      </w:r>
      <w:r>
        <w:t>9</w:t>
      </w:r>
      <w:r>
        <w:t>5:</w:t>
      </w:r>
      <w:r w:rsidRPr="007823A3">
        <w:t>S1955</w:t>
      </w:r>
      <w:r>
        <w:t xml:space="preserve">, and </w:t>
      </w:r>
      <w:r>
        <w:t>T19</w:t>
      </w:r>
      <w:r>
        <w:t>8</w:t>
      </w:r>
      <w:r>
        <w:t>5:</w:t>
      </w:r>
      <w:r w:rsidRPr="007823A3">
        <w:t>S1955</w:t>
      </w:r>
      <w:r>
        <w:t>.</w:t>
      </w:r>
      <w:r>
        <w:t xml:space="preserve">  </w:t>
      </w:r>
    </w:p>
    <w:p w14:paraId="323D8BF7" w14:textId="77777777" w:rsidR="00425D93" w:rsidRDefault="00425D93" w:rsidP="001572C2">
      <w:pPr>
        <w:spacing w:line="480" w:lineRule="auto"/>
      </w:pPr>
    </w:p>
    <w:p w14:paraId="35CA36FF" w14:textId="77777777" w:rsidR="00425D93" w:rsidRDefault="00425D93" w:rsidP="001572C2">
      <w:pPr>
        <w:spacing w:line="480" w:lineRule="auto"/>
      </w:pPr>
    </w:p>
    <w:p w14:paraId="30731972" w14:textId="77777777" w:rsidR="00425D93" w:rsidRDefault="00425D93" w:rsidP="001572C2">
      <w:pPr>
        <w:spacing w:line="480" w:lineRule="auto"/>
      </w:pPr>
    </w:p>
    <w:p w14:paraId="60EBBD40" w14:textId="77777777" w:rsidR="00425D93" w:rsidRDefault="00425D93" w:rsidP="001572C2">
      <w:pPr>
        <w:spacing w:line="480" w:lineRule="auto"/>
      </w:pPr>
    </w:p>
    <w:p w14:paraId="1FD88E97" w14:textId="77777777" w:rsidR="00425D93" w:rsidRDefault="00425D93" w:rsidP="001572C2">
      <w:pPr>
        <w:spacing w:line="480" w:lineRule="auto"/>
      </w:pPr>
    </w:p>
    <w:p w14:paraId="3A9C1926" w14:textId="77777777" w:rsidR="00425D93" w:rsidRDefault="00425D93" w:rsidP="001572C2">
      <w:pPr>
        <w:spacing w:line="480" w:lineRule="auto"/>
      </w:pPr>
    </w:p>
    <w:p w14:paraId="67CE8CE1" w14:textId="77777777" w:rsidR="00425D93" w:rsidRDefault="00425D93" w:rsidP="001572C2">
      <w:pPr>
        <w:spacing w:line="480" w:lineRule="auto"/>
      </w:pPr>
    </w:p>
    <w:p w14:paraId="0DD68470" w14:textId="77777777" w:rsidR="00425D93" w:rsidRDefault="00425D93" w:rsidP="001572C2">
      <w:pPr>
        <w:spacing w:line="480" w:lineRule="auto"/>
      </w:pPr>
    </w:p>
    <w:p w14:paraId="287CBDEE" w14:textId="77777777" w:rsidR="00425D93" w:rsidRDefault="00425D93" w:rsidP="001572C2">
      <w:pPr>
        <w:spacing w:line="480" w:lineRule="auto"/>
      </w:pPr>
    </w:p>
    <w:p w14:paraId="799D48B2" w14:textId="77777777" w:rsidR="00425D93" w:rsidRDefault="00425D93" w:rsidP="001572C2">
      <w:pPr>
        <w:spacing w:line="480" w:lineRule="auto"/>
      </w:pPr>
    </w:p>
    <w:p w14:paraId="6962A522" w14:textId="77777777" w:rsidR="00425D93" w:rsidRDefault="00425D93" w:rsidP="001572C2">
      <w:pPr>
        <w:spacing w:line="480" w:lineRule="auto"/>
      </w:pPr>
    </w:p>
    <w:p w14:paraId="4A2EA5B6" w14:textId="77777777" w:rsidR="00425D93" w:rsidRDefault="00425D93" w:rsidP="001572C2">
      <w:pPr>
        <w:spacing w:line="480" w:lineRule="auto"/>
      </w:pPr>
    </w:p>
    <w:p w14:paraId="6C564249" w14:textId="77777777" w:rsidR="00425D93" w:rsidRDefault="00425D93" w:rsidP="001572C2">
      <w:pPr>
        <w:spacing w:line="480" w:lineRule="auto"/>
      </w:pPr>
    </w:p>
    <w:p w14:paraId="314163CD" w14:textId="77777777" w:rsidR="00425D93" w:rsidRDefault="00425D93" w:rsidP="001572C2">
      <w:pPr>
        <w:spacing w:line="480" w:lineRule="auto"/>
      </w:pPr>
    </w:p>
    <w:p w14:paraId="596DB9AB" w14:textId="77777777" w:rsidR="00425D93" w:rsidRDefault="00425D93" w:rsidP="001572C2">
      <w:pPr>
        <w:spacing w:line="480" w:lineRule="auto"/>
      </w:pPr>
    </w:p>
    <w:p w14:paraId="54A5AD4F" w14:textId="77777777" w:rsidR="00425D93" w:rsidRDefault="00425D93" w:rsidP="001572C2">
      <w:pPr>
        <w:spacing w:line="480" w:lineRule="auto"/>
      </w:pPr>
    </w:p>
    <w:p w14:paraId="65A4D7AF" w14:textId="77777777" w:rsidR="00425D93" w:rsidRDefault="00425D93" w:rsidP="001572C2">
      <w:pPr>
        <w:spacing w:line="480" w:lineRule="auto"/>
      </w:pPr>
    </w:p>
    <w:p w14:paraId="411333C0" w14:textId="77777777" w:rsidR="00425D93" w:rsidRDefault="00425D93" w:rsidP="001572C2">
      <w:pPr>
        <w:spacing w:line="480" w:lineRule="auto"/>
      </w:pPr>
    </w:p>
    <w:p w14:paraId="5099BA81" w14:textId="77777777" w:rsidR="00425D93" w:rsidRDefault="00425D93" w:rsidP="001572C2">
      <w:pPr>
        <w:spacing w:line="480" w:lineRule="auto"/>
      </w:pPr>
    </w:p>
    <w:bookmarkEnd w:id="0"/>
    <w:p w14:paraId="548F493C" w14:textId="2F730C5E" w:rsidR="00B14A08" w:rsidRDefault="00497CD5" w:rsidP="006B3714">
      <w:pPr>
        <w:spacing w:line="480" w:lineRule="auto"/>
      </w:pPr>
      <w:r>
        <w:rPr>
          <w:noProof/>
        </w:rPr>
        <w:lastRenderedPageBreak/>
        <w:drawing>
          <wp:inline distT="0" distB="0" distL="0" distR="0" wp14:anchorId="6BAE4D2F" wp14:editId="4E442287">
            <wp:extent cx="5943600" cy="2122805"/>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2122805"/>
                    </a:xfrm>
                    <a:prstGeom prst="rect">
                      <a:avLst/>
                    </a:prstGeom>
                  </pic:spPr>
                </pic:pic>
              </a:graphicData>
            </a:graphic>
          </wp:inline>
        </w:drawing>
      </w:r>
    </w:p>
    <w:p w14:paraId="7AFE9C27" w14:textId="77777777" w:rsidR="00425D93" w:rsidRDefault="00136CD6" w:rsidP="001572C2">
      <w:pPr>
        <w:spacing w:line="480" w:lineRule="auto"/>
      </w:pPr>
      <w:r w:rsidRPr="00136CD6">
        <w:rPr>
          <w:b/>
          <w:bCs/>
        </w:rPr>
        <w:t>Figure S</w:t>
      </w:r>
      <w:r w:rsidR="00582E73">
        <w:rPr>
          <w:b/>
          <w:bCs/>
        </w:rPr>
        <w:t>4</w:t>
      </w:r>
      <w:r>
        <w:t xml:space="preserve">. </w:t>
      </w:r>
      <w:r w:rsidR="001572C2" w:rsidRPr="001572C2">
        <w:rPr>
          <w:b/>
          <w:bCs/>
        </w:rPr>
        <w:t>Deep Western Boundary Current (DWBC) anomalies</w:t>
      </w:r>
      <w:r w:rsidR="001572C2">
        <w:rPr>
          <w:b/>
          <w:bCs/>
        </w:rPr>
        <w:t xml:space="preserve"> </w:t>
      </w:r>
      <w:r w:rsidR="001572C2" w:rsidRPr="001572C2">
        <w:rPr>
          <w:b/>
          <w:bCs/>
        </w:rPr>
        <w:t>constrained by decadal salinity</w:t>
      </w:r>
      <w:r w:rsidR="001572C2" w:rsidRPr="001572C2">
        <w:t xml:space="preserve">. (a–f) Cross-sections across 45°N off the Grand Banks of Newfoundland (49.5°W to 47°W) showing anomalies in meridional velocity for the sensitivity runs, constrained by decadal salinity </w:t>
      </w:r>
      <w:r w:rsidR="001B6BDE">
        <w:t>(</w:t>
      </w:r>
      <w:r w:rsidR="001B6BDE" w:rsidRPr="00F67D91">
        <w:rPr>
          <w:b/>
          <w:bCs/>
        </w:rPr>
        <w:t>a</w:t>
      </w:r>
      <w:r w:rsidR="001B6BDE">
        <w:t xml:space="preserve"> 2015</w:t>
      </w:r>
      <w:r w:rsidR="001B6BDE" w:rsidRPr="00F67D91">
        <w:t>–20</w:t>
      </w:r>
      <w:r w:rsidR="001B6BDE">
        <w:t xml:space="preserve">22, </w:t>
      </w:r>
      <w:r w:rsidR="001B6BDE" w:rsidRPr="00F67D91">
        <w:rPr>
          <w:b/>
          <w:bCs/>
        </w:rPr>
        <w:t>b</w:t>
      </w:r>
      <w:r w:rsidR="001B6BDE">
        <w:t xml:space="preserve"> 2005</w:t>
      </w:r>
      <w:r w:rsidR="001B6BDE" w:rsidRPr="00F67D91">
        <w:t>–20</w:t>
      </w:r>
      <w:r w:rsidR="001B6BDE">
        <w:t>1</w:t>
      </w:r>
      <w:r w:rsidR="001B6BDE" w:rsidRPr="00F67D91">
        <w:t>4</w:t>
      </w:r>
      <w:r w:rsidR="001B6BDE">
        <w:t xml:space="preserve">, </w:t>
      </w:r>
      <w:r w:rsidR="001B6BDE" w:rsidRPr="00F67D91">
        <w:rPr>
          <w:b/>
          <w:bCs/>
        </w:rPr>
        <w:t>c</w:t>
      </w:r>
      <w:r w:rsidR="001B6BDE">
        <w:t xml:space="preserve"> </w:t>
      </w:r>
      <w:r w:rsidR="001B6BDE" w:rsidRPr="00F67D91">
        <w:t xml:space="preserve">1995–2004, </w:t>
      </w:r>
      <w:r w:rsidR="001B6BDE" w:rsidRPr="00F67D91">
        <w:rPr>
          <w:b/>
          <w:bCs/>
        </w:rPr>
        <w:t>d</w:t>
      </w:r>
      <w:r w:rsidR="001B6BDE">
        <w:t xml:space="preserve"> </w:t>
      </w:r>
      <w:r w:rsidR="001B6BDE" w:rsidRPr="00F67D91">
        <w:t xml:space="preserve">1985–1994, </w:t>
      </w:r>
      <w:r w:rsidR="001B6BDE" w:rsidRPr="00F67D91">
        <w:rPr>
          <w:b/>
          <w:bCs/>
        </w:rPr>
        <w:t>e</w:t>
      </w:r>
      <w:r w:rsidR="001B6BDE">
        <w:t xml:space="preserve"> </w:t>
      </w:r>
      <w:r w:rsidR="001B6BDE" w:rsidRPr="00F67D91">
        <w:t xml:space="preserve">1975–1984, and </w:t>
      </w:r>
      <w:r w:rsidR="001B6BDE" w:rsidRPr="00F67D91">
        <w:rPr>
          <w:b/>
          <w:bCs/>
        </w:rPr>
        <w:t>f</w:t>
      </w:r>
      <w:r w:rsidR="001B6BDE">
        <w:t xml:space="preserve"> </w:t>
      </w:r>
      <w:r w:rsidR="001B6BDE" w:rsidRPr="00F67D91">
        <w:t>1965–1974</w:t>
      </w:r>
      <w:r w:rsidR="001B6BDE">
        <w:t>)</w:t>
      </w:r>
      <w:r w:rsidR="0079491E" w:rsidRPr="0079491E">
        <w:t xml:space="preserve"> </w:t>
      </w:r>
      <w:r w:rsidR="0079491E" w:rsidRPr="001572C2">
        <w:t xml:space="preserve">but relaxed to </w:t>
      </w:r>
      <w:r w:rsidR="005E0416">
        <w:t>baseline</w:t>
      </w:r>
      <w:r w:rsidR="0079491E" w:rsidRPr="001572C2">
        <w:t xml:space="preserve"> temperature</w:t>
      </w:r>
      <w:r w:rsidR="001572C2" w:rsidRPr="001572C2">
        <w:t xml:space="preserve">, relative to the 1955–1964 </w:t>
      </w:r>
      <w:r w:rsidR="001B6BDE">
        <w:t>baseline</w:t>
      </w:r>
      <w:r w:rsidR="001572C2" w:rsidRPr="001572C2">
        <w:t xml:space="preserve"> period. </w:t>
      </w:r>
    </w:p>
    <w:p w14:paraId="0CD05F17" w14:textId="51519F50" w:rsidR="00B14A08" w:rsidRDefault="00425D93" w:rsidP="001572C2">
      <w:pPr>
        <w:spacing w:line="480" w:lineRule="auto"/>
      </w:pPr>
      <w:r>
        <w:t>S2015</w:t>
      </w:r>
      <w:r>
        <w:t>:T1955</w:t>
      </w:r>
      <w:r w:rsidRPr="007823A3">
        <w:t>, for example, denotes the experiment constrained by</w:t>
      </w:r>
      <w:r>
        <w:t xml:space="preserve"> </w:t>
      </w:r>
      <w:r>
        <w:t>2015</w:t>
      </w:r>
      <w:r w:rsidRPr="007823A3">
        <w:t>–</w:t>
      </w:r>
      <w:r>
        <w:t>2022</w:t>
      </w:r>
      <w:r w:rsidRPr="007823A3">
        <w:t xml:space="preserve"> salinity </w:t>
      </w:r>
      <w:r>
        <w:t xml:space="preserve">and </w:t>
      </w:r>
      <w:r w:rsidRPr="007823A3">
        <w:t>1955–1964 temperature</w:t>
      </w:r>
      <w:r>
        <w:t xml:space="preserve">. </w:t>
      </w:r>
      <w:r w:rsidRPr="00192076">
        <w:t>P1955 denotes the 1955–1964 baseline period.</w:t>
      </w:r>
      <w:r>
        <w:t xml:space="preserve"> </w:t>
      </w:r>
      <w:r w:rsidR="001572C2" w:rsidRPr="001572C2">
        <w:t>Contours represent the total southward velocity, and color shading represents the anomaly. Red shading indicates a positive anomaly (a weakening of the southward flow), while blue shading indicates a negative anomaly (an intensification</w:t>
      </w:r>
      <w:r w:rsidR="001B6BDE">
        <w:t xml:space="preserve"> of the southward flow</w:t>
      </w:r>
      <w:r w:rsidR="001572C2" w:rsidRPr="001572C2">
        <w:t>).</w:t>
      </w:r>
    </w:p>
    <w:p w14:paraId="0BC9A99D" w14:textId="77777777" w:rsidR="00B14A08" w:rsidRDefault="00B14A08" w:rsidP="006B3714">
      <w:pPr>
        <w:spacing w:line="480" w:lineRule="auto"/>
      </w:pPr>
    </w:p>
    <w:p w14:paraId="1C396420" w14:textId="77777777" w:rsidR="00B14A08" w:rsidRDefault="00B14A08" w:rsidP="006B3714">
      <w:pPr>
        <w:spacing w:line="480" w:lineRule="auto"/>
      </w:pPr>
    </w:p>
    <w:p w14:paraId="7DFC0B4F" w14:textId="77777777" w:rsidR="00B14A08" w:rsidRDefault="00B14A08" w:rsidP="006B3714">
      <w:pPr>
        <w:spacing w:line="480" w:lineRule="auto"/>
      </w:pPr>
    </w:p>
    <w:p w14:paraId="6E479834" w14:textId="77777777" w:rsidR="00B14A08" w:rsidRDefault="00B14A08" w:rsidP="006B3714">
      <w:pPr>
        <w:spacing w:line="480" w:lineRule="auto"/>
      </w:pPr>
    </w:p>
    <w:p w14:paraId="5F1348C8" w14:textId="77777777" w:rsidR="00B14A08" w:rsidRDefault="00B14A08" w:rsidP="006B3714">
      <w:pPr>
        <w:spacing w:line="480" w:lineRule="auto"/>
      </w:pPr>
    </w:p>
    <w:p w14:paraId="04AE07E8" w14:textId="77777777" w:rsidR="00B14A08" w:rsidRDefault="00B14A08" w:rsidP="006B3714">
      <w:pPr>
        <w:spacing w:line="480" w:lineRule="auto"/>
      </w:pPr>
    </w:p>
    <w:p w14:paraId="7C688DEB" w14:textId="77777777" w:rsidR="005D385B" w:rsidRDefault="005D385B" w:rsidP="006B3714">
      <w:pPr>
        <w:spacing w:line="480" w:lineRule="auto"/>
      </w:pPr>
    </w:p>
    <w:p w14:paraId="06BCED28" w14:textId="5A4F272C" w:rsidR="005D385B" w:rsidRDefault="00497CD5" w:rsidP="005D385B">
      <w:pPr>
        <w:spacing w:line="480" w:lineRule="auto"/>
        <w:rPr>
          <w:b/>
          <w:bCs/>
        </w:rPr>
      </w:pPr>
      <w:r>
        <w:rPr>
          <w:b/>
          <w:bCs/>
          <w:noProof/>
        </w:rPr>
        <w:lastRenderedPageBreak/>
        <w:drawing>
          <wp:inline distT="0" distB="0" distL="0" distR="0" wp14:anchorId="299EB567" wp14:editId="53B3B57F">
            <wp:extent cx="5943600" cy="21278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27885"/>
                    </a:xfrm>
                    <a:prstGeom prst="rect">
                      <a:avLst/>
                    </a:prstGeom>
                  </pic:spPr>
                </pic:pic>
              </a:graphicData>
            </a:graphic>
          </wp:inline>
        </w:drawing>
      </w:r>
    </w:p>
    <w:p w14:paraId="5AA0BAFA" w14:textId="77777777" w:rsidR="00425D93" w:rsidRDefault="005D385B" w:rsidP="00425D93">
      <w:pPr>
        <w:spacing w:line="480" w:lineRule="auto"/>
      </w:pPr>
      <w:r w:rsidRPr="0035071A">
        <w:rPr>
          <w:b/>
          <w:bCs/>
        </w:rPr>
        <w:t xml:space="preserve">Figure </w:t>
      </w:r>
      <w:r>
        <w:rPr>
          <w:b/>
          <w:bCs/>
        </w:rPr>
        <w:t>S</w:t>
      </w:r>
      <w:r w:rsidR="00582E73">
        <w:rPr>
          <w:b/>
          <w:bCs/>
        </w:rPr>
        <w:t>5</w:t>
      </w:r>
      <w:r w:rsidRPr="0035071A">
        <w:t xml:space="preserve">. </w:t>
      </w:r>
      <w:r w:rsidRPr="001572C2">
        <w:rPr>
          <w:b/>
          <w:bCs/>
        </w:rPr>
        <w:t xml:space="preserve">Temperature anomalies of the LSW layer (1000–2500 </w:t>
      </w:r>
      <w:r w:rsidRPr="001B6BDE">
        <w:rPr>
          <w:b/>
          <w:bCs/>
          <w:i/>
          <w:iCs/>
        </w:rPr>
        <w:t>m</w:t>
      </w:r>
      <w:r w:rsidRPr="001572C2">
        <w:rPr>
          <w:b/>
          <w:bCs/>
        </w:rPr>
        <w:t>) from the Arctic to the Subpolar North Atlantic</w:t>
      </w:r>
      <w:r w:rsidRPr="001572C2">
        <w:t xml:space="preserve">. </w:t>
      </w:r>
      <w:r w:rsidR="001B6BDE">
        <w:t>T</w:t>
      </w:r>
      <w:r w:rsidRPr="001572C2">
        <w:t>ime-averag</w:t>
      </w:r>
      <w:r w:rsidRPr="001B6BDE">
        <w:t xml:space="preserve">ed temperature anomaly </w:t>
      </w:r>
      <w:r w:rsidR="001B6BDE" w:rsidRPr="001B6BDE">
        <w:t xml:space="preserve">of the LSW layer (1000–2500 </w:t>
      </w:r>
      <w:r w:rsidR="001B6BDE" w:rsidRPr="001B6BDE">
        <w:rPr>
          <w:i/>
          <w:iCs/>
        </w:rPr>
        <w:t>m</w:t>
      </w:r>
      <w:r w:rsidR="001B6BDE" w:rsidRPr="001B6BDE">
        <w:t xml:space="preserve">) </w:t>
      </w:r>
      <w:r w:rsidRPr="001B6BDE">
        <w:t>f</w:t>
      </w:r>
      <w:r w:rsidRPr="001572C2">
        <w:t xml:space="preserve">or each of the six decadal periods </w:t>
      </w:r>
      <w:bookmarkStart w:id="1" w:name="_Hlk233369571"/>
      <w:r w:rsidR="001B6BDE">
        <w:t>(</w:t>
      </w:r>
      <w:r w:rsidR="001B6BDE" w:rsidRPr="00F67D91">
        <w:rPr>
          <w:b/>
          <w:bCs/>
        </w:rPr>
        <w:t>a</w:t>
      </w:r>
      <w:r w:rsidR="001B6BDE">
        <w:t xml:space="preserve"> 2015</w:t>
      </w:r>
      <w:r w:rsidR="001B6BDE" w:rsidRPr="00F67D91">
        <w:t>–20</w:t>
      </w:r>
      <w:r w:rsidR="001B6BDE">
        <w:t xml:space="preserve">22, </w:t>
      </w:r>
      <w:r w:rsidR="001B6BDE" w:rsidRPr="00F67D91">
        <w:rPr>
          <w:b/>
          <w:bCs/>
        </w:rPr>
        <w:t>b</w:t>
      </w:r>
      <w:r w:rsidR="001B6BDE">
        <w:t xml:space="preserve"> 2005</w:t>
      </w:r>
      <w:r w:rsidR="001B6BDE" w:rsidRPr="00F67D91">
        <w:t>–20</w:t>
      </w:r>
      <w:r w:rsidR="001B6BDE">
        <w:t>1</w:t>
      </w:r>
      <w:r w:rsidR="001B6BDE" w:rsidRPr="00F67D91">
        <w:t>4</w:t>
      </w:r>
      <w:r w:rsidR="001B6BDE">
        <w:t xml:space="preserve">, </w:t>
      </w:r>
      <w:r w:rsidR="001B6BDE" w:rsidRPr="00F67D91">
        <w:rPr>
          <w:b/>
          <w:bCs/>
        </w:rPr>
        <w:t>c</w:t>
      </w:r>
      <w:r w:rsidR="001B6BDE">
        <w:t xml:space="preserve"> </w:t>
      </w:r>
      <w:r w:rsidR="001B6BDE" w:rsidRPr="00F67D91">
        <w:t xml:space="preserve">1995–2004, </w:t>
      </w:r>
      <w:r w:rsidR="001B6BDE" w:rsidRPr="00F67D91">
        <w:rPr>
          <w:b/>
          <w:bCs/>
        </w:rPr>
        <w:t>d</w:t>
      </w:r>
      <w:r w:rsidR="001B6BDE">
        <w:t xml:space="preserve"> </w:t>
      </w:r>
      <w:r w:rsidR="001B6BDE" w:rsidRPr="00F67D91">
        <w:t xml:space="preserve">1985–1994, </w:t>
      </w:r>
      <w:r w:rsidR="001B6BDE" w:rsidRPr="00F67D91">
        <w:rPr>
          <w:b/>
          <w:bCs/>
        </w:rPr>
        <w:t>e</w:t>
      </w:r>
      <w:r w:rsidR="001B6BDE">
        <w:t xml:space="preserve"> </w:t>
      </w:r>
      <w:r w:rsidR="001B6BDE" w:rsidRPr="00F67D91">
        <w:t xml:space="preserve">1975–1984, and </w:t>
      </w:r>
      <w:r w:rsidR="001B6BDE" w:rsidRPr="00F67D91">
        <w:rPr>
          <w:b/>
          <w:bCs/>
        </w:rPr>
        <w:t>f</w:t>
      </w:r>
      <w:r w:rsidR="001B6BDE">
        <w:t xml:space="preserve"> </w:t>
      </w:r>
      <w:r w:rsidR="001B6BDE" w:rsidRPr="00F67D91">
        <w:t>1965–1974</w:t>
      </w:r>
      <w:r w:rsidR="001B6BDE">
        <w:t>)</w:t>
      </w:r>
      <w:bookmarkEnd w:id="1"/>
      <w:r w:rsidR="001B6BDE">
        <w:t xml:space="preserve"> </w:t>
      </w:r>
      <w:r w:rsidRPr="001572C2">
        <w:t xml:space="preserve">relative to the 1955–1964 </w:t>
      </w:r>
      <w:r w:rsidR="001B6BDE">
        <w:t>baseline</w:t>
      </w:r>
      <w:r w:rsidRPr="001572C2">
        <w:t xml:space="preserve"> period.</w:t>
      </w:r>
      <w:r>
        <w:t xml:space="preserve"> </w:t>
      </w:r>
      <w:r w:rsidR="00425D93" w:rsidRPr="00F46B9A">
        <w:t>Analysis periods are denoted by their initial boundary years (e.g., P1955 represents the 1955–1964 baseline, and P2015 represents 2015–2022).</w:t>
      </w:r>
    </w:p>
    <w:p w14:paraId="0F2331C5" w14:textId="77777777" w:rsidR="005D385B" w:rsidRDefault="005D385B" w:rsidP="006B3714">
      <w:pPr>
        <w:spacing w:line="480" w:lineRule="auto"/>
      </w:pPr>
    </w:p>
    <w:p w14:paraId="5F557E6C" w14:textId="77777777" w:rsidR="005D385B" w:rsidRDefault="005D385B" w:rsidP="006B3714">
      <w:pPr>
        <w:spacing w:line="480" w:lineRule="auto"/>
      </w:pPr>
    </w:p>
    <w:p w14:paraId="45BE2ECA" w14:textId="77777777" w:rsidR="005D385B" w:rsidRDefault="005D385B" w:rsidP="006B3714">
      <w:pPr>
        <w:spacing w:line="480" w:lineRule="auto"/>
      </w:pPr>
    </w:p>
    <w:p w14:paraId="7D13A360" w14:textId="77777777" w:rsidR="005D385B" w:rsidRDefault="005D385B" w:rsidP="006B3714">
      <w:pPr>
        <w:spacing w:line="480" w:lineRule="auto"/>
      </w:pPr>
    </w:p>
    <w:p w14:paraId="4300F997" w14:textId="77777777" w:rsidR="00B14A08" w:rsidRDefault="00B14A08" w:rsidP="006B3714">
      <w:pPr>
        <w:spacing w:line="480" w:lineRule="auto"/>
      </w:pPr>
    </w:p>
    <w:p w14:paraId="42F44963" w14:textId="77777777" w:rsidR="00B14A08" w:rsidRDefault="00B14A08" w:rsidP="006B3714">
      <w:pPr>
        <w:spacing w:line="480" w:lineRule="auto"/>
      </w:pPr>
    </w:p>
    <w:p w14:paraId="6BB39038" w14:textId="77777777" w:rsidR="00B14A08" w:rsidRDefault="00B14A08" w:rsidP="006B3714">
      <w:pPr>
        <w:spacing w:line="480" w:lineRule="auto"/>
      </w:pPr>
    </w:p>
    <w:p w14:paraId="39C804DA" w14:textId="77777777" w:rsidR="00B14A08" w:rsidRDefault="00B14A08" w:rsidP="006B3714">
      <w:pPr>
        <w:spacing w:line="480" w:lineRule="auto"/>
      </w:pPr>
    </w:p>
    <w:p w14:paraId="6CC2A8F9" w14:textId="77777777" w:rsidR="005D385B" w:rsidRDefault="005D385B" w:rsidP="006B3714">
      <w:pPr>
        <w:spacing w:line="480" w:lineRule="auto"/>
      </w:pPr>
    </w:p>
    <w:p w14:paraId="26EF6581" w14:textId="77777777" w:rsidR="005D385B" w:rsidRDefault="005D385B" w:rsidP="006B3714">
      <w:pPr>
        <w:spacing w:line="480" w:lineRule="auto"/>
      </w:pPr>
    </w:p>
    <w:p w14:paraId="4037E845" w14:textId="77777777" w:rsidR="005D385B" w:rsidRDefault="005D385B" w:rsidP="006B3714">
      <w:pPr>
        <w:spacing w:line="480" w:lineRule="auto"/>
      </w:pPr>
    </w:p>
    <w:p w14:paraId="509149C9" w14:textId="4C7FA7C6" w:rsidR="005D385B" w:rsidRDefault="00497CD5" w:rsidP="005D385B">
      <w:pPr>
        <w:spacing w:line="480" w:lineRule="auto"/>
        <w:rPr>
          <w:b/>
          <w:bCs/>
        </w:rPr>
      </w:pPr>
      <w:r>
        <w:rPr>
          <w:b/>
          <w:bCs/>
          <w:noProof/>
        </w:rPr>
        <w:lastRenderedPageBreak/>
        <w:drawing>
          <wp:inline distT="0" distB="0" distL="0" distR="0" wp14:anchorId="585421EF" wp14:editId="25449924">
            <wp:extent cx="5943600" cy="2127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127885"/>
                    </a:xfrm>
                    <a:prstGeom prst="rect">
                      <a:avLst/>
                    </a:prstGeom>
                  </pic:spPr>
                </pic:pic>
              </a:graphicData>
            </a:graphic>
          </wp:inline>
        </w:drawing>
      </w:r>
    </w:p>
    <w:p w14:paraId="7655A5DA" w14:textId="77777777" w:rsidR="00425D93" w:rsidRDefault="005D385B" w:rsidP="00425D93">
      <w:pPr>
        <w:spacing w:line="480" w:lineRule="auto"/>
      </w:pPr>
      <w:r w:rsidRPr="0035071A">
        <w:rPr>
          <w:b/>
          <w:bCs/>
        </w:rPr>
        <w:t xml:space="preserve">Figure </w:t>
      </w:r>
      <w:r>
        <w:rPr>
          <w:b/>
          <w:bCs/>
        </w:rPr>
        <w:t>S</w:t>
      </w:r>
      <w:r w:rsidR="00582E73">
        <w:rPr>
          <w:b/>
          <w:bCs/>
        </w:rPr>
        <w:t>6</w:t>
      </w:r>
      <w:r w:rsidRPr="0035071A">
        <w:t>.</w:t>
      </w:r>
      <w:r w:rsidRPr="001572C2">
        <w:rPr>
          <w:b/>
          <w:bCs/>
        </w:rPr>
        <w:t xml:space="preserve"> Salinity anomalies of the LSW layer (1000–2500 m) from the Arctic to the Subpolar North Atlantic</w:t>
      </w:r>
      <w:r w:rsidRPr="001572C2">
        <w:t xml:space="preserve">. </w:t>
      </w:r>
      <w:r w:rsidR="001B6BDE">
        <w:t>T</w:t>
      </w:r>
      <w:r w:rsidRPr="001572C2">
        <w:t>ime-averaged salinity anomaly</w:t>
      </w:r>
      <w:r w:rsidR="001B6BDE">
        <w:t xml:space="preserve"> </w:t>
      </w:r>
      <w:r w:rsidR="001B6BDE" w:rsidRPr="001B6BDE">
        <w:t xml:space="preserve">of the LSW layer (1000–2500 </w:t>
      </w:r>
      <w:r w:rsidR="001B6BDE" w:rsidRPr="001B6BDE">
        <w:rPr>
          <w:i/>
          <w:iCs/>
        </w:rPr>
        <w:t>m</w:t>
      </w:r>
      <w:r w:rsidR="001B6BDE" w:rsidRPr="001B6BDE">
        <w:t>) f</w:t>
      </w:r>
      <w:r w:rsidR="001B6BDE" w:rsidRPr="001572C2">
        <w:t xml:space="preserve">or each of the six decadal periods </w:t>
      </w:r>
      <w:bookmarkStart w:id="2" w:name="_Hlk233456369"/>
      <w:r w:rsidR="001B6BDE">
        <w:t>(</w:t>
      </w:r>
      <w:r w:rsidR="001B6BDE" w:rsidRPr="00F67D91">
        <w:rPr>
          <w:b/>
          <w:bCs/>
        </w:rPr>
        <w:t>a</w:t>
      </w:r>
      <w:r w:rsidR="001B6BDE">
        <w:t xml:space="preserve"> 2015</w:t>
      </w:r>
      <w:r w:rsidR="001B6BDE" w:rsidRPr="00F67D91">
        <w:t>–20</w:t>
      </w:r>
      <w:r w:rsidR="001B6BDE">
        <w:t xml:space="preserve">22, </w:t>
      </w:r>
      <w:r w:rsidR="001B6BDE" w:rsidRPr="00F67D91">
        <w:rPr>
          <w:b/>
          <w:bCs/>
        </w:rPr>
        <w:t>b</w:t>
      </w:r>
      <w:r w:rsidR="001B6BDE">
        <w:t xml:space="preserve"> 2005</w:t>
      </w:r>
      <w:r w:rsidR="001B6BDE" w:rsidRPr="00F67D91">
        <w:t>–20</w:t>
      </w:r>
      <w:r w:rsidR="001B6BDE">
        <w:t>1</w:t>
      </w:r>
      <w:r w:rsidR="001B6BDE" w:rsidRPr="00F67D91">
        <w:t>4</w:t>
      </w:r>
      <w:r w:rsidR="001B6BDE">
        <w:t xml:space="preserve">, </w:t>
      </w:r>
      <w:r w:rsidR="001B6BDE" w:rsidRPr="00F67D91">
        <w:rPr>
          <w:b/>
          <w:bCs/>
        </w:rPr>
        <w:t>c</w:t>
      </w:r>
      <w:r w:rsidR="001B6BDE">
        <w:t xml:space="preserve"> </w:t>
      </w:r>
      <w:r w:rsidR="001B6BDE" w:rsidRPr="00F67D91">
        <w:t xml:space="preserve">1995–2004, </w:t>
      </w:r>
      <w:r w:rsidR="001B6BDE" w:rsidRPr="00F67D91">
        <w:rPr>
          <w:b/>
          <w:bCs/>
        </w:rPr>
        <w:t>d</w:t>
      </w:r>
      <w:r w:rsidR="001B6BDE">
        <w:t xml:space="preserve"> </w:t>
      </w:r>
      <w:r w:rsidR="001B6BDE" w:rsidRPr="00F67D91">
        <w:t xml:space="preserve">1985–1994, </w:t>
      </w:r>
      <w:r w:rsidR="001B6BDE" w:rsidRPr="00F67D91">
        <w:rPr>
          <w:b/>
          <w:bCs/>
        </w:rPr>
        <w:t>e</w:t>
      </w:r>
      <w:r w:rsidR="001B6BDE">
        <w:t xml:space="preserve"> </w:t>
      </w:r>
      <w:r w:rsidR="001B6BDE" w:rsidRPr="00F67D91">
        <w:t xml:space="preserve">1975–1984, and </w:t>
      </w:r>
      <w:r w:rsidR="001B6BDE" w:rsidRPr="00F67D91">
        <w:rPr>
          <w:b/>
          <w:bCs/>
        </w:rPr>
        <w:t>f</w:t>
      </w:r>
      <w:r w:rsidR="001B6BDE">
        <w:t xml:space="preserve"> </w:t>
      </w:r>
      <w:r w:rsidR="001B6BDE" w:rsidRPr="00F67D91">
        <w:t>1965–1974</w:t>
      </w:r>
      <w:r w:rsidR="001B6BDE">
        <w:t>)</w:t>
      </w:r>
      <w:bookmarkEnd w:id="2"/>
      <w:r w:rsidRPr="001572C2">
        <w:t xml:space="preserve"> relative to the 1955–1964 </w:t>
      </w:r>
      <w:r w:rsidR="001B6BDE">
        <w:t>baseline</w:t>
      </w:r>
      <w:r w:rsidRPr="001572C2">
        <w:t xml:space="preserve"> period.</w:t>
      </w:r>
      <w:r>
        <w:t xml:space="preserve"> </w:t>
      </w:r>
      <w:r w:rsidR="00425D93" w:rsidRPr="00F46B9A">
        <w:t>Analysis periods are denoted by their initial boundary years (e.g., P1955 represents the 1955–1964 baseline, and P2015 represents 2015–2022).</w:t>
      </w:r>
    </w:p>
    <w:p w14:paraId="2F2E30D3" w14:textId="4EC8A5D7" w:rsidR="005D385B" w:rsidRDefault="005D385B" w:rsidP="005D385B">
      <w:pPr>
        <w:spacing w:line="480" w:lineRule="auto"/>
      </w:pPr>
    </w:p>
    <w:p w14:paraId="349A5BBE" w14:textId="77777777" w:rsidR="005D385B" w:rsidRDefault="005D385B" w:rsidP="006B3714">
      <w:pPr>
        <w:spacing w:line="480" w:lineRule="auto"/>
      </w:pPr>
    </w:p>
    <w:p w14:paraId="109C6A75" w14:textId="77777777" w:rsidR="005D385B" w:rsidRDefault="005D385B" w:rsidP="006B3714">
      <w:pPr>
        <w:spacing w:line="480" w:lineRule="auto"/>
      </w:pPr>
    </w:p>
    <w:p w14:paraId="28A41B1B" w14:textId="77777777" w:rsidR="005D385B" w:rsidRDefault="005D385B" w:rsidP="006B3714">
      <w:pPr>
        <w:spacing w:line="480" w:lineRule="auto"/>
      </w:pPr>
    </w:p>
    <w:p w14:paraId="6B6192D6" w14:textId="77777777" w:rsidR="005D385B" w:rsidRDefault="005D385B" w:rsidP="006B3714">
      <w:pPr>
        <w:spacing w:line="480" w:lineRule="auto"/>
      </w:pPr>
    </w:p>
    <w:p w14:paraId="178CDE8A" w14:textId="77777777" w:rsidR="005D385B" w:rsidRDefault="005D385B" w:rsidP="006B3714">
      <w:pPr>
        <w:spacing w:line="480" w:lineRule="auto"/>
      </w:pPr>
    </w:p>
    <w:p w14:paraId="16A69D0B" w14:textId="77777777" w:rsidR="005D385B" w:rsidRDefault="005D385B" w:rsidP="006B3714">
      <w:pPr>
        <w:spacing w:line="480" w:lineRule="auto"/>
      </w:pPr>
    </w:p>
    <w:p w14:paraId="3F63A7F0" w14:textId="77777777" w:rsidR="005D385B" w:rsidRDefault="005D385B" w:rsidP="006B3714">
      <w:pPr>
        <w:spacing w:line="480" w:lineRule="auto"/>
      </w:pPr>
    </w:p>
    <w:p w14:paraId="69A02CFF" w14:textId="77777777" w:rsidR="005D385B" w:rsidRDefault="005D385B" w:rsidP="006B3714">
      <w:pPr>
        <w:spacing w:line="480" w:lineRule="auto"/>
      </w:pPr>
    </w:p>
    <w:p w14:paraId="09A15E6B" w14:textId="77777777" w:rsidR="005D385B" w:rsidRDefault="005D385B" w:rsidP="006B3714">
      <w:pPr>
        <w:spacing w:line="480" w:lineRule="auto"/>
      </w:pPr>
    </w:p>
    <w:p w14:paraId="532E0F5E" w14:textId="77777777" w:rsidR="005D385B" w:rsidRDefault="005D385B" w:rsidP="006B3714">
      <w:pPr>
        <w:spacing w:line="480" w:lineRule="auto"/>
      </w:pPr>
    </w:p>
    <w:p w14:paraId="43D6942E" w14:textId="59BD074E" w:rsidR="00B14A08" w:rsidRDefault="00497CD5" w:rsidP="006B3714">
      <w:pPr>
        <w:spacing w:line="480" w:lineRule="auto"/>
      </w:pPr>
      <w:r>
        <w:rPr>
          <w:noProof/>
        </w:rPr>
        <w:lastRenderedPageBreak/>
        <w:drawing>
          <wp:inline distT="0" distB="0" distL="0" distR="0" wp14:anchorId="43CE2A4E" wp14:editId="5BE626A8">
            <wp:extent cx="5943600" cy="2122805"/>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2122805"/>
                    </a:xfrm>
                    <a:prstGeom prst="rect">
                      <a:avLst/>
                    </a:prstGeom>
                  </pic:spPr>
                </pic:pic>
              </a:graphicData>
            </a:graphic>
          </wp:inline>
        </w:drawing>
      </w:r>
    </w:p>
    <w:p w14:paraId="16A9C62B" w14:textId="04316999" w:rsidR="00A06217" w:rsidRDefault="00136CD6" w:rsidP="00A06217">
      <w:pPr>
        <w:spacing w:line="480" w:lineRule="auto"/>
      </w:pPr>
      <w:r w:rsidRPr="00136CD6">
        <w:rPr>
          <w:b/>
          <w:bCs/>
        </w:rPr>
        <w:t>Figure S</w:t>
      </w:r>
      <w:r w:rsidR="00582E73">
        <w:rPr>
          <w:b/>
          <w:bCs/>
        </w:rPr>
        <w:t>7</w:t>
      </w:r>
      <w:r w:rsidRPr="00136CD6">
        <w:t xml:space="preserve">. </w:t>
      </w:r>
      <w:r w:rsidR="001572C2" w:rsidRPr="001572C2">
        <w:rPr>
          <w:b/>
          <w:bCs/>
        </w:rPr>
        <w:t xml:space="preserve">Deep Western Boundary Current (DWBC) anomalies constrained by decadal </w:t>
      </w:r>
      <w:r w:rsidR="001572C2">
        <w:rPr>
          <w:b/>
          <w:bCs/>
        </w:rPr>
        <w:t>temperature</w:t>
      </w:r>
      <w:r w:rsidR="001572C2" w:rsidRPr="001572C2">
        <w:t>.</w:t>
      </w:r>
      <w:r w:rsidR="00A06217" w:rsidRPr="001572C2">
        <w:t xml:space="preserve"> (a–f) Cross-sections across 45°N off the Grand Banks of Newfoundland (49.5°W to 47°W) showing anomalies in meridional velocity for the sensitivity runs, constrained by decadal </w:t>
      </w:r>
      <w:r w:rsidR="00A06217">
        <w:t>temperature</w:t>
      </w:r>
      <w:r w:rsidR="00A06217" w:rsidRPr="001572C2">
        <w:t xml:space="preserve"> </w:t>
      </w:r>
      <w:r w:rsidR="0079491E">
        <w:t>(</w:t>
      </w:r>
      <w:r w:rsidR="0079491E" w:rsidRPr="00F67D91">
        <w:rPr>
          <w:b/>
          <w:bCs/>
        </w:rPr>
        <w:t>a</w:t>
      </w:r>
      <w:r w:rsidR="0079491E">
        <w:t xml:space="preserve"> 2015</w:t>
      </w:r>
      <w:r w:rsidR="0079491E" w:rsidRPr="00F67D91">
        <w:t>–20</w:t>
      </w:r>
      <w:r w:rsidR="0079491E">
        <w:t xml:space="preserve">22, </w:t>
      </w:r>
      <w:r w:rsidR="0079491E" w:rsidRPr="00F67D91">
        <w:rPr>
          <w:b/>
          <w:bCs/>
        </w:rPr>
        <w:t>b</w:t>
      </w:r>
      <w:r w:rsidR="0079491E">
        <w:t xml:space="preserve"> 2005</w:t>
      </w:r>
      <w:r w:rsidR="0079491E" w:rsidRPr="00F67D91">
        <w:t>–20</w:t>
      </w:r>
      <w:r w:rsidR="0079491E">
        <w:t>1</w:t>
      </w:r>
      <w:r w:rsidR="0079491E" w:rsidRPr="00F67D91">
        <w:t>4</w:t>
      </w:r>
      <w:r w:rsidR="0079491E">
        <w:t xml:space="preserve">, </w:t>
      </w:r>
      <w:r w:rsidR="0079491E" w:rsidRPr="00F67D91">
        <w:rPr>
          <w:b/>
          <w:bCs/>
        </w:rPr>
        <w:t>c</w:t>
      </w:r>
      <w:r w:rsidR="0079491E">
        <w:t xml:space="preserve"> </w:t>
      </w:r>
      <w:r w:rsidR="0079491E" w:rsidRPr="00F67D91">
        <w:t xml:space="preserve">1995–2004, </w:t>
      </w:r>
      <w:r w:rsidR="0079491E" w:rsidRPr="00F67D91">
        <w:rPr>
          <w:b/>
          <w:bCs/>
        </w:rPr>
        <w:t>d</w:t>
      </w:r>
      <w:r w:rsidR="0079491E">
        <w:t xml:space="preserve"> </w:t>
      </w:r>
      <w:r w:rsidR="0079491E" w:rsidRPr="00F67D91">
        <w:t xml:space="preserve">1985–1994, </w:t>
      </w:r>
      <w:r w:rsidR="0079491E" w:rsidRPr="00F67D91">
        <w:rPr>
          <w:b/>
          <w:bCs/>
        </w:rPr>
        <w:t>e</w:t>
      </w:r>
      <w:r w:rsidR="0079491E">
        <w:t xml:space="preserve"> </w:t>
      </w:r>
      <w:r w:rsidR="0079491E" w:rsidRPr="00F67D91">
        <w:t xml:space="preserve">1975–1984, and </w:t>
      </w:r>
      <w:r w:rsidR="0079491E" w:rsidRPr="00F67D91">
        <w:rPr>
          <w:b/>
          <w:bCs/>
        </w:rPr>
        <w:t>f</w:t>
      </w:r>
      <w:r w:rsidR="0079491E">
        <w:t xml:space="preserve"> </w:t>
      </w:r>
      <w:r w:rsidR="0079491E" w:rsidRPr="00F67D91">
        <w:t>1965–1974</w:t>
      </w:r>
      <w:r w:rsidR="0079491E">
        <w:t xml:space="preserve">) </w:t>
      </w:r>
      <w:r w:rsidR="00A06217" w:rsidRPr="001572C2">
        <w:t xml:space="preserve">but relaxed to </w:t>
      </w:r>
      <w:r w:rsidR="005E0416">
        <w:t>baseline</w:t>
      </w:r>
      <w:r w:rsidR="00A06217" w:rsidRPr="001572C2">
        <w:t xml:space="preserve"> </w:t>
      </w:r>
      <w:r w:rsidR="00A06217">
        <w:t>salinity</w:t>
      </w:r>
      <w:r w:rsidR="0079491E">
        <w:t>,</w:t>
      </w:r>
      <w:r w:rsidR="00A06217" w:rsidRPr="001572C2">
        <w:t xml:space="preserve"> relative to the 1955–1964 </w:t>
      </w:r>
      <w:r w:rsidR="0079491E">
        <w:t>baseline</w:t>
      </w:r>
      <w:r w:rsidR="00A06217" w:rsidRPr="001572C2">
        <w:t xml:space="preserve"> period. </w:t>
      </w:r>
      <w:r w:rsidR="00425D93">
        <w:t>T2015</w:t>
      </w:r>
      <w:r w:rsidR="00425D93">
        <w:t>:</w:t>
      </w:r>
      <w:r w:rsidR="00425D93">
        <w:t>S</w:t>
      </w:r>
      <w:r w:rsidR="00425D93">
        <w:t>1955</w:t>
      </w:r>
      <w:r w:rsidR="00425D93" w:rsidRPr="007823A3">
        <w:t>, for example, denotes the experiment constrained by</w:t>
      </w:r>
      <w:r w:rsidR="00425D93">
        <w:t xml:space="preserve"> </w:t>
      </w:r>
      <w:r w:rsidR="00425D93">
        <w:t>2015</w:t>
      </w:r>
      <w:r w:rsidR="00425D93" w:rsidRPr="007823A3">
        <w:t>–</w:t>
      </w:r>
      <w:r w:rsidR="00425D93">
        <w:t>2022</w:t>
      </w:r>
      <w:r w:rsidR="00425D93" w:rsidRPr="007823A3">
        <w:t xml:space="preserve"> </w:t>
      </w:r>
      <w:r w:rsidR="00425D93">
        <w:t>temperature</w:t>
      </w:r>
      <w:r w:rsidR="00425D93" w:rsidRPr="007823A3">
        <w:t xml:space="preserve"> </w:t>
      </w:r>
      <w:r w:rsidR="00425D93">
        <w:t xml:space="preserve">and </w:t>
      </w:r>
      <w:r w:rsidR="00425D93" w:rsidRPr="007823A3">
        <w:t xml:space="preserve">1955–1964 </w:t>
      </w:r>
      <w:r w:rsidR="00425D93">
        <w:t>salinity</w:t>
      </w:r>
      <w:r w:rsidR="00425D93">
        <w:t xml:space="preserve">. </w:t>
      </w:r>
      <w:r w:rsidR="00425D93" w:rsidRPr="00192076">
        <w:t>P1955 denotes the 1955–1964 baseline period.</w:t>
      </w:r>
      <w:r w:rsidR="00425D93">
        <w:t xml:space="preserve"> </w:t>
      </w:r>
      <w:r w:rsidR="00A06217" w:rsidRPr="001572C2">
        <w:t>Contours represent the total southward velocity, and color shading represents the anomaly. Red shading indicates a positive anomaly (a weakening of the southward flow), while blue shading indicates a negative anomaly (an intensification</w:t>
      </w:r>
      <w:r w:rsidR="0079491E">
        <w:t xml:space="preserve"> of the southward flow</w:t>
      </w:r>
      <w:r w:rsidR="00A06217" w:rsidRPr="001572C2">
        <w:t>).</w:t>
      </w:r>
    </w:p>
    <w:p w14:paraId="4E83D7AE" w14:textId="0A242DC6" w:rsidR="00B14A08" w:rsidRDefault="00B14A08" w:rsidP="006B3714">
      <w:pPr>
        <w:spacing w:line="480" w:lineRule="auto"/>
      </w:pPr>
    </w:p>
    <w:p w14:paraId="0AD39D69" w14:textId="77777777" w:rsidR="003148F4" w:rsidRDefault="003148F4" w:rsidP="006B3714">
      <w:pPr>
        <w:spacing w:line="480" w:lineRule="auto"/>
      </w:pPr>
    </w:p>
    <w:p w14:paraId="40099FC4" w14:textId="77777777" w:rsidR="003148F4" w:rsidRDefault="003148F4" w:rsidP="006B3714">
      <w:pPr>
        <w:spacing w:line="480" w:lineRule="auto"/>
      </w:pPr>
    </w:p>
    <w:p w14:paraId="7A4359F5" w14:textId="77777777" w:rsidR="003148F4" w:rsidRDefault="003148F4" w:rsidP="006B3714">
      <w:pPr>
        <w:spacing w:line="480" w:lineRule="auto"/>
      </w:pPr>
    </w:p>
    <w:p w14:paraId="4ACD08A8" w14:textId="77777777" w:rsidR="003148F4" w:rsidRDefault="003148F4" w:rsidP="006B3714">
      <w:pPr>
        <w:spacing w:line="480" w:lineRule="auto"/>
      </w:pPr>
    </w:p>
    <w:p w14:paraId="60D4A002" w14:textId="77777777" w:rsidR="003148F4" w:rsidRDefault="003148F4" w:rsidP="006B3714">
      <w:pPr>
        <w:spacing w:line="480" w:lineRule="auto"/>
      </w:pPr>
    </w:p>
    <w:p w14:paraId="5A2FB8AF" w14:textId="77777777" w:rsidR="003148F4" w:rsidRDefault="003148F4" w:rsidP="006B3714">
      <w:pPr>
        <w:spacing w:line="480" w:lineRule="auto"/>
      </w:pPr>
    </w:p>
    <w:p w14:paraId="40D02996" w14:textId="2C2B7635" w:rsidR="003148F4" w:rsidRDefault="00497CD5" w:rsidP="006B3714">
      <w:pPr>
        <w:spacing w:line="480" w:lineRule="auto"/>
      </w:pPr>
      <w:r>
        <w:rPr>
          <w:noProof/>
        </w:rPr>
        <w:lastRenderedPageBreak/>
        <w:drawing>
          <wp:inline distT="0" distB="0" distL="0" distR="0" wp14:anchorId="1A629D68" wp14:editId="41E5C5BA">
            <wp:extent cx="5943600" cy="5441315"/>
            <wp:effectExtent l="0" t="0" r="0" b="698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5441315"/>
                    </a:xfrm>
                    <a:prstGeom prst="rect">
                      <a:avLst/>
                    </a:prstGeom>
                  </pic:spPr>
                </pic:pic>
              </a:graphicData>
            </a:graphic>
          </wp:inline>
        </w:drawing>
      </w:r>
    </w:p>
    <w:p w14:paraId="0B48934A" w14:textId="044DD432" w:rsidR="003148F4" w:rsidRDefault="003148F4" w:rsidP="001572C2">
      <w:pPr>
        <w:spacing w:line="480" w:lineRule="auto"/>
      </w:pPr>
      <w:r w:rsidRPr="00956844">
        <w:rPr>
          <w:b/>
          <w:bCs/>
        </w:rPr>
        <w:t>Figure S</w:t>
      </w:r>
      <w:r w:rsidR="00582E73">
        <w:rPr>
          <w:b/>
          <w:bCs/>
        </w:rPr>
        <w:t>8</w:t>
      </w:r>
      <w:r>
        <w:t xml:space="preserve">. </w:t>
      </w:r>
      <w:r w:rsidR="001572C2" w:rsidRPr="001572C2">
        <w:t xml:space="preserve">Same as Figure 3 except that a 1° </w:t>
      </w:r>
      <w:r w:rsidR="00BC4435">
        <w:t xml:space="preserve">horizonal </w:t>
      </w:r>
      <w:r w:rsidR="001572C2" w:rsidRPr="001572C2">
        <w:t>resolution ocean model is used instead of a 0.25°</w:t>
      </w:r>
      <w:r w:rsidR="00BC4435">
        <w:t xml:space="preserve"> horizontal</w:t>
      </w:r>
      <w:r w:rsidR="001572C2" w:rsidRPr="001572C2">
        <w:t xml:space="preserve"> resolution ocean model.</w:t>
      </w:r>
      <w:r w:rsidR="00877169">
        <w:t xml:space="preserve"> </w:t>
      </w:r>
    </w:p>
    <w:p w14:paraId="1B313622" w14:textId="77777777" w:rsidR="00877169" w:rsidRDefault="00877169" w:rsidP="00877169">
      <w:pPr>
        <w:spacing w:line="480" w:lineRule="auto"/>
      </w:pPr>
    </w:p>
    <w:p w14:paraId="425F2B4E" w14:textId="77777777" w:rsidR="00877169" w:rsidRDefault="00877169" w:rsidP="00877169">
      <w:pPr>
        <w:spacing w:line="480" w:lineRule="auto"/>
      </w:pPr>
    </w:p>
    <w:p w14:paraId="31143400" w14:textId="77777777" w:rsidR="003148F4" w:rsidRDefault="003148F4" w:rsidP="006B3714">
      <w:pPr>
        <w:spacing w:line="480" w:lineRule="auto"/>
      </w:pPr>
    </w:p>
    <w:p w14:paraId="52082B0D" w14:textId="77777777" w:rsidR="003148F4" w:rsidRDefault="003148F4" w:rsidP="006B3714">
      <w:pPr>
        <w:spacing w:line="480" w:lineRule="auto"/>
      </w:pPr>
    </w:p>
    <w:p w14:paraId="0AA93C81" w14:textId="77777777" w:rsidR="003148F4" w:rsidRDefault="003148F4" w:rsidP="006B3714">
      <w:pPr>
        <w:spacing w:line="480" w:lineRule="auto"/>
      </w:pPr>
    </w:p>
    <w:p w14:paraId="24D6EC38" w14:textId="2AAB9F96" w:rsidR="003148F4" w:rsidRDefault="00497CD5" w:rsidP="006B3714">
      <w:pPr>
        <w:spacing w:line="480" w:lineRule="auto"/>
      </w:pPr>
      <w:r>
        <w:rPr>
          <w:noProof/>
        </w:rPr>
        <w:lastRenderedPageBreak/>
        <w:drawing>
          <wp:inline distT="0" distB="0" distL="0" distR="0" wp14:anchorId="15160EDE" wp14:editId="5AE17D65">
            <wp:extent cx="5943600" cy="5441315"/>
            <wp:effectExtent l="0" t="0" r="0" b="698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5441315"/>
                    </a:xfrm>
                    <a:prstGeom prst="rect">
                      <a:avLst/>
                    </a:prstGeom>
                  </pic:spPr>
                </pic:pic>
              </a:graphicData>
            </a:graphic>
          </wp:inline>
        </w:drawing>
      </w:r>
    </w:p>
    <w:p w14:paraId="52E3400D" w14:textId="428AF10C" w:rsidR="003148F4" w:rsidRDefault="00877169" w:rsidP="006B3714">
      <w:pPr>
        <w:spacing w:line="480" w:lineRule="auto"/>
      </w:pPr>
      <w:r w:rsidRPr="00956844">
        <w:rPr>
          <w:b/>
          <w:bCs/>
        </w:rPr>
        <w:t>Figure S</w:t>
      </w:r>
      <w:r w:rsidR="00582E73">
        <w:rPr>
          <w:b/>
          <w:bCs/>
        </w:rPr>
        <w:t>9</w:t>
      </w:r>
      <w:r>
        <w:t xml:space="preserve">. </w:t>
      </w:r>
      <w:r w:rsidRPr="003148F4">
        <w:t xml:space="preserve">Same as Figure </w:t>
      </w:r>
      <w:r w:rsidR="001572C2">
        <w:t>3</w:t>
      </w:r>
      <w:r w:rsidRPr="003148F4">
        <w:t xml:space="preserve"> except that </w:t>
      </w:r>
      <w:r>
        <w:t xml:space="preserve">a 0.5° </w:t>
      </w:r>
      <w:r w:rsidR="00BC4435">
        <w:t xml:space="preserve">horizontal </w:t>
      </w:r>
      <w:r>
        <w:t xml:space="preserve">resolution ocean model is used instead of a 0.25° </w:t>
      </w:r>
      <w:r w:rsidR="00BC4435">
        <w:t xml:space="preserve">horizontal </w:t>
      </w:r>
      <w:r>
        <w:t xml:space="preserve">resolution ocean model. </w:t>
      </w:r>
    </w:p>
    <w:p w14:paraId="5A937281" w14:textId="77777777" w:rsidR="00605E3E" w:rsidRDefault="00605E3E" w:rsidP="006B3714">
      <w:pPr>
        <w:spacing w:line="480" w:lineRule="auto"/>
      </w:pPr>
    </w:p>
    <w:p w14:paraId="07707C41" w14:textId="77777777" w:rsidR="00605E3E" w:rsidRDefault="00605E3E" w:rsidP="006B3714">
      <w:pPr>
        <w:spacing w:line="480" w:lineRule="auto"/>
      </w:pPr>
    </w:p>
    <w:p w14:paraId="18D90426" w14:textId="77777777" w:rsidR="00605E3E" w:rsidRDefault="00605E3E" w:rsidP="006B3714">
      <w:pPr>
        <w:spacing w:line="480" w:lineRule="auto"/>
      </w:pPr>
    </w:p>
    <w:p w14:paraId="1D93DFCA" w14:textId="77777777" w:rsidR="00605E3E" w:rsidRDefault="00605E3E" w:rsidP="006B3714">
      <w:pPr>
        <w:spacing w:line="480" w:lineRule="auto"/>
      </w:pPr>
    </w:p>
    <w:p w14:paraId="75110BA6" w14:textId="77777777" w:rsidR="00605E3E" w:rsidRDefault="00605E3E" w:rsidP="006B3714">
      <w:pPr>
        <w:spacing w:line="480" w:lineRule="auto"/>
      </w:pPr>
    </w:p>
    <w:p w14:paraId="7E7C0DC7" w14:textId="7537CB57" w:rsidR="00605E3E" w:rsidRDefault="00486202" w:rsidP="006B3714">
      <w:pPr>
        <w:spacing w:line="480" w:lineRule="auto"/>
      </w:pPr>
      <w:r>
        <w:rPr>
          <w:noProof/>
        </w:rPr>
        <w:lastRenderedPageBreak/>
        <w:drawing>
          <wp:inline distT="0" distB="0" distL="0" distR="0" wp14:anchorId="7880B699" wp14:editId="62C29E51">
            <wp:extent cx="5943600" cy="208026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2080260"/>
                    </a:xfrm>
                    <a:prstGeom prst="rect">
                      <a:avLst/>
                    </a:prstGeom>
                  </pic:spPr>
                </pic:pic>
              </a:graphicData>
            </a:graphic>
          </wp:inline>
        </w:drawing>
      </w:r>
    </w:p>
    <w:p w14:paraId="1041243C" w14:textId="1951CA30" w:rsidR="005213B9" w:rsidRDefault="00D551A7" w:rsidP="00DB3F87">
      <w:pPr>
        <w:spacing w:line="480" w:lineRule="auto"/>
      </w:pPr>
      <w:r w:rsidRPr="00D551A7">
        <w:rPr>
          <w:b/>
          <w:bCs/>
        </w:rPr>
        <w:t>Figure S</w:t>
      </w:r>
      <w:r w:rsidR="00582E73">
        <w:rPr>
          <w:b/>
          <w:bCs/>
        </w:rPr>
        <w:t>10</w:t>
      </w:r>
      <w:r w:rsidRPr="00D551A7">
        <w:rPr>
          <w:b/>
          <w:bCs/>
        </w:rPr>
        <w:t xml:space="preserve">. </w:t>
      </w:r>
      <w:r w:rsidR="00AC021D" w:rsidRPr="00AC021D">
        <w:rPr>
          <w:b/>
          <w:bCs/>
        </w:rPr>
        <w:t>Comparison of AMOC streamfunctions from the initial (unoptimized) model with direct observations across the RAPID and OSNAP arrays</w:t>
      </w:r>
      <w:r w:rsidR="005A1034">
        <w:t>.</w:t>
      </w:r>
      <w:r w:rsidR="005213B9" w:rsidRPr="005213B9">
        <w:t xml:space="preserve"> (a) Vertical profile of the AMOC streamfunction</w:t>
      </w:r>
      <w:r w:rsidR="005213B9" w:rsidRPr="005A1034">
        <w:t xml:space="preserve"> (</w:t>
      </w:r>
      <w:r w:rsidR="005213B9" w:rsidRPr="005A1034">
        <w:rPr>
          <w:i/>
          <w:iCs/>
        </w:rPr>
        <w:t>Ψ</w:t>
      </w:r>
      <w:r w:rsidR="005213B9" w:rsidRPr="005A1034">
        <w:t xml:space="preserve">, in </w:t>
      </w:r>
      <w:proofErr w:type="spellStart"/>
      <w:r w:rsidR="005213B9" w:rsidRPr="005A1034">
        <w:rPr>
          <w:i/>
          <w:iCs/>
        </w:rPr>
        <w:t>Sv</w:t>
      </w:r>
      <w:proofErr w:type="spellEnd"/>
      <w:r w:rsidR="005213B9" w:rsidRPr="005A1034">
        <w:t xml:space="preserve">) </w:t>
      </w:r>
      <w:r w:rsidR="005213B9" w:rsidRPr="005213B9">
        <w:t>as a function of depth (</w:t>
      </w:r>
      <w:r w:rsidR="005213B9" w:rsidRPr="005213B9">
        <w:rPr>
          <w:i/>
          <w:iCs/>
        </w:rPr>
        <w:t>m</w:t>
      </w:r>
      <w:r w:rsidR="005213B9" w:rsidRPr="005213B9">
        <w:t>) at 26.5°N compared with RAPID observations. (b–d) Profiles of the AMOC streamfunction against potential density anomaly (</w:t>
      </w:r>
      <w:r w:rsidR="005213B9" w:rsidRPr="005A1034">
        <w:rPr>
          <w:i/>
          <w:iCs/>
        </w:rPr>
        <w:t>σ</w:t>
      </w:r>
      <w:r w:rsidR="005213B9" w:rsidRPr="00421BF1">
        <w:rPr>
          <w:vertAlign w:val="subscript"/>
        </w:rPr>
        <w:t>0</w:t>
      </w:r>
      <w:r w:rsidR="005213B9" w:rsidRPr="005A1034">
        <w:t xml:space="preserve">, in </w:t>
      </w:r>
      <w:r w:rsidR="005213B9" w:rsidRPr="005A1034">
        <w:rPr>
          <w:i/>
          <w:iCs/>
        </w:rPr>
        <w:t>kg</w:t>
      </w:r>
      <w:r w:rsidR="005213B9">
        <w:t xml:space="preserve"> </w:t>
      </w:r>
      <w:r w:rsidR="005213B9" w:rsidRPr="005A1034">
        <w:rPr>
          <w:i/>
          <w:iCs/>
        </w:rPr>
        <w:t>m</w:t>
      </w:r>
      <w:r w:rsidR="005213B9" w:rsidRPr="005A1034">
        <w:rPr>
          <w:vertAlign w:val="superscript"/>
        </w:rPr>
        <w:t>-3</w:t>
      </w:r>
      <w:r w:rsidR="005213B9">
        <w:t xml:space="preserve">) </w:t>
      </w:r>
      <w:r w:rsidR="005213B9" w:rsidRPr="005213B9">
        <w:t>across the (b) entire OSNAP line, (c) OSNAP West section, and (d) OSNAP East section compared with OSNAP observations. In all panels, the solid red line represents the initial unoptimized robust diagnostic model results, and the dashed black line denotes the corresponding direct observations. The overturning streamfunctions are averaged over the 2015–2022 period.</w:t>
      </w:r>
      <w:r w:rsidR="005A1034" w:rsidRPr="005A1034">
        <w:t xml:space="preserve"> </w:t>
      </w:r>
    </w:p>
    <w:p w14:paraId="2AD3D88B" w14:textId="77777777" w:rsidR="00D551A7" w:rsidRDefault="00D551A7" w:rsidP="006B3714">
      <w:pPr>
        <w:spacing w:line="480" w:lineRule="auto"/>
      </w:pPr>
    </w:p>
    <w:p w14:paraId="096FFD0F" w14:textId="77777777" w:rsidR="00605E3E" w:rsidRDefault="00605E3E" w:rsidP="006B3714">
      <w:pPr>
        <w:spacing w:line="480" w:lineRule="auto"/>
      </w:pPr>
    </w:p>
    <w:p w14:paraId="7FE76144" w14:textId="77777777" w:rsidR="00605E3E" w:rsidRDefault="00605E3E" w:rsidP="006B3714">
      <w:pPr>
        <w:spacing w:line="480" w:lineRule="auto"/>
      </w:pPr>
    </w:p>
    <w:p w14:paraId="68D220D0" w14:textId="77777777" w:rsidR="00605E3E" w:rsidRDefault="00605E3E" w:rsidP="006B3714">
      <w:pPr>
        <w:spacing w:line="480" w:lineRule="auto"/>
      </w:pPr>
    </w:p>
    <w:p w14:paraId="0D3528E4" w14:textId="77777777" w:rsidR="00605E3E" w:rsidRDefault="00605E3E" w:rsidP="006B3714">
      <w:pPr>
        <w:spacing w:line="480" w:lineRule="auto"/>
      </w:pPr>
    </w:p>
    <w:p w14:paraId="2037A0E7" w14:textId="77777777" w:rsidR="00605E3E" w:rsidRDefault="00605E3E" w:rsidP="006B3714">
      <w:pPr>
        <w:spacing w:line="480" w:lineRule="auto"/>
      </w:pPr>
    </w:p>
    <w:p w14:paraId="4BDBA697" w14:textId="77777777" w:rsidR="00605E3E" w:rsidRDefault="00605E3E" w:rsidP="006B3714">
      <w:pPr>
        <w:spacing w:line="480" w:lineRule="auto"/>
      </w:pPr>
    </w:p>
    <w:p w14:paraId="689B3CB4" w14:textId="77777777" w:rsidR="00605E3E" w:rsidRDefault="00605E3E" w:rsidP="006B3714">
      <w:pPr>
        <w:spacing w:line="480" w:lineRule="auto"/>
      </w:pPr>
    </w:p>
    <w:p w14:paraId="50F73873" w14:textId="18505FE7" w:rsidR="00605E3E" w:rsidRDefault="00486202" w:rsidP="006B3714">
      <w:pPr>
        <w:spacing w:line="480" w:lineRule="auto"/>
      </w:pPr>
      <w:r>
        <w:rPr>
          <w:noProof/>
        </w:rPr>
        <w:lastRenderedPageBreak/>
        <w:drawing>
          <wp:inline distT="0" distB="0" distL="0" distR="0" wp14:anchorId="5E7BEC12" wp14:editId="49F949A6">
            <wp:extent cx="5943600" cy="208026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2080260"/>
                    </a:xfrm>
                    <a:prstGeom prst="rect">
                      <a:avLst/>
                    </a:prstGeom>
                  </pic:spPr>
                </pic:pic>
              </a:graphicData>
            </a:graphic>
          </wp:inline>
        </w:drawing>
      </w:r>
    </w:p>
    <w:p w14:paraId="09C6A2DD" w14:textId="2BF64BD1" w:rsidR="005213B9" w:rsidRDefault="00555BF1" w:rsidP="005213B9">
      <w:pPr>
        <w:spacing w:line="480" w:lineRule="auto"/>
      </w:pPr>
      <w:r w:rsidRPr="00956844">
        <w:rPr>
          <w:b/>
          <w:bCs/>
        </w:rPr>
        <w:t>Figure S</w:t>
      </w:r>
      <w:r>
        <w:rPr>
          <w:b/>
          <w:bCs/>
        </w:rPr>
        <w:t>1</w:t>
      </w:r>
      <w:r w:rsidR="00582E73">
        <w:rPr>
          <w:b/>
          <w:bCs/>
        </w:rPr>
        <w:t>1</w:t>
      </w:r>
      <w:r w:rsidR="005A1034">
        <w:rPr>
          <w:b/>
          <w:bCs/>
        </w:rPr>
        <w:t>.</w:t>
      </w:r>
      <w:r w:rsidR="005A1034" w:rsidRPr="005A1034">
        <w:rPr>
          <w:b/>
          <w:bCs/>
        </w:rPr>
        <w:t xml:space="preserve"> </w:t>
      </w:r>
      <w:r w:rsidR="00AC021D" w:rsidRPr="00AC021D">
        <w:rPr>
          <w:b/>
          <w:bCs/>
        </w:rPr>
        <w:t>Comparison of AMOC streamfunctions from the optimized model with direct observations across the RAPID and OSNAP arrays</w:t>
      </w:r>
      <w:r w:rsidR="00DB3F87">
        <w:t xml:space="preserve">. </w:t>
      </w:r>
      <w:r w:rsidR="00B27980">
        <w:t xml:space="preserve">(a) </w:t>
      </w:r>
      <w:r w:rsidR="005213B9" w:rsidRPr="005213B9">
        <w:t>Vertical profile of the AMOC streamfunction</w:t>
      </w:r>
      <w:r w:rsidR="005213B9" w:rsidRPr="005A1034">
        <w:t xml:space="preserve"> (</w:t>
      </w:r>
      <w:r w:rsidR="005213B9" w:rsidRPr="005A1034">
        <w:rPr>
          <w:i/>
          <w:iCs/>
        </w:rPr>
        <w:t>Ψ</w:t>
      </w:r>
      <w:r w:rsidR="005213B9" w:rsidRPr="005A1034">
        <w:t xml:space="preserve">, in </w:t>
      </w:r>
      <w:proofErr w:type="spellStart"/>
      <w:r w:rsidR="005213B9" w:rsidRPr="005A1034">
        <w:rPr>
          <w:i/>
          <w:iCs/>
        </w:rPr>
        <w:t>Sv</w:t>
      </w:r>
      <w:proofErr w:type="spellEnd"/>
      <w:r w:rsidR="005213B9" w:rsidRPr="005A1034">
        <w:t xml:space="preserve">) </w:t>
      </w:r>
      <w:r w:rsidR="005213B9" w:rsidRPr="005213B9">
        <w:t>as a function of depth (</w:t>
      </w:r>
      <w:r w:rsidR="005213B9" w:rsidRPr="005213B9">
        <w:rPr>
          <w:i/>
          <w:iCs/>
        </w:rPr>
        <w:t>m</w:t>
      </w:r>
      <w:r w:rsidR="005213B9" w:rsidRPr="005213B9">
        <w:t>) at 26.5°N compared with RAPID observations. (b–d) Profiles of the AMOC streamfunction against potential density anomaly (</w:t>
      </w:r>
      <w:r w:rsidR="005213B9" w:rsidRPr="005A1034">
        <w:rPr>
          <w:i/>
          <w:iCs/>
        </w:rPr>
        <w:t>σ</w:t>
      </w:r>
      <w:r w:rsidR="005213B9" w:rsidRPr="00421BF1">
        <w:rPr>
          <w:vertAlign w:val="subscript"/>
        </w:rPr>
        <w:t>0</w:t>
      </w:r>
      <w:r w:rsidR="005213B9" w:rsidRPr="005A1034">
        <w:t xml:space="preserve">, in </w:t>
      </w:r>
      <w:r w:rsidR="005213B9" w:rsidRPr="005A1034">
        <w:rPr>
          <w:i/>
          <w:iCs/>
        </w:rPr>
        <w:t>kg</w:t>
      </w:r>
      <w:r w:rsidR="005213B9">
        <w:t xml:space="preserve"> </w:t>
      </w:r>
      <w:r w:rsidR="005213B9" w:rsidRPr="005A1034">
        <w:rPr>
          <w:i/>
          <w:iCs/>
        </w:rPr>
        <w:t>m</w:t>
      </w:r>
      <w:r w:rsidR="005213B9" w:rsidRPr="005A1034">
        <w:rPr>
          <w:vertAlign w:val="superscript"/>
        </w:rPr>
        <w:t>-3</w:t>
      </w:r>
      <w:r w:rsidR="005213B9">
        <w:t xml:space="preserve">) </w:t>
      </w:r>
      <w:r w:rsidR="005213B9" w:rsidRPr="005213B9">
        <w:t>across the (b) entire OSNAP line, (c) OSNAP West section, and (d) OSNAP East section compared with OSNAP observations. In all panels, the solid red line represents the optimized robust diagnostic model results, and the dashed black line denotes the corresponding direct observations. The overturning streamfunctions are averaged over the 2015–2022 period.</w:t>
      </w:r>
      <w:r w:rsidR="005213B9" w:rsidRPr="005A1034">
        <w:t xml:space="preserve"> </w:t>
      </w:r>
    </w:p>
    <w:sectPr w:rsidR="005213B9">
      <w:headerReference w:type="default" r:id="rId29"/>
      <w:footerReference w:type="even" r:id="rId30"/>
      <w:footerReference w:type="default" r:id="rId31"/>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70194" w14:textId="77777777" w:rsidR="00072534" w:rsidRDefault="00072534">
      <w:r>
        <w:separator/>
      </w:r>
    </w:p>
  </w:endnote>
  <w:endnote w:type="continuationSeparator" w:id="0">
    <w:p w14:paraId="50A790B8" w14:textId="77777777" w:rsidR="00072534" w:rsidRDefault="0007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Luxi Sans">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77777777" w:rsidR="00025538" w:rsidRDefault="00DE1ED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035" w14:textId="77777777" w:rsidR="00025538" w:rsidRDefault="0002553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6" w14:textId="1DA920D7" w:rsidR="00025538" w:rsidRDefault="00DE1ED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05558C">
      <w:rPr>
        <w:noProof/>
        <w:color w:val="000000"/>
      </w:rPr>
      <w:t>1</w:t>
    </w:r>
    <w:r>
      <w:rPr>
        <w:color w:val="000000"/>
      </w:rPr>
      <w:fldChar w:fldCharType="end"/>
    </w:r>
  </w:p>
  <w:p w14:paraId="00000037" w14:textId="77777777" w:rsidR="00025538" w:rsidRDefault="0002553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9E49E" w14:textId="77777777" w:rsidR="00072534" w:rsidRDefault="00072534">
      <w:r>
        <w:separator/>
      </w:r>
    </w:p>
  </w:footnote>
  <w:footnote w:type="continuationSeparator" w:id="0">
    <w:p w14:paraId="1C10F42B" w14:textId="77777777" w:rsidR="00072534" w:rsidRDefault="00072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3" w14:textId="77777777" w:rsidR="00025538" w:rsidRDefault="0002553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C4224"/>
    <w:multiLevelType w:val="multilevel"/>
    <w:tmpl w:val="4A2E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485D1A"/>
    <w:multiLevelType w:val="multilevel"/>
    <w:tmpl w:val="F7449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5258309">
    <w:abstractNumId w:val="1"/>
  </w:num>
  <w:num w:numId="2" w16cid:durableId="155263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538"/>
    <w:rsid w:val="000016E3"/>
    <w:rsid w:val="00003445"/>
    <w:rsid w:val="00006994"/>
    <w:rsid w:val="00006D5E"/>
    <w:rsid w:val="0000736F"/>
    <w:rsid w:val="00012F59"/>
    <w:rsid w:val="00015EB7"/>
    <w:rsid w:val="000200FB"/>
    <w:rsid w:val="000218A2"/>
    <w:rsid w:val="00025538"/>
    <w:rsid w:val="00025EB8"/>
    <w:rsid w:val="00030D7F"/>
    <w:rsid w:val="000327F1"/>
    <w:rsid w:val="00033462"/>
    <w:rsid w:val="00035609"/>
    <w:rsid w:val="00035F13"/>
    <w:rsid w:val="00041A8A"/>
    <w:rsid w:val="00046EE7"/>
    <w:rsid w:val="00050215"/>
    <w:rsid w:val="0005063D"/>
    <w:rsid w:val="0005228E"/>
    <w:rsid w:val="0005243A"/>
    <w:rsid w:val="00054DBA"/>
    <w:rsid w:val="000554BF"/>
    <w:rsid w:val="0005558C"/>
    <w:rsid w:val="00055872"/>
    <w:rsid w:val="00057F74"/>
    <w:rsid w:val="0006093D"/>
    <w:rsid w:val="000701EC"/>
    <w:rsid w:val="000711BD"/>
    <w:rsid w:val="000722C2"/>
    <w:rsid w:val="00072534"/>
    <w:rsid w:val="00073DA9"/>
    <w:rsid w:val="000748F8"/>
    <w:rsid w:val="000765B4"/>
    <w:rsid w:val="00076BB6"/>
    <w:rsid w:val="000802AC"/>
    <w:rsid w:val="0008064A"/>
    <w:rsid w:val="0008251D"/>
    <w:rsid w:val="00082BEB"/>
    <w:rsid w:val="00084752"/>
    <w:rsid w:val="000904DF"/>
    <w:rsid w:val="00091DE7"/>
    <w:rsid w:val="0009639C"/>
    <w:rsid w:val="00097D71"/>
    <w:rsid w:val="000A0023"/>
    <w:rsid w:val="000A27FD"/>
    <w:rsid w:val="000A2995"/>
    <w:rsid w:val="000A64E1"/>
    <w:rsid w:val="000A6BC2"/>
    <w:rsid w:val="000B3A30"/>
    <w:rsid w:val="000B4764"/>
    <w:rsid w:val="000B530F"/>
    <w:rsid w:val="000C1B2C"/>
    <w:rsid w:val="000C560A"/>
    <w:rsid w:val="000C5DE6"/>
    <w:rsid w:val="000D01D4"/>
    <w:rsid w:val="000D2E53"/>
    <w:rsid w:val="000D3393"/>
    <w:rsid w:val="000D3446"/>
    <w:rsid w:val="000D540D"/>
    <w:rsid w:val="000D62DA"/>
    <w:rsid w:val="000E1739"/>
    <w:rsid w:val="000E5A79"/>
    <w:rsid w:val="000E6222"/>
    <w:rsid w:val="000F4641"/>
    <w:rsid w:val="000F4D0B"/>
    <w:rsid w:val="000F62D2"/>
    <w:rsid w:val="000F7795"/>
    <w:rsid w:val="0010459A"/>
    <w:rsid w:val="00111B0D"/>
    <w:rsid w:val="00114C16"/>
    <w:rsid w:val="001154F2"/>
    <w:rsid w:val="00122205"/>
    <w:rsid w:val="00122409"/>
    <w:rsid w:val="00122C63"/>
    <w:rsid w:val="00125214"/>
    <w:rsid w:val="00130BFE"/>
    <w:rsid w:val="00136CD6"/>
    <w:rsid w:val="00140126"/>
    <w:rsid w:val="00141EC8"/>
    <w:rsid w:val="00142B0A"/>
    <w:rsid w:val="00143770"/>
    <w:rsid w:val="00145ED9"/>
    <w:rsid w:val="001537CF"/>
    <w:rsid w:val="00153F41"/>
    <w:rsid w:val="0015471E"/>
    <w:rsid w:val="001572C2"/>
    <w:rsid w:val="001576BC"/>
    <w:rsid w:val="00157B1E"/>
    <w:rsid w:val="00163FF0"/>
    <w:rsid w:val="00165E68"/>
    <w:rsid w:val="00165E90"/>
    <w:rsid w:val="00167F3C"/>
    <w:rsid w:val="0017049E"/>
    <w:rsid w:val="00171FC2"/>
    <w:rsid w:val="00175A76"/>
    <w:rsid w:val="00177840"/>
    <w:rsid w:val="00184122"/>
    <w:rsid w:val="00192DBD"/>
    <w:rsid w:val="00193018"/>
    <w:rsid w:val="001A0946"/>
    <w:rsid w:val="001A0991"/>
    <w:rsid w:val="001A36EC"/>
    <w:rsid w:val="001A3B2A"/>
    <w:rsid w:val="001A3C71"/>
    <w:rsid w:val="001A4ED5"/>
    <w:rsid w:val="001A6D71"/>
    <w:rsid w:val="001B0D93"/>
    <w:rsid w:val="001B6B1C"/>
    <w:rsid w:val="001B6BDE"/>
    <w:rsid w:val="001C0288"/>
    <w:rsid w:val="001C0344"/>
    <w:rsid w:val="001C23BF"/>
    <w:rsid w:val="001C4637"/>
    <w:rsid w:val="001C4EE6"/>
    <w:rsid w:val="001C6A50"/>
    <w:rsid w:val="001D10AC"/>
    <w:rsid w:val="001D30D0"/>
    <w:rsid w:val="001D3246"/>
    <w:rsid w:val="001D4E1A"/>
    <w:rsid w:val="001E1019"/>
    <w:rsid w:val="001E20F7"/>
    <w:rsid w:val="001E74EA"/>
    <w:rsid w:val="001E78D6"/>
    <w:rsid w:val="001E7E6A"/>
    <w:rsid w:val="001F3BC5"/>
    <w:rsid w:val="001F4472"/>
    <w:rsid w:val="0020498C"/>
    <w:rsid w:val="0020592D"/>
    <w:rsid w:val="002067C3"/>
    <w:rsid w:val="00211E04"/>
    <w:rsid w:val="00212A22"/>
    <w:rsid w:val="00213806"/>
    <w:rsid w:val="00221D09"/>
    <w:rsid w:val="00222367"/>
    <w:rsid w:val="00222A69"/>
    <w:rsid w:val="00223294"/>
    <w:rsid w:val="00235CBD"/>
    <w:rsid w:val="00235D3D"/>
    <w:rsid w:val="00236184"/>
    <w:rsid w:val="002404F3"/>
    <w:rsid w:val="0024276D"/>
    <w:rsid w:val="00244FFF"/>
    <w:rsid w:val="002452C1"/>
    <w:rsid w:val="00252F5C"/>
    <w:rsid w:val="0025371E"/>
    <w:rsid w:val="00254146"/>
    <w:rsid w:val="002579DB"/>
    <w:rsid w:val="00262D99"/>
    <w:rsid w:val="00273A12"/>
    <w:rsid w:val="00273A68"/>
    <w:rsid w:val="0027501E"/>
    <w:rsid w:val="002763D5"/>
    <w:rsid w:val="00276F45"/>
    <w:rsid w:val="0028241B"/>
    <w:rsid w:val="00283124"/>
    <w:rsid w:val="00292AD1"/>
    <w:rsid w:val="002967E7"/>
    <w:rsid w:val="002A09FC"/>
    <w:rsid w:val="002A3393"/>
    <w:rsid w:val="002A7FA8"/>
    <w:rsid w:val="002B0DAC"/>
    <w:rsid w:val="002B180C"/>
    <w:rsid w:val="002B2268"/>
    <w:rsid w:val="002B6000"/>
    <w:rsid w:val="002C06EC"/>
    <w:rsid w:val="002C0D3C"/>
    <w:rsid w:val="002C1C43"/>
    <w:rsid w:val="002C217B"/>
    <w:rsid w:val="002C3636"/>
    <w:rsid w:val="002C377D"/>
    <w:rsid w:val="002C51B1"/>
    <w:rsid w:val="002D183D"/>
    <w:rsid w:val="002D4364"/>
    <w:rsid w:val="002D462D"/>
    <w:rsid w:val="002D5D5F"/>
    <w:rsid w:val="002D6FAD"/>
    <w:rsid w:val="002D74FF"/>
    <w:rsid w:val="002E04E1"/>
    <w:rsid w:val="002E68E5"/>
    <w:rsid w:val="002F6C52"/>
    <w:rsid w:val="002F6CC5"/>
    <w:rsid w:val="003009D5"/>
    <w:rsid w:val="00303558"/>
    <w:rsid w:val="00306885"/>
    <w:rsid w:val="00307CC3"/>
    <w:rsid w:val="003143BC"/>
    <w:rsid w:val="0031447E"/>
    <w:rsid w:val="003148F4"/>
    <w:rsid w:val="00314C46"/>
    <w:rsid w:val="00315C08"/>
    <w:rsid w:val="00316834"/>
    <w:rsid w:val="00317029"/>
    <w:rsid w:val="0032505A"/>
    <w:rsid w:val="0033146C"/>
    <w:rsid w:val="00333B42"/>
    <w:rsid w:val="00334733"/>
    <w:rsid w:val="00337A19"/>
    <w:rsid w:val="00341C69"/>
    <w:rsid w:val="003462F1"/>
    <w:rsid w:val="00347509"/>
    <w:rsid w:val="00350429"/>
    <w:rsid w:val="00356F88"/>
    <w:rsid w:val="003571EF"/>
    <w:rsid w:val="0036255E"/>
    <w:rsid w:val="00362651"/>
    <w:rsid w:val="0036444C"/>
    <w:rsid w:val="0036448E"/>
    <w:rsid w:val="00370904"/>
    <w:rsid w:val="003721E7"/>
    <w:rsid w:val="003738DA"/>
    <w:rsid w:val="003752CE"/>
    <w:rsid w:val="00383AF5"/>
    <w:rsid w:val="003852BA"/>
    <w:rsid w:val="00387A0A"/>
    <w:rsid w:val="00391CA6"/>
    <w:rsid w:val="00393ED2"/>
    <w:rsid w:val="00394B6B"/>
    <w:rsid w:val="00396131"/>
    <w:rsid w:val="003961C7"/>
    <w:rsid w:val="0039670C"/>
    <w:rsid w:val="003A3100"/>
    <w:rsid w:val="003A38D7"/>
    <w:rsid w:val="003A66F5"/>
    <w:rsid w:val="003B0B49"/>
    <w:rsid w:val="003B7671"/>
    <w:rsid w:val="003C0597"/>
    <w:rsid w:val="003C3775"/>
    <w:rsid w:val="003C57A3"/>
    <w:rsid w:val="003D13AF"/>
    <w:rsid w:val="003D64C0"/>
    <w:rsid w:val="003D72E1"/>
    <w:rsid w:val="003E3A70"/>
    <w:rsid w:val="003E3B55"/>
    <w:rsid w:val="003E65A7"/>
    <w:rsid w:val="003F09EC"/>
    <w:rsid w:val="003F231F"/>
    <w:rsid w:val="003F28E3"/>
    <w:rsid w:val="003F32CE"/>
    <w:rsid w:val="003F666C"/>
    <w:rsid w:val="00400ACE"/>
    <w:rsid w:val="004041F0"/>
    <w:rsid w:val="00411EC7"/>
    <w:rsid w:val="00415F15"/>
    <w:rsid w:val="00421BF1"/>
    <w:rsid w:val="0042446E"/>
    <w:rsid w:val="00425D93"/>
    <w:rsid w:val="00427511"/>
    <w:rsid w:val="00432B8A"/>
    <w:rsid w:val="00434052"/>
    <w:rsid w:val="00435804"/>
    <w:rsid w:val="004360A3"/>
    <w:rsid w:val="00436EA2"/>
    <w:rsid w:val="00437C5B"/>
    <w:rsid w:val="00437FBF"/>
    <w:rsid w:val="004406D9"/>
    <w:rsid w:val="00440D1C"/>
    <w:rsid w:val="00441476"/>
    <w:rsid w:val="004430BE"/>
    <w:rsid w:val="004457DB"/>
    <w:rsid w:val="00445A33"/>
    <w:rsid w:val="004666D8"/>
    <w:rsid w:val="004668BF"/>
    <w:rsid w:val="00467D72"/>
    <w:rsid w:val="00470B07"/>
    <w:rsid w:val="004726D8"/>
    <w:rsid w:val="00474F74"/>
    <w:rsid w:val="004755B8"/>
    <w:rsid w:val="00477509"/>
    <w:rsid w:val="00482451"/>
    <w:rsid w:val="004824C7"/>
    <w:rsid w:val="00483C09"/>
    <w:rsid w:val="004852B1"/>
    <w:rsid w:val="004854C5"/>
    <w:rsid w:val="00485D9D"/>
    <w:rsid w:val="00486202"/>
    <w:rsid w:val="00490595"/>
    <w:rsid w:val="00497CD5"/>
    <w:rsid w:val="004A0C4F"/>
    <w:rsid w:val="004A21D3"/>
    <w:rsid w:val="004A3B44"/>
    <w:rsid w:val="004A4B85"/>
    <w:rsid w:val="004A53CD"/>
    <w:rsid w:val="004A68C6"/>
    <w:rsid w:val="004A7C91"/>
    <w:rsid w:val="004B3096"/>
    <w:rsid w:val="004B3A24"/>
    <w:rsid w:val="004C4594"/>
    <w:rsid w:val="004D08FA"/>
    <w:rsid w:val="004D12CD"/>
    <w:rsid w:val="004D1B91"/>
    <w:rsid w:val="004D5DA2"/>
    <w:rsid w:val="004D69F9"/>
    <w:rsid w:val="004D7709"/>
    <w:rsid w:val="004E0A52"/>
    <w:rsid w:val="004E1C45"/>
    <w:rsid w:val="004E32E6"/>
    <w:rsid w:val="004F1592"/>
    <w:rsid w:val="004F18B4"/>
    <w:rsid w:val="004F4D44"/>
    <w:rsid w:val="005005EB"/>
    <w:rsid w:val="00505ACB"/>
    <w:rsid w:val="0050600F"/>
    <w:rsid w:val="00510673"/>
    <w:rsid w:val="00512F7C"/>
    <w:rsid w:val="00514A2C"/>
    <w:rsid w:val="0051712B"/>
    <w:rsid w:val="005213B9"/>
    <w:rsid w:val="00524FF7"/>
    <w:rsid w:val="0052599C"/>
    <w:rsid w:val="00532323"/>
    <w:rsid w:val="00537055"/>
    <w:rsid w:val="005375E3"/>
    <w:rsid w:val="00541530"/>
    <w:rsid w:val="00547EEA"/>
    <w:rsid w:val="005546E6"/>
    <w:rsid w:val="00555BF1"/>
    <w:rsid w:val="005630E8"/>
    <w:rsid w:val="00563C48"/>
    <w:rsid w:val="00564042"/>
    <w:rsid w:val="00565C10"/>
    <w:rsid w:val="00572955"/>
    <w:rsid w:val="005731C1"/>
    <w:rsid w:val="00574F1C"/>
    <w:rsid w:val="00582E73"/>
    <w:rsid w:val="005855CA"/>
    <w:rsid w:val="005858C6"/>
    <w:rsid w:val="00585E51"/>
    <w:rsid w:val="005860D0"/>
    <w:rsid w:val="00586A53"/>
    <w:rsid w:val="00590240"/>
    <w:rsid w:val="005A1034"/>
    <w:rsid w:val="005A1E7D"/>
    <w:rsid w:val="005A2989"/>
    <w:rsid w:val="005A31D0"/>
    <w:rsid w:val="005B49D1"/>
    <w:rsid w:val="005B4A14"/>
    <w:rsid w:val="005B79F4"/>
    <w:rsid w:val="005C28BD"/>
    <w:rsid w:val="005C302D"/>
    <w:rsid w:val="005C539B"/>
    <w:rsid w:val="005C7DE2"/>
    <w:rsid w:val="005D18EE"/>
    <w:rsid w:val="005D2D4B"/>
    <w:rsid w:val="005D385B"/>
    <w:rsid w:val="005D6333"/>
    <w:rsid w:val="005E0416"/>
    <w:rsid w:val="005E1F7F"/>
    <w:rsid w:val="005E7683"/>
    <w:rsid w:val="005E7F69"/>
    <w:rsid w:val="00605124"/>
    <w:rsid w:val="00605E3E"/>
    <w:rsid w:val="00610255"/>
    <w:rsid w:val="0061352D"/>
    <w:rsid w:val="00613791"/>
    <w:rsid w:val="00613A23"/>
    <w:rsid w:val="00615710"/>
    <w:rsid w:val="00616140"/>
    <w:rsid w:val="00617853"/>
    <w:rsid w:val="00626952"/>
    <w:rsid w:val="00630462"/>
    <w:rsid w:val="00635068"/>
    <w:rsid w:val="0063689F"/>
    <w:rsid w:val="00636BDC"/>
    <w:rsid w:val="00636DF3"/>
    <w:rsid w:val="0063755E"/>
    <w:rsid w:val="00644039"/>
    <w:rsid w:val="00651FAF"/>
    <w:rsid w:val="0066364C"/>
    <w:rsid w:val="00666C5A"/>
    <w:rsid w:val="006734ED"/>
    <w:rsid w:val="006750FD"/>
    <w:rsid w:val="00676235"/>
    <w:rsid w:val="00686E80"/>
    <w:rsid w:val="00691C3F"/>
    <w:rsid w:val="006A28F1"/>
    <w:rsid w:val="006A4473"/>
    <w:rsid w:val="006A5962"/>
    <w:rsid w:val="006A5AB5"/>
    <w:rsid w:val="006B3714"/>
    <w:rsid w:val="006C055B"/>
    <w:rsid w:val="006C1DD2"/>
    <w:rsid w:val="006D3180"/>
    <w:rsid w:val="006D545A"/>
    <w:rsid w:val="006D7D79"/>
    <w:rsid w:val="006E0215"/>
    <w:rsid w:val="006E3103"/>
    <w:rsid w:val="006E756D"/>
    <w:rsid w:val="00700030"/>
    <w:rsid w:val="007015DD"/>
    <w:rsid w:val="00707589"/>
    <w:rsid w:val="0071493C"/>
    <w:rsid w:val="00717C21"/>
    <w:rsid w:val="00720BEA"/>
    <w:rsid w:val="00721487"/>
    <w:rsid w:val="007217DB"/>
    <w:rsid w:val="00724A6B"/>
    <w:rsid w:val="00726322"/>
    <w:rsid w:val="00741928"/>
    <w:rsid w:val="00753D28"/>
    <w:rsid w:val="00754D53"/>
    <w:rsid w:val="00757FBF"/>
    <w:rsid w:val="0076094D"/>
    <w:rsid w:val="00764705"/>
    <w:rsid w:val="007679C2"/>
    <w:rsid w:val="00770E6C"/>
    <w:rsid w:val="0077580D"/>
    <w:rsid w:val="00782DE3"/>
    <w:rsid w:val="0078601F"/>
    <w:rsid w:val="0079491E"/>
    <w:rsid w:val="007A148F"/>
    <w:rsid w:val="007A1F84"/>
    <w:rsid w:val="007A2959"/>
    <w:rsid w:val="007A305F"/>
    <w:rsid w:val="007A3708"/>
    <w:rsid w:val="007B07EA"/>
    <w:rsid w:val="007C7223"/>
    <w:rsid w:val="007D12C3"/>
    <w:rsid w:val="007E1573"/>
    <w:rsid w:val="007E3D5F"/>
    <w:rsid w:val="007E66AD"/>
    <w:rsid w:val="007E7759"/>
    <w:rsid w:val="007F3979"/>
    <w:rsid w:val="007F57CB"/>
    <w:rsid w:val="0080453B"/>
    <w:rsid w:val="0080599F"/>
    <w:rsid w:val="0081268C"/>
    <w:rsid w:val="008160F0"/>
    <w:rsid w:val="008236B2"/>
    <w:rsid w:val="00830402"/>
    <w:rsid w:val="00836CD6"/>
    <w:rsid w:val="00846201"/>
    <w:rsid w:val="00856146"/>
    <w:rsid w:val="00856F70"/>
    <w:rsid w:val="00857231"/>
    <w:rsid w:val="00862132"/>
    <w:rsid w:val="00865261"/>
    <w:rsid w:val="008675CD"/>
    <w:rsid w:val="00870155"/>
    <w:rsid w:val="00870370"/>
    <w:rsid w:val="00872410"/>
    <w:rsid w:val="00873CFC"/>
    <w:rsid w:val="008754CD"/>
    <w:rsid w:val="00877169"/>
    <w:rsid w:val="00877DDD"/>
    <w:rsid w:val="00877EE2"/>
    <w:rsid w:val="008804A2"/>
    <w:rsid w:val="008832D6"/>
    <w:rsid w:val="008837CC"/>
    <w:rsid w:val="00883D5B"/>
    <w:rsid w:val="008840B8"/>
    <w:rsid w:val="00884491"/>
    <w:rsid w:val="00885CC4"/>
    <w:rsid w:val="00890F78"/>
    <w:rsid w:val="0089167D"/>
    <w:rsid w:val="00895684"/>
    <w:rsid w:val="00897078"/>
    <w:rsid w:val="008A2AE6"/>
    <w:rsid w:val="008A38E5"/>
    <w:rsid w:val="008A4CEF"/>
    <w:rsid w:val="008A54BA"/>
    <w:rsid w:val="008A63FD"/>
    <w:rsid w:val="008B295F"/>
    <w:rsid w:val="008B3F9B"/>
    <w:rsid w:val="008C078E"/>
    <w:rsid w:val="008C1ABD"/>
    <w:rsid w:val="008C3C44"/>
    <w:rsid w:val="008C4999"/>
    <w:rsid w:val="008C5B42"/>
    <w:rsid w:val="008C7B35"/>
    <w:rsid w:val="008D3A76"/>
    <w:rsid w:val="008E2F7A"/>
    <w:rsid w:val="008E4401"/>
    <w:rsid w:val="008E6E4D"/>
    <w:rsid w:val="008E732D"/>
    <w:rsid w:val="008F076C"/>
    <w:rsid w:val="008F166D"/>
    <w:rsid w:val="008F7556"/>
    <w:rsid w:val="00903BAB"/>
    <w:rsid w:val="0090455C"/>
    <w:rsid w:val="009113EA"/>
    <w:rsid w:val="00912960"/>
    <w:rsid w:val="00916508"/>
    <w:rsid w:val="00922159"/>
    <w:rsid w:val="00925AEC"/>
    <w:rsid w:val="009265BC"/>
    <w:rsid w:val="00933041"/>
    <w:rsid w:val="00933DA8"/>
    <w:rsid w:val="00936F2F"/>
    <w:rsid w:val="00943370"/>
    <w:rsid w:val="00943E3C"/>
    <w:rsid w:val="009463B8"/>
    <w:rsid w:val="009528BD"/>
    <w:rsid w:val="009560EA"/>
    <w:rsid w:val="00956844"/>
    <w:rsid w:val="009605A2"/>
    <w:rsid w:val="00960AFD"/>
    <w:rsid w:val="009643E0"/>
    <w:rsid w:val="00964E94"/>
    <w:rsid w:val="00967D4A"/>
    <w:rsid w:val="009710D5"/>
    <w:rsid w:val="00971808"/>
    <w:rsid w:val="0097421F"/>
    <w:rsid w:val="00980085"/>
    <w:rsid w:val="009833E3"/>
    <w:rsid w:val="009855F3"/>
    <w:rsid w:val="0099010C"/>
    <w:rsid w:val="00995C2A"/>
    <w:rsid w:val="009A07DD"/>
    <w:rsid w:val="009A3A3C"/>
    <w:rsid w:val="009B04FB"/>
    <w:rsid w:val="009B1D3D"/>
    <w:rsid w:val="009B1FAE"/>
    <w:rsid w:val="009B6D97"/>
    <w:rsid w:val="009C1C7B"/>
    <w:rsid w:val="009C746F"/>
    <w:rsid w:val="009D075B"/>
    <w:rsid w:val="009D1C2B"/>
    <w:rsid w:val="009D2A00"/>
    <w:rsid w:val="009D30AF"/>
    <w:rsid w:val="009D5637"/>
    <w:rsid w:val="009D6E46"/>
    <w:rsid w:val="009E58CC"/>
    <w:rsid w:val="009E71E9"/>
    <w:rsid w:val="009F0080"/>
    <w:rsid w:val="009F15B3"/>
    <w:rsid w:val="009F2514"/>
    <w:rsid w:val="009F6067"/>
    <w:rsid w:val="00A06217"/>
    <w:rsid w:val="00A11B8F"/>
    <w:rsid w:val="00A11C2E"/>
    <w:rsid w:val="00A14DEE"/>
    <w:rsid w:val="00A301C4"/>
    <w:rsid w:val="00A35B17"/>
    <w:rsid w:val="00A36EDA"/>
    <w:rsid w:val="00A41690"/>
    <w:rsid w:val="00A42F3C"/>
    <w:rsid w:val="00A433AA"/>
    <w:rsid w:val="00A43F9A"/>
    <w:rsid w:val="00A4612C"/>
    <w:rsid w:val="00A5219E"/>
    <w:rsid w:val="00A60A9D"/>
    <w:rsid w:val="00A60FCC"/>
    <w:rsid w:val="00A62F18"/>
    <w:rsid w:val="00A66318"/>
    <w:rsid w:val="00A67615"/>
    <w:rsid w:val="00A6771C"/>
    <w:rsid w:val="00A719BB"/>
    <w:rsid w:val="00A81644"/>
    <w:rsid w:val="00A8332B"/>
    <w:rsid w:val="00A8434F"/>
    <w:rsid w:val="00A86724"/>
    <w:rsid w:val="00A931A5"/>
    <w:rsid w:val="00A935D0"/>
    <w:rsid w:val="00A93C27"/>
    <w:rsid w:val="00A95688"/>
    <w:rsid w:val="00A97E88"/>
    <w:rsid w:val="00AA381D"/>
    <w:rsid w:val="00AB4537"/>
    <w:rsid w:val="00AB5CD8"/>
    <w:rsid w:val="00AC021D"/>
    <w:rsid w:val="00AC08B2"/>
    <w:rsid w:val="00AC5075"/>
    <w:rsid w:val="00AD04C1"/>
    <w:rsid w:val="00AD1E7A"/>
    <w:rsid w:val="00AD5841"/>
    <w:rsid w:val="00AD77F8"/>
    <w:rsid w:val="00AE121C"/>
    <w:rsid w:val="00AE3737"/>
    <w:rsid w:val="00AE584D"/>
    <w:rsid w:val="00AE6AA9"/>
    <w:rsid w:val="00AF0C28"/>
    <w:rsid w:val="00AF245B"/>
    <w:rsid w:val="00AF35FF"/>
    <w:rsid w:val="00AF4473"/>
    <w:rsid w:val="00AF7D26"/>
    <w:rsid w:val="00AF7DEC"/>
    <w:rsid w:val="00B01BEA"/>
    <w:rsid w:val="00B01E25"/>
    <w:rsid w:val="00B02DFB"/>
    <w:rsid w:val="00B10784"/>
    <w:rsid w:val="00B1188D"/>
    <w:rsid w:val="00B14A08"/>
    <w:rsid w:val="00B21D3D"/>
    <w:rsid w:val="00B234BA"/>
    <w:rsid w:val="00B27980"/>
    <w:rsid w:val="00B30EC1"/>
    <w:rsid w:val="00B34F89"/>
    <w:rsid w:val="00B41223"/>
    <w:rsid w:val="00B464AD"/>
    <w:rsid w:val="00B4666F"/>
    <w:rsid w:val="00B46A34"/>
    <w:rsid w:val="00B500C7"/>
    <w:rsid w:val="00B5079A"/>
    <w:rsid w:val="00B52566"/>
    <w:rsid w:val="00B52DA8"/>
    <w:rsid w:val="00B608E0"/>
    <w:rsid w:val="00B62C64"/>
    <w:rsid w:val="00B645BF"/>
    <w:rsid w:val="00B65020"/>
    <w:rsid w:val="00B666F1"/>
    <w:rsid w:val="00B71C2F"/>
    <w:rsid w:val="00B72BBC"/>
    <w:rsid w:val="00B7493D"/>
    <w:rsid w:val="00B76546"/>
    <w:rsid w:val="00B7666C"/>
    <w:rsid w:val="00B77128"/>
    <w:rsid w:val="00B85619"/>
    <w:rsid w:val="00B86DC4"/>
    <w:rsid w:val="00B871AB"/>
    <w:rsid w:val="00B9097A"/>
    <w:rsid w:val="00B92DE8"/>
    <w:rsid w:val="00B9380D"/>
    <w:rsid w:val="00B96877"/>
    <w:rsid w:val="00BA0A18"/>
    <w:rsid w:val="00BA299E"/>
    <w:rsid w:val="00BA2B1B"/>
    <w:rsid w:val="00BA456E"/>
    <w:rsid w:val="00BA5EE2"/>
    <w:rsid w:val="00BA7E94"/>
    <w:rsid w:val="00BC02FD"/>
    <w:rsid w:val="00BC1DDC"/>
    <w:rsid w:val="00BC4435"/>
    <w:rsid w:val="00BC460C"/>
    <w:rsid w:val="00BC4946"/>
    <w:rsid w:val="00BC58DE"/>
    <w:rsid w:val="00BD2994"/>
    <w:rsid w:val="00BD3B30"/>
    <w:rsid w:val="00BD4320"/>
    <w:rsid w:val="00BD4EA3"/>
    <w:rsid w:val="00BE159C"/>
    <w:rsid w:val="00BE4476"/>
    <w:rsid w:val="00BE4AF8"/>
    <w:rsid w:val="00BE54A1"/>
    <w:rsid w:val="00BE5C19"/>
    <w:rsid w:val="00BF0515"/>
    <w:rsid w:val="00BF2DD8"/>
    <w:rsid w:val="00BF395E"/>
    <w:rsid w:val="00BF4BC2"/>
    <w:rsid w:val="00BF71AF"/>
    <w:rsid w:val="00C00811"/>
    <w:rsid w:val="00C00BEE"/>
    <w:rsid w:val="00C01115"/>
    <w:rsid w:val="00C0284C"/>
    <w:rsid w:val="00C04B09"/>
    <w:rsid w:val="00C05784"/>
    <w:rsid w:val="00C06EFC"/>
    <w:rsid w:val="00C10105"/>
    <w:rsid w:val="00C11598"/>
    <w:rsid w:val="00C117B4"/>
    <w:rsid w:val="00C1227E"/>
    <w:rsid w:val="00C12F43"/>
    <w:rsid w:val="00C1333A"/>
    <w:rsid w:val="00C13ABC"/>
    <w:rsid w:val="00C13CB1"/>
    <w:rsid w:val="00C14395"/>
    <w:rsid w:val="00C14B9F"/>
    <w:rsid w:val="00C16B85"/>
    <w:rsid w:val="00C23EB7"/>
    <w:rsid w:val="00C2434F"/>
    <w:rsid w:val="00C3363F"/>
    <w:rsid w:val="00C3629B"/>
    <w:rsid w:val="00C37E9B"/>
    <w:rsid w:val="00C400DD"/>
    <w:rsid w:val="00C44C66"/>
    <w:rsid w:val="00C4573D"/>
    <w:rsid w:val="00C458C6"/>
    <w:rsid w:val="00C508D9"/>
    <w:rsid w:val="00C50D32"/>
    <w:rsid w:val="00C5268D"/>
    <w:rsid w:val="00C526EB"/>
    <w:rsid w:val="00C52747"/>
    <w:rsid w:val="00C554A9"/>
    <w:rsid w:val="00C64E8B"/>
    <w:rsid w:val="00C67FD0"/>
    <w:rsid w:val="00C7267D"/>
    <w:rsid w:val="00C72F9E"/>
    <w:rsid w:val="00C744F0"/>
    <w:rsid w:val="00C77C22"/>
    <w:rsid w:val="00C77F37"/>
    <w:rsid w:val="00C85445"/>
    <w:rsid w:val="00C92961"/>
    <w:rsid w:val="00C94A3F"/>
    <w:rsid w:val="00CA0A82"/>
    <w:rsid w:val="00CA25C7"/>
    <w:rsid w:val="00CA2ACE"/>
    <w:rsid w:val="00CA3970"/>
    <w:rsid w:val="00CA71A0"/>
    <w:rsid w:val="00CB14D9"/>
    <w:rsid w:val="00CB349E"/>
    <w:rsid w:val="00CB3F0A"/>
    <w:rsid w:val="00CB5315"/>
    <w:rsid w:val="00CB74E0"/>
    <w:rsid w:val="00CC0341"/>
    <w:rsid w:val="00CC267E"/>
    <w:rsid w:val="00CC3B1B"/>
    <w:rsid w:val="00CC3DDE"/>
    <w:rsid w:val="00CC5033"/>
    <w:rsid w:val="00CC6414"/>
    <w:rsid w:val="00CC6BB4"/>
    <w:rsid w:val="00CD0FC4"/>
    <w:rsid w:val="00CD52CA"/>
    <w:rsid w:val="00CD76A3"/>
    <w:rsid w:val="00CE3A18"/>
    <w:rsid w:val="00CE4C18"/>
    <w:rsid w:val="00CF50B7"/>
    <w:rsid w:val="00D02626"/>
    <w:rsid w:val="00D037AF"/>
    <w:rsid w:val="00D05A0F"/>
    <w:rsid w:val="00D10F36"/>
    <w:rsid w:val="00D11488"/>
    <w:rsid w:val="00D122D5"/>
    <w:rsid w:val="00D155B8"/>
    <w:rsid w:val="00D1601F"/>
    <w:rsid w:val="00D22A14"/>
    <w:rsid w:val="00D23AF4"/>
    <w:rsid w:val="00D25B0F"/>
    <w:rsid w:val="00D26AD9"/>
    <w:rsid w:val="00D329CC"/>
    <w:rsid w:val="00D34CD8"/>
    <w:rsid w:val="00D44989"/>
    <w:rsid w:val="00D45CA6"/>
    <w:rsid w:val="00D52F85"/>
    <w:rsid w:val="00D551A7"/>
    <w:rsid w:val="00D552E1"/>
    <w:rsid w:val="00D60302"/>
    <w:rsid w:val="00D60370"/>
    <w:rsid w:val="00D650A3"/>
    <w:rsid w:val="00D8155C"/>
    <w:rsid w:val="00D83FB4"/>
    <w:rsid w:val="00D865AD"/>
    <w:rsid w:val="00D90FD5"/>
    <w:rsid w:val="00D91537"/>
    <w:rsid w:val="00DA4C15"/>
    <w:rsid w:val="00DB1986"/>
    <w:rsid w:val="00DB3F87"/>
    <w:rsid w:val="00DB49B6"/>
    <w:rsid w:val="00DB5BB9"/>
    <w:rsid w:val="00DC0BDD"/>
    <w:rsid w:val="00DC52C9"/>
    <w:rsid w:val="00DC53A2"/>
    <w:rsid w:val="00DC58EF"/>
    <w:rsid w:val="00DD0A1B"/>
    <w:rsid w:val="00DD44B4"/>
    <w:rsid w:val="00DD5099"/>
    <w:rsid w:val="00DD5821"/>
    <w:rsid w:val="00DE1ED4"/>
    <w:rsid w:val="00DE53CA"/>
    <w:rsid w:val="00DE583F"/>
    <w:rsid w:val="00DF4060"/>
    <w:rsid w:val="00DF5A6D"/>
    <w:rsid w:val="00DF7B46"/>
    <w:rsid w:val="00E02424"/>
    <w:rsid w:val="00E05F94"/>
    <w:rsid w:val="00E12237"/>
    <w:rsid w:val="00E14845"/>
    <w:rsid w:val="00E16C5A"/>
    <w:rsid w:val="00E23445"/>
    <w:rsid w:val="00E2764E"/>
    <w:rsid w:val="00E30D70"/>
    <w:rsid w:val="00E34325"/>
    <w:rsid w:val="00E3631E"/>
    <w:rsid w:val="00E36AB4"/>
    <w:rsid w:val="00E4005D"/>
    <w:rsid w:val="00E4755E"/>
    <w:rsid w:val="00E47AD5"/>
    <w:rsid w:val="00E50193"/>
    <w:rsid w:val="00E624C0"/>
    <w:rsid w:val="00E6625B"/>
    <w:rsid w:val="00E67E40"/>
    <w:rsid w:val="00E77580"/>
    <w:rsid w:val="00E85F3B"/>
    <w:rsid w:val="00E85FF6"/>
    <w:rsid w:val="00E92BC6"/>
    <w:rsid w:val="00E95542"/>
    <w:rsid w:val="00E97684"/>
    <w:rsid w:val="00EA1989"/>
    <w:rsid w:val="00EB0C05"/>
    <w:rsid w:val="00EB0C6A"/>
    <w:rsid w:val="00EB2A7C"/>
    <w:rsid w:val="00EB584D"/>
    <w:rsid w:val="00EB70D5"/>
    <w:rsid w:val="00EC0368"/>
    <w:rsid w:val="00EC050F"/>
    <w:rsid w:val="00EC0809"/>
    <w:rsid w:val="00EC1ED5"/>
    <w:rsid w:val="00EC469D"/>
    <w:rsid w:val="00ED3FC9"/>
    <w:rsid w:val="00ED4569"/>
    <w:rsid w:val="00ED4616"/>
    <w:rsid w:val="00ED48CC"/>
    <w:rsid w:val="00ED4C4C"/>
    <w:rsid w:val="00ED534A"/>
    <w:rsid w:val="00ED63DF"/>
    <w:rsid w:val="00EE09DD"/>
    <w:rsid w:val="00EE35F1"/>
    <w:rsid w:val="00EE3A98"/>
    <w:rsid w:val="00EE5B36"/>
    <w:rsid w:val="00EE6037"/>
    <w:rsid w:val="00EF1240"/>
    <w:rsid w:val="00EF1CD4"/>
    <w:rsid w:val="00F07E14"/>
    <w:rsid w:val="00F1029B"/>
    <w:rsid w:val="00F102AC"/>
    <w:rsid w:val="00F1148E"/>
    <w:rsid w:val="00F118D8"/>
    <w:rsid w:val="00F13A78"/>
    <w:rsid w:val="00F13EF1"/>
    <w:rsid w:val="00F14504"/>
    <w:rsid w:val="00F16005"/>
    <w:rsid w:val="00F16681"/>
    <w:rsid w:val="00F17FA5"/>
    <w:rsid w:val="00F2042A"/>
    <w:rsid w:val="00F21FCA"/>
    <w:rsid w:val="00F252B8"/>
    <w:rsid w:val="00F270E7"/>
    <w:rsid w:val="00F27E56"/>
    <w:rsid w:val="00F31A28"/>
    <w:rsid w:val="00F35A57"/>
    <w:rsid w:val="00F36390"/>
    <w:rsid w:val="00F37A45"/>
    <w:rsid w:val="00F37EF0"/>
    <w:rsid w:val="00F4105A"/>
    <w:rsid w:val="00F41E00"/>
    <w:rsid w:val="00F546DA"/>
    <w:rsid w:val="00F560E2"/>
    <w:rsid w:val="00F62CFA"/>
    <w:rsid w:val="00F65653"/>
    <w:rsid w:val="00F6648B"/>
    <w:rsid w:val="00F67487"/>
    <w:rsid w:val="00F70A46"/>
    <w:rsid w:val="00F77F97"/>
    <w:rsid w:val="00F814D0"/>
    <w:rsid w:val="00F857B1"/>
    <w:rsid w:val="00F87C43"/>
    <w:rsid w:val="00F92087"/>
    <w:rsid w:val="00F935D0"/>
    <w:rsid w:val="00F93E5B"/>
    <w:rsid w:val="00F93EC6"/>
    <w:rsid w:val="00F94B1B"/>
    <w:rsid w:val="00F97349"/>
    <w:rsid w:val="00FA1C46"/>
    <w:rsid w:val="00FA2149"/>
    <w:rsid w:val="00FA4234"/>
    <w:rsid w:val="00FB1D9A"/>
    <w:rsid w:val="00FB6D19"/>
    <w:rsid w:val="00FB7EB2"/>
    <w:rsid w:val="00FC3CEC"/>
    <w:rsid w:val="00FC4847"/>
    <w:rsid w:val="00FD11B0"/>
    <w:rsid w:val="00FD184A"/>
    <w:rsid w:val="00FD3CAC"/>
    <w:rsid w:val="00FD516C"/>
    <w:rsid w:val="00FD549D"/>
    <w:rsid w:val="00FE1EC7"/>
    <w:rsid w:val="00FE659F"/>
    <w:rsid w:val="00FF6B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03A16"/>
  <w15:docId w15:val="{7BF035CA-8233-46B7-AD43-496F71ED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85B"/>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semiHidden/>
    <w:unhideWhenUsed/>
    <w:qFormat/>
    <w:pPr>
      <w:keepNext/>
      <w:spacing w:line="360" w:lineRule="auto"/>
      <w:jc w:val="both"/>
      <w:outlineLvl w:val="1"/>
    </w:pPr>
    <w:rPr>
      <w:u w:val="single"/>
    </w:rPr>
  </w:style>
  <w:style w:type="paragraph" w:styleId="Heading3">
    <w:name w:val="heading 3"/>
    <w:basedOn w:val="Normal"/>
    <w:next w:val="Normal"/>
    <w:uiPriority w:val="9"/>
    <w:semiHidden/>
    <w:unhideWhenUsed/>
    <w:qFormat/>
    <w:pPr>
      <w:keepNext/>
      <w:spacing w:line="360" w:lineRule="auto"/>
      <w:jc w:val="both"/>
      <w:outlineLvl w:val="2"/>
    </w:pPr>
    <w:rPr>
      <w:color w:val="0000FF"/>
      <w:u w:val="single"/>
    </w:rPr>
  </w:style>
  <w:style w:type="paragraph" w:styleId="Heading4">
    <w:name w:val="heading 4"/>
    <w:basedOn w:val="Normal"/>
    <w:next w:val="Normal"/>
    <w:uiPriority w:val="9"/>
    <w:semiHidden/>
    <w:unhideWhenUsed/>
    <w:qFormat/>
    <w:pPr>
      <w:keepNext/>
      <w:spacing w:line="360" w:lineRule="auto"/>
      <w:jc w:val="both"/>
      <w:outlineLvl w:val="3"/>
    </w:pPr>
    <w:rPr>
      <w:b/>
    </w:rPr>
  </w:style>
  <w:style w:type="paragraph" w:styleId="Heading5">
    <w:name w:val="heading 5"/>
    <w:basedOn w:val="Normal"/>
    <w:next w:val="Normal"/>
    <w:uiPriority w:val="9"/>
    <w:semiHidden/>
    <w:unhideWhenUsed/>
    <w:qFormat/>
    <w:pPr>
      <w:keepNext/>
      <w:outlineLvl w:val="4"/>
    </w:pPr>
    <w:rPr>
      <w:b/>
      <w:sz w:val="32"/>
      <w:szCs w:val="32"/>
    </w:rPr>
  </w:style>
  <w:style w:type="paragraph" w:styleId="Heading6">
    <w:name w:val="heading 6"/>
    <w:basedOn w:val="Normal"/>
    <w:next w:val="Normal"/>
    <w:uiPriority w:val="9"/>
    <w:semiHidden/>
    <w:unhideWhenUsed/>
    <w:qFormat/>
    <w:pPr>
      <w:keepNext/>
      <w:jc w:val="both"/>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spacing w:before="240" w:after="120"/>
      <w:jc w:val="center"/>
    </w:pPr>
    <w:rPr>
      <w:rFonts w:ascii="Luxi Sans" w:eastAsia="Luxi Sans" w:hAnsi="Luxi Sans" w:cs="Luxi Sans"/>
      <w:i/>
      <w:sz w:val="28"/>
      <w:szCs w:val="28"/>
    </w:rPr>
  </w:style>
  <w:style w:type="character" w:styleId="Hyperlink">
    <w:name w:val="Hyperlink"/>
    <w:basedOn w:val="DefaultParagraphFont"/>
    <w:uiPriority w:val="99"/>
    <w:unhideWhenUsed/>
    <w:rsid w:val="00763007"/>
    <w:rPr>
      <w:color w:val="0000FF" w:themeColor="hyperlink"/>
      <w:u w:val="single"/>
    </w:rPr>
  </w:style>
  <w:style w:type="paragraph" w:styleId="ListParagraph">
    <w:name w:val="List Paragraph"/>
    <w:basedOn w:val="Normal"/>
    <w:uiPriority w:val="34"/>
    <w:qFormat/>
    <w:rsid w:val="00590172"/>
    <w:pPr>
      <w:ind w:left="720"/>
      <w:contextualSpacing/>
    </w:pPr>
  </w:style>
  <w:style w:type="character" w:styleId="LineNumber">
    <w:name w:val="line number"/>
    <w:basedOn w:val="DefaultParagraphFont"/>
    <w:uiPriority w:val="99"/>
    <w:semiHidden/>
    <w:unhideWhenUsed/>
    <w:rsid w:val="00111D9E"/>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45E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EB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45EB5"/>
    <w:rPr>
      <w:b/>
      <w:bCs/>
    </w:rPr>
  </w:style>
  <w:style w:type="character" w:customStyle="1" w:styleId="CommentSubjectChar">
    <w:name w:val="Comment Subject Char"/>
    <w:basedOn w:val="CommentTextChar"/>
    <w:link w:val="CommentSubject"/>
    <w:uiPriority w:val="99"/>
    <w:semiHidden/>
    <w:rsid w:val="00D45EB5"/>
    <w:rPr>
      <w:b/>
      <w:bCs/>
      <w:sz w:val="20"/>
      <w:szCs w:val="20"/>
    </w:rPr>
  </w:style>
  <w:style w:type="character" w:styleId="PlaceholderText">
    <w:name w:val="Placeholder Text"/>
    <w:basedOn w:val="DefaultParagraphFont"/>
    <w:uiPriority w:val="99"/>
    <w:semiHidden/>
    <w:rsid w:val="00B53B48"/>
    <w:rPr>
      <w:color w:val="808080"/>
    </w:rPr>
  </w:style>
  <w:style w:type="character" w:styleId="UnresolvedMention">
    <w:name w:val="Unresolved Mention"/>
    <w:basedOn w:val="DefaultParagraphFont"/>
    <w:uiPriority w:val="99"/>
    <w:semiHidden/>
    <w:unhideWhenUsed/>
    <w:rsid w:val="00856F70"/>
    <w:rPr>
      <w:color w:val="605E5C"/>
      <w:shd w:val="clear" w:color="auto" w:fill="E1DFDD"/>
    </w:rPr>
  </w:style>
  <w:style w:type="character" w:customStyle="1" w:styleId="person-group">
    <w:name w:val="person-group"/>
    <w:basedOn w:val="DefaultParagraphFont"/>
    <w:rsid w:val="004A0C4F"/>
  </w:style>
  <w:style w:type="character" w:customStyle="1" w:styleId="text-node">
    <w:name w:val="text-node"/>
    <w:basedOn w:val="DefaultParagraphFont"/>
    <w:rsid w:val="004A0C4F"/>
  </w:style>
  <w:style w:type="character" w:styleId="Strong">
    <w:name w:val="Strong"/>
    <w:basedOn w:val="DefaultParagraphFont"/>
    <w:uiPriority w:val="22"/>
    <w:qFormat/>
    <w:rsid w:val="004A0C4F"/>
    <w:rPr>
      <w:b/>
      <w:bCs/>
    </w:rPr>
  </w:style>
  <w:style w:type="paragraph" w:styleId="NormalWeb">
    <w:name w:val="Normal (Web)"/>
    <w:basedOn w:val="Normal"/>
    <w:uiPriority w:val="99"/>
    <w:semiHidden/>
    <w:unhideWhenUsed/>
    <w:rsid w:val="00960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6769">
      <w:bodyDiv w:val="1"/>
      <w:marLeft w:val="0"/>
      <w:marRight w:val="0"/>
      <w:marTop w:val="0"/>
      <w:marBottom w:val="0"/>
      <w:divBdr>
        <w:top w:val="none" w:sz="0" w:space="0" w:color="auto"/>
        <w:left w:val="none" w:sz="0" w:space="0" w:color="auto"/>
        <w:bottom w:val="none" w:sz="0" w:space="0" w:color="auto"/>
        <w:right w:val="none" w:sz="0" w:space="0" w:color="auto"/>
      </w:divBdr>
    </w:div>
    <w:div w:id="373044899">
      <w:bodyDiv w:val="1"/>
      <w:marLeft w:val="0"/>
      <w:marRight w:val="0"/>
      <w:marTop w:val="0"/>
      <w:marBottom w:val="0"/>
      <w:divBdr>
        <w:top w:val="none" w:sz="0" w:space="0" w:color="auto"/>
        <w:left w:val="none" w:sz="0" w:space="0" w:color="auto"/>
        <w:bottom w:val="none" w:sz="0" w:space="0" w:color="auto"/>
        <w:right w:val="none" w:sz="0" w:space="0" w:color="auto"/>
      </w:divBdr>
    </w:div>
    <w:div w:id="403143860">
      <w:bodyDiv w:val="1"/>
      <w:marLeft w:val="0"/>
      <w:marRight w:val="0"/>
      <w:marTop w:val="0"/>
      <w:marBottom w:val="0"/>
      <w:divBdr>
        <w:top w:val="none" w:sz="0" w:space="0" w:color="auto"/>
        <w:left w:val="none" w:sz="0" w:space="0" w:color="auto"/>
        <w:bottom w:val="none" w:sz="0" w:space="0" w:color="auto"/>
        <w:right w:val="none" w:sz="0" w:space="0" w:color="auto"/>
      </w:divBdr>
    </w:div>
    <w:div w:id="503404124">
      <w:bodyDiv w:val="1"/>
      <w:marLeft w:val="0"/>
      <w:marRight w:val="0"/>
      <w:marTop w:val="0"/>
      <w:marBottom w:val="0"/>
      <w:divBdr>
        <w:top w:val="none" w:sz="0" w:space="0" w:color="auto"/>
        <w:left w:val="none" w:sz="0" w:space="0" w:color="auto"/>
        <w:bottom w:val="none" w:sz="0" w:space="0" w:color="auto"/>
        <w:right w:val="none" w:sz="0" w:space="0" w:color="auto"/>
      </w:divBdr>
    </w:div>
    <w:div w:id="538706773">
      <w:bodyDiv w:val="1"/>
      <w:marLeft w:val="0"/>
      <w:marRight w:val="0"/>
      <w:marTop w:val="0"/>
      <w:marBottom w:val="0"/>
      <w:divBdr>
        <w:top w:val="none" w:sz="0" w:space="0" w:color="auto"/>
        <w:left w:val="none" w:sz="0" w:space="0" w:color="auto"/>
        <w:bottom w:val="none" w:sz="0" w:space="0" w:color="auto"/>
        <w:right w:val="none" w:sz="0" w:space="0" w:color="auto"/>
      </w:divBdr>
    </w:div>
    <w:div w:id="577635230">
      <w:bodyDiv w:val="1"/>
      <w:marLeft w:val="0"/>
      <w:marRight w:val="0"/>
      <w:marTop w:val="0"/>
      <w:marBottom w:val="0"/>
      <w:divBdr>
        <w:top w:val="none" w:sz="0" w:space="0" w:color="auto"/>
        <w:left w:val="none" w:sz="0" w:space="0" w:color="auto"/>
        <w:bottom w:val="none" w:sz="0" w:space="0" w:color="auto"/>
        <w:right w:val="none" w:sz="0" w:space="0" w:color="auto"/>
      </w:divBdr>
    </w:div>
    <w:div w:id="671762515">
      <w:bodyDiv w:val="1"/>
      <w:marLeft w:val="0"/>
      <w:marRight w:val="0"/>
      <w:marTop w:val="0"/>
      <w:marBottom w:val="0"/>
      <w:divBdr>
        <w:top w:val="none" w:sz="0" w:space="0" w:color="auto"/>
        <w:left w:val="none" w:sz="0" w:space="0" w:color="auto"/>
        <w:bottom w:val="none" w:sz="0" w:space="0" w:color="auto"/>
        <w:right w:val="none" w:sz="0" w:space="0" w:color="auto"/>
      </w:divBdr>
    </w:div>
    <w:div w:id="792014372">
      <w:bodyDiv w:val="1"/>
      <w:marLeft w:val="0"/>
      <w:marRight w:val="0"/>
      <w:marTop w:val="0"/>
      <w:marBottom w:val="0"/>
      <w:divBdr>
        <w:top w:val="none" w:sz="0" w:space="0" w:color="auto"/>
        <w:left w:val="none" w:sz="0" w:space="0" w:color="auto"/>
        <w:bottom w:val="none" w:sz="0" w:space="0" w:color="auto"/>
        <w:right w:val="none" w:sz="0" w:space="0" w:color="auto"/>
      </w:divBdr>
    </w:div>
    <w:div w:id="803231804">
      <w:bodyDiv w:val="1"/>
      <w:marLeft w:val="0"/>
      <w:marRight w:val="0"/>
      <w:marTop w:val="0"/>
      <w:marBottom w:val="0"/>
      <w:divBdr>
        <w:top w:val="none" w:sz="0" w:space="0" w:color="auto"/>
        <w:left w:val="none" w:sz="0" w:space="0" w:color="auto"/>
        <w:bottom w:val="none" w:sz="0" w:space="0" w:color="auto"/>
        <w:right w:val="none" w:sz="0" w:space="0" w:color="auto"/>
      </w:divBdr>
    </w:div>
    <w:div w:id="877623011">
      <w:bodyDiv w:val="1"/>
      <w:marLeft w:val="0"/>
      <w:marRight w:val="0"/>
      <w:marTop w:val="0"/>
      <w:marBottom w:val="0"/>
      <w:divBdr>
        <w:top w:val="none" w:sz="0" w:space="0" w:color="auto"/>
        <w:left w:val="none" w:sz="0" w:space="0" w:color="auto"/>
        <w:bottom w:val="none" w:sz="0" w:space="0" w:color="auto"/>
        <w:right w:val="none" w:sz="0" w:space="0" w:color="auto"/>
      </w:divBdr>
    </w:div>
    <w:div w:id="901913353">
      <w:bodyDiv w:val="1"/>
      <w:marLeft w:val="0"/>
      <w:marRight w:val="0"/>
      <w:marTop w:val="0"/>
      <w:marBottom w:val="0"/>
      <w:divBdr>
        <w:top w:val="none" w:sz="0" w:space="0" w:color="auto"/>
        <w:left w:val="none" w:sz="0" w:space="0" w:color="auto"/>
        <w:bottom w:val="none" w:sz="0" w:space="0" w:color="auto"/>
        <w:right w:val="none" w:sz="0" w:space="0" w:color="auto"/>
      </w:divBdr>
    </w:div>
    <w:div w:id="945314131">
      <w:bodyDiv w:val="1"/>
      <w:marLeft w:val="0"/>
      <w:marRight w:val="0"/>
      <w:marTop w:val="0"/>
      <w:marBottom w:val="0"/>
      <w:divBdr>
        <w:top w:val="none" w:sz="0" w:space="0" w:color="auto"/>
        <w:left w:val="none" w:sz="0" w:space="0" w:color="auto"/>
        <w:bottom w:val="none" w:sz="0" w:space="0" w:color="auto"/>
        <w:right w:val="none" w:sz="0" w:space="0" w:color="auto"/>
      </w:divBdr>
    </w:div>
    <w:div w:id="1041368624">
      <w:bodyDiv w:val="1"/>
      <w:marLeft w:val="0"/>
      <w:marRight w:val="0"/>
      <w:marTop w:val="0"/>
      <w:marBottom w:val="0"/>
      <w:divBdr>
        <w:top w:val="none" w:sz="0" w:space="0" w:color="auto"/>
        <w:left w:val="none" w:sz="0" w:space="0" w:color="auto"/>
        <w:bottom w:val="none" w:sz="0" w:space="0" w:color="auto"/>
        <w:right w:val="none" w:sz="0" w:space="0" w:color="auto"/>
      </w:divBdr>
    </w:div>
    <w:div w:id="1148398183">
      <w:bodyDiv w:val="1"/>
      <w:marLeft w:val="0"/>
      <w:marRight w:val="0"/>
      <w:marTop w:val="0"/>
      <w:marBottom w:val="0"/>
      <w:divBdr>
        <w:top w:val="none" w:sz="0" w:space="0" w:color="auto"/>
        <w:left w:val="none" w:sz="0" w:space="0" w:color="auto"/>
        <w:bottom w:val="none" w:sz="0" w:space="0" w:color="auto"/>
        <w:right w:val="none" w:sz="0" w:space="0" w:color="auto"/>
      </w:divBdr>
    </w:div>
    <w:div w:id="1337878888">
      <w:bodyDiv w:val="1"/>
      <w:marLeft w:val="0"/>
      <w:marRight w:val="0"/>
      <w:marTop w:val="0"/>
      <w:marBottom w:val="0"/>
      <w:divBdr>
        <w:top w:val="none" w:sz="0" w:space="0" w:color="auto"/>
        <w:left w:val="none" w:sz="0" w:space="0" w:color="auto"/>
        <w:bottom w:val="none" w:sz="0" w:space="0" w:color="auto"/>
        <w:right w:val="none" w:sz="0" w:space="0" w:color="auto"/>
      </w:divBdr>
    </w:div>
    <w:div w:id="1352603585">
      <w:bodyDiv w:val="1"/>
      <w:marLeft w:val="0"/>
      <w:marRight w:val="0"/>
      <w:marTop w:val="0"/>
      <w:marBottom w:val="0"/>
      <w:divBdr>
        <w:top w:val="none" w:sz="0" w:space="0" w:color="auto"/>
        <w:left w:val="none" w:sz="0" w:space="0" w:color="auto"/>
        <w:bottom w:val="none" w:sz="0" w:space="0" w:color="auto"/>
        <w:right w:val="none" w:sz="0" w:space="0" w:color="auto"/>
      </w:divBdr>
    </w:div>
    <w:div w:id="1431194025">
      <w:bodyDiv w:val="1"/>
      <w:marLeft w:val="0"/>
      <w:marRight w:val="0"/>
      <w:marTop w:val="0"/>
      <w:marBottom w:val="0"/>
      <w:divBdr>
        <w:top w:val="none" w:sz="0" w:space="0" w:color="auto"/>
        <w:left w:val="none" w:sz="0" w:space="0" w:color="auto"/>
        <w:bottom w:val="none" w:sz="0" w:space="0" w:color="auto"/>
        <w:right w:val="none" w:sz="0" w:space="0" w:color="auto"/>
      </w:divBdr>
    </w:div>
    <w:div w:id="1700231808">
      <w:bodyDiv w:val="1"/>
      <w:marLeft w:val="0"/>
      <w:marRight w:val="0"/>
      <w:marTop w:val="0"/>
      <w:marBottom w:val="0"/>
      <w:divBdr>
        <w:top w:val="none" w:sz="0" w:space="0" w:color="auto"/>
        <w:left w:val="none" w:sz="0" w:space="0" w:color="auto"/>
        <w:bottom w:val="none" w:sz="0" w:space="0" w:color="auto"/>
        <w:right w:val="none" w:sz="0" w:space="0" w:color="auto"/>
      </w:divBdr>
    </w:div>
    <w:div w:id="1712028321">
      <w:bodyDiv w:val="1"/>
      <w:marLeft w:val="0"/>
      <w:marRight w:val="0"/>
      <w:marTop w:val="0"/>
      <w:marBottom w:val="0"/>
      <w:divBdr>
        <w:top w:val="none" w:sz="0" w:space="0" w:color="auto"/>
        <w:left w:val="none" w:sz="0" w:space="0" w:color="auto"/>
        <w:bottom w:val="none" w:sz="0" w:space="0" w:color="auto"/>
        <w:right w:val="none" w:sz="0" w:space="0" w:color="auto"/>
      </w:divBdr>
    </w:div>
    <w:div w:id="1927306973">
      <w:bodyDiv w:val="1"/>
      <w:marLeft w:val="0"/>
      <w:marRight w:val="0"/>
      <w:marTop w:val="0"/>
      <w:marBottom w:val="0"/>
      <w:divBdr>
        <w:top w:val="none" w:sz="0" w:space="0" w:color="auto"/>
        <w:left w:val="none" w:sz="0" w:space="0" w:color="auto"/>
        <w:bottom w:val="none" w:sz="0" w:space="0" w:color="auto"/>
        <w:right w:val="none" w:sz="0" w:space="0" w:color="auto"/>
      </w:divBdr>
    </w:div>
    <w:div w:id="2051108013">
      <w:bodyDiv w:val="1"/>
      <w:marLeft w:val="0"/>
      <w:marRight w:val="0"/>
      <w:marTop w:val="0"/>
      <w:marBottom w:val="0"/>
      <w:divBdr>
        <w:top w:val="none" w:sz="0" w:space="0" w:color="auto"/>
        <w:left w:val="none" w:sz="0" w:space="0" w:color="auto"/>
        <w:bottom w:val="none" w:sz="0" w:space="0" w:color="auto"/>
        <w:right w:val="none" w:sz="0" w:space="0" w:color="auto"/>
      </w:divBdr>
    </w:div>
    <w:div w:id="2053848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sv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B3xAPTL3qzGj6fZauvDiuzB2A==">CgMxLjAyCGgudHlqY3d0MghoLmdqZGd4czgAciExWmFDRE5PY0NmaE4yR3NJUUpBanNPbk1yVjJTZDhWMzI=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53EA99-A906-4CC3-8F03-C95BFF10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Sang-Ki Lee</dc:creator>
  <cp:lastModifiedBy>Sang-Ki Lee</cp:lastModifiedBy>
  <cp:revision>4</cp:revision>
  <dcterms:created xsi:type="dcterms:W3CDTF">2026-06-28T12:41:00Z</dcterms:created>
  <dcterms:modified xsi:type="dcterms:W3CDTF">2026-06-28T13:18:00Z</dcterms:modified>
</cp:coreProperties>
</file>