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D0850" w14:textId="77777777" w:rsidR="009B4771" w:rsidRPr="00DF73C6" w:rsidRDefault="00000000">
      <w:pPr>
        <w:spacing w:after="240"/>
        <w:jc w:val="center"/>
        <w:rPr>
          <w:color w:val="000000" w:themeColor="text1"/>
          <w:sz w:val="24"/>
          <w:szCs w:val="24"/>
        </w:rPr>
      </w:pPr>
      <w:r w:rsidRPr="00DF73C6">
        <w:rPr>
          <w:b/>
          <w:color w:val="000000" w:themeColor="text1"/>
          <w:sz w:val="24"/>
          <w:szCs w:val="24"/>
        </w:rPr>
        <w:t>SUPPLEMENTARY INFORMATION</w:t>
      </w:r>
    </w:p>
    <w:p w14:paraId="6A24C3B2" w14:textId="77777777" w:rsidR="009B4771" w:rsidRPr="00DF73C6" w:rsidRDefault="00000000">
      <w:pPr>
        <w:spacing w:after="80"/>
        <w:jc w:val="both"/>
        <w:rPr>
          <w:sz w:val="20"/>
          <w:szCs w:val="20"/>
        </w:rPr>
      </w:pPr>
      <w:r w:rsidRPr="00DF73C6">
        <w:rPr>
          <w:sz w:val="20"/>
          <w:szCs w:val="20"/>
        </w:rPr>
        <w:t>Additional file 1. Prompt templates and representative case example used for AI queries.</w:t>
      </w:r>
    </w:p>
    <w:p w14:paraId="5092743F" w14:textId="77777777" w:rsidR="009B4771" w:rsidRPr="00DF73C6" w:rsidRDefault="00000000">
      <w:pPr>
        <w:spacing w:before="160" w:after="240"/>
        <w:rPr>
          <w:color w:val="000000" w:themeColor="text1"/>
          <w:sz w:val="24"/>
          <w:szCs w:val="24"/>
        </w:rPr>
      </w:pPr>
      <w:r w:rsidRPr="00DF73C6">
        <w:rPr>
          <w:b/>
          <w:color w:val="000000" w:themeColor="text1"/>
          <w:sz w:val="24"/>
          <w:szCs w:val="24"/>
        </w:rPr>
        <w:t>Additional file 1 — Prompt Templates and Representative Case Example</w:t>
      </w:r>
    </w:p>
    <w:p w14:paraId="1D827B17" w14:textId="77777777" w:rsidR="009B4771" w:rsidRPr="00DF73C6" w:rsidRDefault="00000000">
      <w:pPr>
        <w:spacing w:before="240"/>
        <w:rPr>
          <w:color w:val="000000" w:themeColor="text1"/>
          <w:sz w:val="24"/>
          <w:szCs w:val="24"/>
        </w:rPr>
      </w:pPr>
      <w:r w:rsidRPr="00DF73C6">
        <w:rPr>
          <w:b/>
          <w:color w:val="000000" w:themeColor="text1"/>
          <w:sz w:val="24"/>
          <w:szCs w:val="24"/>
        </w:rPr>
        <w:t>A. Baseline (no-guideline) prompt template — Panel 1: ChatGPT 4.5, Panel 2: Gemini 3</w:t>
      </w:r>
    </w:p>
    <w:p w14:paraId="31B8F1E8" w14:textId="77777777" w:rsidR="009B4771" w:rsidRDefault="00000000" w:rsidP="00DF73C6">
      <w:pPr>
        <w:ind w:left="454"/>
      </w:pPr>
      <w:r>
        <w:rPr>
          <w:i/>
        </w:rPr>
        <w:t>"Please evaluate the following clinical case and answer the questions in order. Base your responses on current osteoporosis guidelines and clinical evidence."</w:t>
      </w:r>
    </w:p>
    <w:p w14:paraId="1F250EE0" w14:textId="77777777" w:rsidR="009B4771" w:rsidRDefault="00000000" w:rsidP="00DF73C6">
      <w:pPr>
        <w:ind w:left="454"/>
      </w:pPr>
      <w:r>
        <w:rPr>
          <w:i/>
        </w:rPr>
        <w:t>[Case text inserted here] + [seven questions listed below]</w:t>
      </w:r>
    </w:p>
    <w:p w14:paraId="6BB866B0" w14:textId="77777777" w:rsidR="009B4771" w:rsidRPr="00DF73C6" w:rsidRDefault="00000000">
      <w:pPr>
        <w:spacing w:before="240"/>
        <w:rPr>
          <w:color w:val="000000" w:themeColor="text1"/>
          <w:sz w:val="24"/>
          <w:szCs w:val="24"/>
        </w:rPr>
      </w:pPr>
      <w:r w:rsidRPr="00DF73C6">
        <w:rPr>
          <w:b/>
          <w:color w:val="000000" w:themeColor="text1"/>
          <w:sz w:val="24"/>
          <w:szCs w:val="24"/>
        </w:rPr>
        <w:t>B. With-guideline prompt template — Panel 3: ChatGPT 4.5 + Guideline, Panel 4: NotebookLM + Guideline</w:t>
      </w:r>
    </w:p>
    <w:p w14:paraId="1C485A70" w14:textId="77777777" w:rsidR="009B4771" w:rsidRPr="00DF73C6" w:rsidRDefault="00000000">
      <w:pPr>
        <w:ind w:left="454"/>
        <w:jc w:val="both"/>
        <w:rPr>
          <w:iCs/>
          <w:sz w:val="20"/>
          <w:szCs w:val="20"/>
        </w:rPr>
      </w:pPr>
      <w:r w:rsidRPr="00DF73C6">
        <w:rPr>
          <w:iCs/>
          <w:sz w:val="20"/>
          <w:szCs w:val="20"/>
        </w:rPr>
        <w:t>"Using the attached Turkish Society of Endocrinology and Metabolism Osteoporosis Guidelines (2025) as a reference, evaluate the following clinical case and answer the questions in accordance with the guideline recommendations."</w:t>
      </w:r>
    </w:p>
    <w:p w14:paraId="1EC22EC4" w14:textId="77777777" w:rsidR="009B4771" w:rsidRPr="00DF73C6" w:rsidRDefault="00000000">
      <w:pPr>
        <w:spacing w:before="240"/>
        <w:rPr>
          <w:color w:val="000000" w:themeColor="text1"/>
          <w:sz w:val="24"/>
          <w:szCs w:val="24"/>
        </w:rPr>
      </w:pPr>
      <w:r w:rsidRPr="00DF73C6">
        <w:rPr>
          <w:b/>
          <w:color w:val="000000" w:themeColor="text1"/>
          <w:sz w:val="24"/>
          <w:szCs w:val="24"/>
        </w:rPr>
        <w:t>C. Representative case — Case 1 (Group 1: Postmenopausal gray-zone)</w:t>
      </w:r>
    </w:p>
    <w:p w14:paraId="1A88D1E6" w14:textId="77777777" w:rsidR="009B4771" w:rsidRPr="00DF73C6" w:rsidRDefault="00000000" w:rsidP="00DF73C6">
      <w:pPr>
        <w:jc w:val="both"/>
        <w:rPr>
          <w:sz w:val="20"/>
          <w:szCs w:val="20"/>
        </w:rPr>
      </w:pPr>
      <w:r w:rsidRPr="00DF73C6">
        <w:rPr>
          <w:sz w:val="20"/>
          <w:szCs w:val="20"/>
        </w:rPr>
        <w:t>A 66-year-old retired teacher presented to the outpatient clinic for osteoporosis evaluation. She reported menopause at age 49. Medical history: hypertension only; takes ramipril 5 mg/day. Walks approximately twice a week. Low dairy intake. She had noticed a height loss of approximately 2 cm over the past few years.</w:t>
      </w:r>
    </w:p>
    <w:p w14:paraId="0DE91CFB" w14:textId="77777777" w:rsidR="009B4771" w:rsidRPr="00DF73C6" w:rsidRDefault="00000000" w:rsidP="00DF73C6">
      <w:pPr>
        <w:jc w:val="both"/>
        <w:rPr>
          <w:sz w:val="20"/>
          <w:szCs w:val="20"/>
        </w:rPr>
      </w:pPr>
      <w:r w:rsidRPr="00DF73C6">
        <w:rPr>
          <w:sz w:val="20"/>
          <w:szCs w:val="20"/>
        </w:rPr>
        <w:t xml:space="preserve">Family history: her mother sustained a hip fracture from </w:t>
      </w:r>
      <w:proofErr w:type="gramStart"/>
      <w:r w:rsidRPr="00DF73C6">
        <w:rPr>
          <w:sz w:val="20"/>
          <w:szCs w:val="20"/>
        </w:rPr>
        <w:t>a fall</w:t>
      </w:r>
      <w:proofErr w:type="gramEnd"/>
      <w:r w:rsidRPr="00DF73C6">
        <w:rPr>
          <w:sz w:val="20"/>
          <w:szCs w:val="20"/>
        </w:rPr>
        <w:t xml:space="preserve"> at age 74. The patient was treated for a distal radius fragility fracture approximately one year ago.</w:t>
      </w:r>
    </w:p>
    <w:p w14:paraId="4309740B" w14:textId="77777777" w:rsidR="009B4771" w:rsidRPr="00DF73C6" w:rsidRDefault="00000000" w:rsidP="00DF73C6">
      <w:pPr>
        <w:jc w:val="both"/>
        <w:rPr>
          <w:sz w:val="20"/>
          <w:szCs w:val="20"/>
        </w:rPr>
      </w:pPr>
      <w:r w:rsidRPr="00DF73C6">
        <w:rPr>
          <w:sz w:val="20"/>
          <w:szCs w:val="20"/>
        </w:rPr>
        <w:t>Physical examination revealed good general condition, alert and cooperative status. BMI was within normal limits, and there was no marked kyphosis.</w:t>
      </w:r>
    </w:p>
    <w:p w14:paraId="5CB59FF0" w14:textId="77777777" w:rsidR="009B4771" w:rsidRPr="00DF73C6" w:rsidRDefault="00000000" w:rsidP="00DF73C6">
      <w:pPr>
        <w:jc w:val="both"/>
        <w:rPr>
          <w:sz w:val="20"/>
          <w:szCs w:val="20"/>
        </w:rPr>
      </w:pPr>
      <w:r w:rsidRPr="00DF73C6">
        <w:rPr>
          <w:sz w:val="20"/>
          <w:szCs w:val="20"/>
        </w:rPr>
        <w:t>Laboratory data: serum calcium 9.3 mg/dL, albumin 4.2 g/dL, phosphorus 3.5 mg/dL, ALP 96 U/L, creatinine 0.8 mg/dL, eGFR 82 mL/min, 25-OH vitamin D 18 ng/mL, PTH 72 pg/mL, and 24-h urinary calcium 180 mg/day.</w:t>
      </w:r>
    </w:p>
    <w:p w14:paraId="3EC5A124" w14:textId="77777777" w:rsidR="009B4771" w:rsidRPr="00DF73C6" w:rsidRDefault="00000000" w:rsidP="00DF73C6">
      <w:pPr>
        <w:spacing w:after="200"/>
        <w:jc w:val="both"/>
        <w:rPr>
          <w:sz w:val="20"/>
          <w:szCs w:val="20"/>
        </w:rPr>
      </w:pPr>
      <w:r w:rsidRPr="00DF73C6">
        <w:rPr>
          <w:sz w:val="20"/>
          <w:szCs w:val="20"/>
        </w:rPr>
        <w:t>DXA: L1–L4 T-score −1.8 | Femoral neck T-score −2.2 | Total hip T-score −2.0.</w:t>
      </w:r>
    </w:p>
    <w:p w14:paraId="3EC3AB95" w14:textId="77777777" w:rsidR="009B4771" w:rsidRPr="00DF73C6" w:rsidRDefault="00000000">
      <w:pPr>
        <w:spacing w:before="160" w:after="80"/>
        <w:rPr>
          <w:sz w:val="20"/>
          <w:szCs w:val="20"/>
        </w:rPr>
      </w:pPr>
      <w:r w:rsidRPr="00DF73C6">
        <w:rPr>
          <w:b/>
          <w:color w:val="1F3A5F"/>
          <w:sz w:val="20"/>
          <w:szCs w:val="20"/>
        </w:rPr>
        <w:t>Questions presented to the AI models</w:t>
      </w:r>
    </w:p>
    <w:p w14:paraId="739A543C" w14:textId="77777777" w:rsidR="009B4771" w:rsidRPr="00DF73C6" w:rsidRDefault="00000000" w:rsidP="00DF73C6">
      <w:pPr>
        <w:spacing w:after="80"/>
        <w:ind w:left="340"/>
        <w:jc w:val="both"/>
        <w:rPr>
          <w:sz w:val="20"/>
          <w:szCs w:val="20"/>
        </w:rPr>
      </w:pPr>
      <w:r w:rsidRPr="00DF73C6">
        <w:rPr>
          <w:sz w:val="20"/>
          <w:szCs w:val="20"/>
        </w:rPr>
        <w:t>1. How would you classify this patient's bone mineral density when DXA results and clinical findings are evaluated together?</w:t>
      </w:r>
    </w:p>
    <w:p w14:paraId="029E6B3A" w14:textId="77777777" w:rsidR="009B4771" w:rsidRPr="00DF73C6" w:rsidRDefault="00000000" w:rsidP="00DF73C6">
      <w:pPr>
        <w:spacing w:after="80"/>
        <w:ind w:left="340"/>
        <w:jc w:val="both"/>
        <w:rPr>
          <w:sz w:val="20"/>
          <w:szCs w:val="20"/>
        </w:rPr>
      </w:pPr>
      <w:r w:rsidRPr="00DF73C6">
        <w:rPr>
          <w:sz w:val="20"/>
          <w:szCs w:val="20"/>
        </w:rPr>
        <w:t>2. What are the most important clinical risk factors that may increase the fracture risk in this patient?</w:t>
      </w:r>
    </w:p>
    <w:p w14:paraId="12843311" w14:textId="77777777" w:rsidR="009B4771" w:rsidRPr="00DF73C6" w:rsidRDefault="00000000" w:rsidP="00DF73C6">
      <w:pPr>
        <w:spacing w:after="80"/>
        <w:ind w:left="340"/>
        <w:jc w:val="both"/>
        <w:rPr>
          <w:sz w:val="20"/>
          <w:szCs w:val="20"/>
        </w:rPr>
      </w:pPr>
      <w:r w:rsidRPr="00DF73C6">
        <w:rPr>
          <w:sz w:val="20"/>
          <w:szCs w:val="20"/>
        </w:rPr>
        <w:t>3. What conditions should be evaluated for secondary osteoporosis based on current clinical and laboratory findings?</w:t>
      </w:r>
    </w:p>
    <w:p w14:paraId="74A7BFFB" w14:textId="77777777" w:rsidR="009B4771" w:rsidRPr="00DF73C6" w:rsidRDefault="00000000" w:rsidP="00DF73C6">
      <w:pPr>
        <w:spacing w:after="80"/>
        <w:ind w:left="340"/>
        <w:jc w:val="both"/>
        <w:rPr>
          <w:sz w:val="20"/>
          <w:szCs w:val="20"/>
        </w:rPr>
      </w:pPr>
      <w:r w:rsidRPr="00DF73C6">
        <w:rPr>
          <w:sz w:val="20"/>
          <w:szCs w:val="20"/>
        </w:rPr>
        <w:t>4. Is there an indication to initiate pharmacological treatment for osteoporosis in this patient?</w:t>
      </w:r>
    </w:p>
    <w:p w14:paraId="627D08DA" w14:textId="77777777" w:rsidR="009B4771" w:rsidRPr="00DF73C6" w:rsidRDefault="00000000">
      <w:pPr>
        <w:spacing w:after="80"/>
        <w:ind w:left="340"/>
        <w:rPr>
          <w:sz w:val="20"/>
          <w:szCs w:val="20"/>
        </w:rPr>
      </w:pPr>
      <w:r w:rsidRPr="00DF73C6">
        <w:rPr>
          <w:sz w:val="20"/>
          <w:szCs w:val="20"/>
        </w:rPr>
        <w:lastRenderedPageBreak/>
        <w:t>5. What is the most appropriate pharmacological treatment approach for this patient?</w:t>
      </w:r>
    </w:p>
    <w:p w14:paraId="71C97905" w14:textId="77777777" w:rsidR="009B4771" w:rsidRPr="00DF73C6" w:rsidRDefault="00000000">
      <w:pPr>
        <w:spacing w:after="80"/>
        <w:ind w:left="340"/>
        <w:rPr>
          <w:sz w:val="20"/>
          <w:szCs w:val="20"/>
        </w:rPr>
      </w:pPr>
      <w:r w:rsidRPr="00DF73C6">
        <w:rPr>
          <w:sz w:val="20"/>
          <w:szCs w:val="20"/>
        </w:rPr>
        <w:t>6. Are additional investigations or imaging methods required before the treatment decision?</w:t>
      </w:r>
    </w:p>
    <w:p w14:paraId="5934AF3F" w14:textId="77777777" w:rsidR="009B4771" w:rsidRPr="00DF73C6" w:rsidRDefault="00000000">
      <w:pPr>
        <w:spacing w:after="80"/>
        <w:ind w:left="340"/>
        <w:rPr>
          <w:sz w:val="20"/>
          <w:szCs w:val="20"/>
        </w:rPr>
      </w:pPr>
      <w:r w:rsidRPr="00DF73C6">
        <w:rPr>
          <w:sz w:val="20"/>
          <w:szCs w:val="20"/>
        </w:rPr>
        <w:t>7. Given that this patient has osteopenia on DXA (lowest T-score −2.2) but has sustained a low-trauma distal radius fragility fracture, how should the diagnosis be reclassified, and does the fragility fracture alter the indication for pharmacological therapy independent of the T-score?</w:t>
      </w:r>
    </w:p>
    <w:p w14:paraId="5533FC98" w14:textId="77777777" w:rsidR="009B4771" w:rsidRPr="00DF73C6" w:rsidRDefault="00000000">
      <w:pPr>
        <w:spacing w:before="280" w:after="80"/>
        <w:rPr>
          <w:color w:val="000000" w:themeColor="text1"/>
          <w:sz w:val="24"/>
          <w:szCs w:val="24"/>
        </w:rPr>
      </w:pPr>
      <w:r w:rsidRPr="00DF73C6">
        <w:rPr>
          <w:b/>
          <w:color w:val="000000" w:themeColor="text1"/>
          <w:sz w:val="24"/>
          <w:szCs w:val="24"/>
        </w:rPr>
        <w:t>Note</w:t>
      </w:r>
    </w:p>
    <w:p w14:paraId="466E44F6" w14:textId="35C50AC8" w:rsidR="009B4771" w:rsidRPr="00DF73C6" w:rsidRDefault="00DF73C6" w:rsidP="00DF73C6">
      <w:pPr>
        <w:jc w:val="both"/>
        <w:rPr>
          <w:iCs/>
          <w:sz w:val="20"/>
          <w:szCs w:val="20"/>
        </w:rPr>
      </w:pPr>
      <w:r w:rsidRPr="00DF73C6">
        <w:rPr>
          <w:iCs/>
          <w:sz w:val="20"/>
          <w:szCs w:val="20"/>
        </w:rPr>
        <w:t>All 25 cases followed an identical format. The cases were designed to represent older adult patients with osteoporosis or fracture risk, predominantly postmenopausal women and geriatric patients, consistent with typical presentations encountered in tertiary geriatric and endocrinology outpatient clinics. The complete case scenarios and the original, unedited AI prompt–response outputs are available from the corresponding author upon reasonable request. AI responses were evaluated as generated, without any editing or modification.</w:t>
      </w:r>
    </w:p>
    <w:sectPr w:rsidR="009B4771" w:rsidRPr="00DF73C6"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494497984">
    <w:abstractNumId w:val="8"/>
  </w:num>
  <w:num w:numId="2" w16cid:durableId="1882594502">
    <w:abstractNumId w:val="6"/>
  </w:num>
  <w:num w:numId="3" w16cid:durableId="97217144">
    <w:abstractNumId w:val="5"/>
  </w:num>
  <w:num w:numId="4" w16cid:durableId="1597321901">
    <w:abstractNumId w:val="4"/>
  </w:num>
  <w:num w:numId="5" w16cid:durableId="1678533067">
    <w:abstractNumId w:val="7"/>
  </w:num>
  <w:num w:numId="6" w16cid:durableId="663357822">
    <w:abstractNumId w:val="3"/>
  </w:num>
  <w:num w:numId="7" w16cid:durableId="1593127229">
    <w:abstractNumId w:val="2"/>
  </w:num>
  <w:num w:numId="8" w16cid:durableId="174075545">
    <w:abstractNumId w:val="1"/>
  </w:num>
  <w:num w:numId="9" w16cid:durableId="610818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C6D57"/>
    <w:rsid w:val="009B4771"/>
    <w:rsid w:val="00AA1D8D"/>
    <w:rsid w:val="00B47730"/>
    <w:rsid w:val="00CB0664"/>
    <w:rsid w:val="00DF73C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347FA7"/>
  <w14:defaultImageDpi w14:val="300"/>
  <w15:docId w15:val="{0B594E1A-1C12-4CE4-A008-C49D5AF89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60" w:lineRule="auto"/>
    </w:pPr>
    <w:rPr>
      <w:rFonts w:ascii="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ind w:left="360"/>
      <w:contextualSpacing/>
    </w:pPr>
  </w:style>
  <w:style w:type="paragraph" w:styleId="ListeDevam2">
    <w:name w:val="List Continue 2"/>
    <w:basedOn w:val="Normal"/>
    <w:uiPriority w:val="99"/>
    <w:unhideWhenUsed/>
    <w:rsid w:val="0029639D"/>
    <w:pPr>
      <w:ind w:left="720"/>
      <w:contextualSpacing/>
    </w:pPr>
  </w:style>
  <w:style w:type="paragraph" w:styleId="ListeDevam3">
    <w:name w:val="List Continue 3"/>
    <w:basedOn w:val="Normal"/>
    <w:uiPriority w:val="99"/>
    <w:unhideWhenUsed/>
    <w:rsid w:val="0029639D"/>
    <w:pPr>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402</Words>
  <Characters>2890</Characters>
  <Application>Microsoft Office Word</Application>
  <DocSecurity>0</DocSecurity>
  <Lines>93</Lines>
  <Paragraphs>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Gokalp avlagi</cp:lastModifiedBy>
  <cp:revision>2</cp:revision>
  <dcterms:created xsi:type="dcterms:W3CDTF">2013-12-23T23:15:00Z</dcterms:created>
  <dcterms:modified xsi:type="dcterms:W3CDTF">2026-06-29T17:28:00Z</dcterms:modified>
  <cp:category/>
</cp:coreProperties>
</file>