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20C64">
      <w:pPr>
        <w:jc w:val="center"/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  <w: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  <w:t>Supporting Information</w:t>
      </w:r>
    </w:p>
    <w:p w14:paraId="6EFF0E6A">
      <w:pPr>
        <w:spacing w:before="200" w:after="200" w:line="480" w:lineRule="auto"/>
        <w:jc w:val="both"/>
        <w:rPr>
          <w:rFonts w:hint="default" w:ascii="Times New Roman Regular" w:hAnsi="Times New Roman Regular" w:cs="Times New Roman Regular"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28"/>
        </w:rPr>
        <w:t>Visible-Light-Driven Green Assembly of Anisotropic Silver Nanocrystals via Ligand-to-Metal Charge Transfer Chemistry</w:t>
      </w:r>
    </w:p>
    <w:p w14:paraId="180EF194">
      <w:pPr>
        <w:spacing w:line="480" w:lineRule="auto"/>
        <w:rPr>
          <w:rFonts w:hint="default" w:ascii="Times New Roman Regular" w:hAnsi="Times New Roman Regular" w:cs="Times New Roman Regular"/>
          <w:i/>
          <w:iCs/>
        </w:rPr>
      </w:pPr>
      <w:bookmarkStart w:id="0" w:name="_Hlk199769184"/>
      <w:bookmarkStart w:id="1" w:name="_Hlk141880484"/>
      <w:r>
        <w:rPr>
          <w:rFonts w:hint="default" w:ascii="Times New Roman Regular" w:hAnsi="Times New Roman Regular" w:cs="Times New Roman Regular"/>
          <w:i/>
          <w:iCs/>
        </w:rPr>
        <w:t xml:space="preserve">Jiahang Yu*, </w:t>
      </w:r>
      <w:r>
        <w:rPr>
          <w:rFonts w:hint="default" w:ascii="Times New Roman Regular" w:hAnsi="Times New Roman Regular" w:eastAsia="宋体" w:cs="Times New Roman Regular"/>
          <w:i/>
          <w:iCs/>
        </w:rPr>
        <w:t xml:space="preserve">Yang Ou, Xueli Bai, </w:t>
      </w:r>
      <w:r>
        <w:rPr>
          <w:rFonts w:hint="default" w:ascii="Times New Roman Regular" w:hAnsi="Times New Roman Regular" w:cs="Times New Roman Regular"/>
          <w:i/>
          <w:iCs/>
        </w:rPr>
        <w:t>Yimeng Huang, Yuanchu Li</w:t>
      </w:r>
    </w:p>
    <w:bookmarkEnd w:id="0"/>
    <w:p w14:paraId="50F8CB5F">
      <w:pPr>
        <w:spacing w:line="480" w:lineRule="auto"/>
        <w:rPr>
          <w:rFonts w:hint="default" w:ascii="Times New Roman Regular" w:hAnsi="Times New Roman Regular" w:eastAsia="宋体" w:cs="Times New Roman Regular"/>
        </w:rPr>
      </w:pPr>
      <w:bookmarkStart w:id="2" w:name="_Hlk134688690"/>
      <w:r>
        <w:rPr>
          <w:rFonts w:hint="default" w:ascii="Times New Roman Regular" w:hAnsi="Times New Roman Regular" w:cs="Times New Roman Regular"/>
        </w:rPr>
        <w:t>School of Biological Science and Food Engineering, Chuzhou University, Chuzhou, 239000, Anhui, China</w:t>
      </w:r>
      <w:bookmarkEnd w:id="1"/>
      <w:bookmarkEnd w:id="2"/>
      <w:r>
        <w:rPr>
          <w:rFonts w:hint="default" w:ascii="Times New Roman Regular" w:hAnsi="Times New Roman Regular" w:eastAsia="宋体" w:cs="Times New Roman Regular"/>
        </w:rPr>
        <w:t>。</w:t>
      </w:r>
    </w:p>
    <w:p w14:paraId="3A8A26CE">
      <w:pPr>
        <w:spacing w:line="480" w:lineRule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 xml:space="preserve">*Corresponding author. E-mail addresses: </w:t>
      </w:r>
      <w:r>
        <w:rPr>
          <w:rFonts w:hint="default" w:ascii="Times New Roman Regular" w:hAnsi="Times New Roman Regular" w:cs="Times New Roman Regular"/>
        </w:rPr>
        <w:fldChar w:fldCharType="begin"/>
      </w:r>
      <w:r>
        <w:rPr>
          <w:rFonts w:hint="default" w:ascii="Times New Roman Regular" w:hAnsi="Times New Roman Regular" w:cs="Times New Roman Regular"/>
        </w:rPr>
        <w:instrText xml:space="preserve"> HYPERLINK "mailto:yjh8319@yeah.net" </w:instrText>
      </w:r>
      <w:r>
        <w:rPr>
          <w:rFonts w:hint="default" w:ascii="Times New Roman Regular" w:hAnsi="Times New Roman Regular" w:cs="Times New Roman Regular"/>
        </w:rPr>
        <w:fldChar w:fldCharType="separate"/>
      </w:r>
      <w:r>
        <w:rPr>
          <w:rStyle w:val="19"/>
          <w:rFonts w:hint="default" w:ascii="Times New Roman Regular" w:hAnsi="Times New Roman Regular" w:cs="Times New Roman Regular"/>
        </w:rPr>
        <w:t>yjh8319@yeah.net</w:t>
      </w:r>
      <w:r>
        <w:rPr>
          <w:rStyle w:val="19"/>
          <w:rFonts w:hint="default" w:ascii="Times New Roman Regular" w:hAnsi="Times New Roman Regular" w:cs="Times New Roman Regular"/>
        </w:rPr>
        <w:fldChar w:fldCharType="end"/>
      </w:r>
      <w:r>
        <w:rPr>
          <w:rFonts w:hint="default" w:ascii="Times New Roman Regular" w:hAnsi="Times New Roman Regular" w:cs="Times New Roman Regular"/>
        </w:rPr>
        <w:t>.</w:t>
      </w:r>
    </w:p>
    <w:p w14:paraId="69A6D813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</w:p>
    <w:p w14:paraId="10B453AF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</w:p>
    <w:p w14:paraId="56114B08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</w:p>
    <w:p w14:paraId="7F8DA9FA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</w:p>
    <w:p w14:paraId="4307AF3F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</w:p>
    <w:p w14:paraId="1572E193">
      <w:pP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</w:pPr>
      <w:r>
        <w:rPr>
          <w:rFonts w:hint="default" w:ascii="Times New Roman Regular" w:hAnsi="Times New Roman Regular" w:eastAsia="微软雅黑" w:cs="Times New Roman Regular"/>
          <w:b w:val="0"/>
          <w:bCs/>
          <w:sz w:val="44"/>
          <w:szCs w:val="44"/>
          <w:lang w:val="en-US"/>
        </w:rPr>
        <w:br w:type="page"/>
      </w:r>
    </w:p>
    <w:p w14:paraId="3361DFEB">
      <w:pPr>
        <w:spacing w:line="240" w:lineRule="auto"/>
        <w:jc w:val="center"/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</w:pPr>
      <w:r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  <w:drawing>
          <wp:inline distT="0" distB="0" distL="114300" distR="114300">
            <wp:extent cx="5269230" cy="4406265"/>
            <wp:effectExtent l="0" t="0" r="13970" b="13335"/>
            <wp:docPr id="8" name="图片 8" descr="电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电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15D0E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S1.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Surface ζ-potential evolution curves of silver nanoparticle samples under different illumination times.</w:t>
      </w:r>
    </w:p>
    <w:p w14:paraId="4BA962A9">
      <w:pP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br w:type="page"/>
      </w:r>
    </w:p>
    <w:p w14:paraId="7D986D2B">
      <w:pPr>
        <w:spacing w:line="240" w:lineRule="auto"/>
        <w:jc w:val="both"/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</w:pPr>
      <w:r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  <w:drawing>
          <wp:inline distT="0" distB="0" distL="114300" distR="114300">
            <wp:extent cx="5268595" cy="3997325"/>
            <wp:effectExtent l="0" t="0" r="14605" b="15875"/>
            <wp:docPr id="12" name="图片 12" descr="纯品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纯品验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7FBA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S2.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UV-Vis absorption spectra and sample photographs for component control experiments. Variations of A₄₂₀ under the same illumination conditions for pure Ag⁺ solution (AgNO₃ 0.01 μM), dextran/Ag⁺ dual-component system (dextran 1 mg/mL + AgNO₃ 0.01 μM), and TSC/Ag⁺ dual-component system (TSC 10 mM + AgNO₃ 0.01 μM). </w:t>
      </w:r>
    </w:p>
    <w:p w14:paraId="35A229B0">
      <w:pPr>
        <w:spacing w:line="240" w:lineRule="auto"/>
        <w:jc w:val="center"/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</w:pPr>
      <w:r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  <w:drawing>
          <wp:inline distT="0" distB="0" distL="114300" distR="114300">
            <wp:extent cx="5269230" cy="5022850"/>
            <wp:effectExtent l="0" t="0" r="13970" b="6350"/>
            <wp:docPr id="11" name="图片 11" descr="C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8FB9B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S3.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¹³C NMR spectra of silver nanoparticle samples and control groups under different illumination times. </w:t>
      </w:r>
    </w:p>
    <w:p w14:paraId="2215CA07">
      <w:pPr>
        <w:widowControl/>
        <w:spacing w:after="0" w:line="240" w:lineRule="auto"/>
        <w:jc w:val="both"/>
        <w:rPr>
          <w:rFonts w:hint="default" w:ascii="Times New Roman Regular" w:hAnsi="Times New Roman Regular" w:cs="Times New Roman Regular"/>
          <w:b w:val="0"/>
          <w:bCs/>
          <w:sz w:val="28"/>
          <w:szCs w:val="28"/>
        </w:rPr>
      </w:pPr>
      <w:r>
        <w:rPr>
          <w:rFonts w:hint="eastAsia" w:ascii="Times New Roman Regular" w:hAnsi="Times New Roman Regular" w:eastAsia="宋体" w:cs="Times New Roman Regular"/>
          <w:b w:val="0"/>
          <w:kern w:val="0"/>
          <w:sz w:val="28"/>
          <w:szCs w:val="28"/>
          <w:lang w:eastAsia="zh-CN"/>
          <w14:ligatures w14:val="none"/>
        </w:rPr>
        <w:drawing>
          <wp:inline distT="0" distB="0" distL="114300" distR="114300">
            <wp:extent cx="5270500" cy="4059555"/>
            <wp:effectExtent l="0" t="0" r="12700" b="4445"/>
            <wp:docPr id="13" name="图片 13" descr="附图4--羟基猝灭实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附图4--羟基猝灭实验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78110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S4.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Effects of different ·OH scavengers on the photocatalytic yield of silver nanoparticles. Variations of A₄20 after adding tert-butanol (TBA) and isopropanol (IPA), respectively. </w:t>
      </w:r>
    </w:p>
    <w:p w14:paraId="5585820A">
      <w:pP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br w:type="page"/>
      </w:r>
    </w:p>
    <w:p w14:paraId="291469EB">
      <w:pPr>
        <w:tabs>
          <w:tab w:val="left" w:pos="5995"/>
        </w:tabs>
        <w:spacing w:line="240" w:lineRule="auto"/>
        <w:jc w:val="center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43830" cy="1231900"/>
            <wp:effectExtent l="0" t="0" r="13970" b="12700"/>
            <wp:docPr id="3" name="图片 3" descr="ScreenShot_2026-05-25_191947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6-05-25_191947_3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1D57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S5.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Geometrically optimized structure models from DFT for Ag(111), Ag-TSC, and Ag-TSC-Dex systems. </w:t>
      </w:r>
    </w:p>
    <w:p w14:paraId="3A90D710">
      <w:pP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br w:type="page"/>
      </w:r>
    </w:p>
    <w:p w14:paraId="7C519CB2">
      <w:pPr>
        <w:tabs>
          <w:tab w:val="left" w:pos="5995"/>
        </w:tabs>
        <w:spacing w:line="240" w:lineRule="auto"/>
        <w:jc w:val="center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45100" cy="1539875"/>
            <wp:effectExtent l="0" t="0" r="12700" b="9525"/>
            <wp:docPr id="2" name="图片 2" descr="ScreenShot_2026-05-25_192030_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6-05-25_192030_3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FFC62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S6.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DFT-optimized adsorption configurations of TSC on Ag(111), Ag(100), and Ag(110) crystal facets. </w:t>
      </w:r>
    </w:p>
    <w:p w14:paraId="70D9B018">
      <w:pP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br w:type="page"/>
      </w:r>
    </w:p>
    <w:p w14:paraId="617517F8">
      <w:pPr>
        <w:tabs>
          <w:tab w:val="left" w:pos="5995"/>
        </w:tabs>
        <w:spacing w:line="240" w:lineRule="auto"/>
        <w:jc w:val="center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57165" cy="1348740"/>
            <wp:effectExtent l="0" t="0" r="635" b="22860"/>
            <wp:docPr id="1" name="图片 1" descr="ScreenShot_2026-05-25_192136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5-25_192136_1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16DF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S7.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DFT-optimized adsorption configurations of O₂ molecules on different system surfaces. </w:t>
      </w:r>
    </w:p>
    <w:p w14:paraId="25657943">
      <w:pPr>
        <w:tabs>
          <w:tab w:val="left" w:pos="5995"/>
        </w:tabs>
        <w:spacing w:line="240" w:lineRule="auto"/>
        <w:ind w:firstLine="560" w:firstLineChars="200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</w:p>
    <w:p w14:paraId="5C04CC43">
      <w:pPr>
        <w:tabs>
          <w:tab w:val="left" w:pos="5995"/>
        </w:tabs>
        <w:spacing w:line="240" w:lineRule="auto"/>
        <w:ind w:firstLine="560" w:firstLineChars="200"/>
        <w:jc w:val="center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3376930" cy="6567805"/>
            <wp:effectExtent l="0" t="0" r="1270" b="10795"/>
            <wp:docPr id="4" name="图片 4" descr="ScreenShot_2026-05-25_202521_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5-25_202521_70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656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6445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S8.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Total density of states (TDOS) and projected density of states (PDOS) analysis of Ag(111), Ag-TSC, and Ag-TSC-Dex systems. The vertical dashed lines indicate the shift of the d-band center. </w:t>
      </w:r>
    </w:p>
    <w:p w14:paraId="2582480A">
      <w:pPr>
        <w:spacing w:before="120" w:after="240" w:line="240" w:lineRule="auto"/>
        <w:jc w:val="both"/>
        <w:rPr>
          <w:rFonts w:hint="default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  <w:drawing>
          <wp:inline distT="0" distB="0" distL="114300" distR="114300">
            <wp:extent cx="5270500" cy="4302125"/>
            <wp:effectExtent l="0" t="0" r="12700" b="15875"/>
            <wp:docPr id="15" name="图片 15" descr="汇总--新谱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汇总--新谱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237F7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S9.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UV-Vis absorption spectra of AgNPs prepared via the LMCT photocatalytic system involving different carbohydrate molecules. </w:t>
      </w:r>
    </w:p>
    <w:p w14:paraId="3F5F1C73">
      <w:pP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</w:pP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br w:type="page"/>
      </w:r>
    </w:p>
    <w:p w14:paraId="25892DD5">
      <w:pPr>
        <w:tabs>
          <w:tab w:val="left" w:pos="5995"/>
        </w:tabs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74310" cy="4452620"/>
            <wp:effectExtent l="0" t="0" r="8890" b="17780"/>
            <wp:docPr id="16" name="图片 16" descr="绿色--拟合数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绿色--拟合数值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941B2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S10.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Linear colorimetric quantitative response curve of anisotropic spiky silver nanoparticles prepared based on 0.01 μM AgNO₃ toward Na₂S. The chart includes ΔA₄20 variations under different Na₂S concentrations and the corresponding linear fitting equation. </w:t>
      </w:r>
    </w:p>
    <w:p w14:paraId="31EBDAF7">
      <w:pPr>
        <w:tabs>
          <w:tab w:val="left" w:pos="5995"/>
        </w:tabs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72405" cy="4683125"/>
            <wp:effectExtent l="0" t="0" r="10795" b="15875"/>
            <wp:docPr id="17" name="图片 17" descr="橙色--拟合数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橙色--拟合数值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DF75A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S11.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Linear colorimetric quantitative response curve and fitting equation of mixed-morphology silver nanoparticles prepared based on 0.03 μM AgNO₃ toward Na₂S. </w:t>
      </w:r>
    </w:p>
    <w:p w14:paraId="27F64918">
      <w:pPr>
        <w:tabs>
          <w:tab w:val="left" w:pos="5995"/>
        </w:tabs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</w:pPr>
      <w:bookmarkStart w:id="3" w:name="_GoBack"/>
      <w:bookmarkEnd w:id="3"/>
      <w:r>
        <w:rPr>
          <w:rFonts w:hint="default" w:ascii="Times New Roman Regular" w:hAnsi="Times New Roman Regular" w:cs="Times New Roman Regular"/>
          <w:b w:val="0"/>
          <w:sz w:val="28"/>
          <w:szCs w:val="28"/>
          <w:lang w:eastAsia="zh-CN"/>
        </w:rPr>
        <w:drawing>
          <wp:inline distT="0" distB="0" distL="114300" distR="114300">
            <wp:extent cx="5267960" cy="4803140"/>
            <wp:effectExtent l="0" t="0" r="15240" b="22860"/>
            <wp:docPr id="18" name="图片 18" descr="黄色--拟合数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黄色--拟合数值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6525"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kern w:val="0"/>
          <w:sz w:val="28"/>
          <w:szCs w:val="28"/>
          <w:lang w:val="en-US" w:eastAsia="zh-CN" w:bidi="ar"/>
          <w14:ligatures w14:val="standardContextual"/>
        </w:rPr>
        <w:t>Figure S12.</w:t>
      </w:r>
      <w:r>
        <w:rPr>
          <w:rFonts w:hint="default" w:ascii="Times New Roman Regular" w:hAnsi="Times New Roman Regular" w:eastAsia="宋体" w:cs="Times New Roman Regular"/>
          <w:b w:val="0"/>
          <w:kern w:val="0"/>
          <w:sz w:val="28"/>
          <w:szCs w:val="28"/>
          <w:lang w:val="en-US" w:eastAsia="zh-CN" w:bidi="ar"/>
          <w14:ligatures w14:val="standardContextual"/>
        </w:rPr>
        <w:t xml:space="preserve"> Linear colorimetric quantitative response curve and fitting equation of near-spherical silver nanoparticles prepared based on 0.13 μM AgNO₃ toward Na₂S. </w:t>
      </w:r>
    </w:p>
    <w:p w14:paraId="6B176CC6">
      <w:pPr>
        <w:spacing w:line="240" w:lineRule="auto"/>
        <w:jc w:val="both"/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</w:pPr>
      <w:r>
        <w:rPr>
          <w:rFonts w:hint="eastAsia" w:ascii="Times New Roman Regular" w:hAnsi="Times New Roman Regular" w:cs="Times New Roman Regular" w:eastAsiaTheme="minorEastAsia"/>
          <w:b w:val="0"/>
          <w:sz w:val="28"/>
          <w:szCs w:val="28"/>
          <w:lang w:eastAsia="zh-CN"/>
        </w:rPr>
        <w:drawing>
          <wp:inline distT="0" distB="0" distL="114300" distR="114300">
            <wp:extent cx="5268595" cy="3464560"/>
            <wp:effectExtent l="0" t="0" r="14605" b="15240"/>
            <wp:docPr id="14" name="图片 14" descr="微信图片_20260413175510_81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413175510_81_1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2C91">
      <w:pPr>
        <w:pStyle w:val="14"/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  <w:r>
        <w:rPr>
          <w:rFonts w:hint="default" w:ascii="Times New Roman Regular" w:hAnsi="Times New Roman Regular" w:cs="Times New Roman Regular"/>
          <w:b w:val="0"/>
          <w:bCs/>
          <w:sz w:val="28"/>
          <w:szCs w:val="28"/>
        </w:rPr>
        <w:t>Figure S13.</w:t>
      </w:r>
      <w:r>
        <w:rPr>
          <w:rFonts w:hint="default" w:ascii="Times New Roman Regular" w:hAnsi="Times New Roman Regular" w:cs="Times New Roman Regular"/>
          <w:b w:val="0"/>
          <w:sz w:val="28"/>
          <w:szCs w:val="28"/>
        </w:rPr>
        <w:t xml:space="preserve"> Selectivity validation experiments of the anisotropic silver nanoparticle colorimetric sensor toward volatile substances from meat spoilage. The chart includes a comparison of colorimetric responses to various typical volatiles such as sulfur-containing compounds, amines, and organic acids.</w:t>
      </w:r>
    </w:p>
    <w:p w14:paraId="76DDB596">
      <w:pPr>
        <w:spacing w:line="240" w:lineRule="auto"/>
        <w:jc w:val="both"/>
        <w:rPr>
          <w:rFonts w:hint="default" w:ascii="Times New Roman Regular" w:hAnsi="Times New Roman Regular" w:cs="Times New Roman Regular"/>
          <w:b w:val="0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0D0B3"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0A2105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0A2105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93"/>
    <w:rsid w:val="00267DBF"/>
    <w:rsid w:val="003250E1"/>
    <w:rsid w:val="003651D4"/>
    <w:rsid w:val="00397BD9"/>
    <w:rsid w:val="005F0779"/>
    <w:rsid w:val="00687B63"/>
    <w:rsid w:val="006C2834"/>
    <w:rsid w:val="007D4678"/>
    <w:rsid w:val="00812D2B"/>
    <w:rsid w:val="008A7F8A"/>
    <w:rsid w:val="009D1B26"/>
    <w:rsid w:val="00A04993"/>
    <w:rsid w:val="00B36FB4"/>
    <w:rsid w:val="00CB1841"/>
    <w:rsid w:val="00D6757D"/>
    <w:rsid w:val="3E77D038"/>
    <w:rsid w:val="3F7F983A"/>
    <w:rsid w:val="70A61E51"/>
    <w:rsid w:val="75BF9F7A"/>
    <w:rsid w:val="9EF5E3E8"/>
    <w:rsid w:val="B35FF705"/>
    <w:rsid w:val="D37F91B8"/>
    <w:rsid w:val="E7790FE2"/>
    <w:rsid w:val="E7FB7A97"/>
    <w:rsid w:val="FF97DF57"/>
    <w:rsid w:val="FFF9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uiPriority w:val="99"/>
    <w:rPr>
      <w:color w:val="0563C1"/>
      <w:u w:val="single"/>
    </w:rPr>
  </w:style>
  <w:style w:type="character" w:customStyle="1" w:styleId="20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</Words>
  <Characters>2296</Characters>
  <Lines>12</Lines>
  <Paragraphs>3</Paragraphs>
  <TotalTime>3</TotalTime>
  <ScaleCrop>false</ScaleCrop>
  <LinksUpToDate>false</LinksUpToDate>
  <CharactersWithSpaces>2639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2026-04-16T09:40:00Z</dcterms:created>
  <dc:creator>JH Y</dc:creator>
  <cp:lastModifiedBy>篁竹锦麟</cp:lastModifiedBy>
  <dcterms:modified xsi:type="dcterms:W3CDTF">2026-05-27T12:29:54Z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05E2D07BDB1D430084F1066A6851CA74_42</vt:lpwstr>
  </property>
</Properties>
</file>