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1E618">
      <w:r>
        <w:rPr>
          <w:rFonts w:ascii="Times New Roman" w:hAnsi="Times New Roman"/>
          <w:b/>
          <w:sz w:val="28"/>
        </w:rPr>
        <w:t>SUPPLEMENTARY MATERIAL</w:t>
      </w:r>
    </w:p>
    <w:p w14:paraId="0C26B94F">
      <w:r>
        <w:rPr>
          <w:rFonts w:ascii="Times New Roman" w:hAnsi="Times New Roman"/>
          <w:b/>
          <w:i w:val="0"/>
          <w:sz w:val="24"/>
        </w:rPr>
        <w:t>Dinutuximab beta-based first-line maintenance therapy for newly diagnosed high-risk neuroblastoma following a COG-based pathway: a single-center real-world study in China</w:t>
      </w:r>
    </w:p>
    <w:p w14:paraId="36C3AFA2"/>
    <w:p w14:paraId="2A93419E">
      <w:pPr>
        <w:jc w:val="both"/>
      </w:pPr>
      <w:r>
        <w:rPr>
          <w:rFonts w:ascii="Times New Roman" w:hAnsi="Times New Roman"/>
          <w:b w:val="0"/>
          <w:i w:val="0"/>
          <w:sz w:val="22"/>
        </w:rPr>
        <w:t>Supplementary Figure S1. Exploratory event-free survival comparison between the dinutuximab beta group (n=13) and the non-dinutuximab beta group (n=30), both anchored at diagnosis; background only (log-rank P = 0.497). [Figure file: FigureS1_EFS_compare.tiff]</w:t>
      </w:r>
    </w:p>
    <w:p w14:paraId="46E068E6">
      <w:pPr>
        <w:jc w:val="both"/>
      </w:pPr>
      <w:r>
        <w:rPr>
          <w:rFonts w:ascii="Times New Roman" w:hAnsi="Times New Roman"/>
          <w:b w:val="0"/>
          <w:i w:val="0"/>
          <w:sz w:val="22"/>
        </w:rPr>
        <w:t>Supplementary Figure S2. Exploratory overall survival comparison between the dinutuximab beta group (n=13) and the non-dinutuximab beta group (n=30), both anchored at diagnosis; background only (log-rank P = 0.506). [Figure file: FigureS2_OS_compare.tiff]</w:t>
      </w:r>
    </w:p>
    <w:p w14:paraId="78D9D4CF"/>
    <w:p w14:paraId="7275AC23">
      <w:r>
        <w:rPr>
          <w:rFonts w:ascii="Times New Roman" w:hAnsi="Times New Roman"/>
          <w:b/>
          <w:sz w:val="22"/>
        </w:rPr>
        <w:t>Supplementary Table S1. Full CTCAE v5.0 grade distribution of adverse events in immunotherapy-only cycles (n=41)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142"/>
        <w:gridCol w:w="1142"/>
        <w:gridCol w:w="1142"/>
        <w:gridCol w:w="1142"/>
        <w:gridCol w:w="1142"/>
        <w:gridCol w:w="1135"/>
      </w:tblGrid>
      <w:tr w14:paraId="54CD477D">
        <w:tc>
          <w:tcPr>
            <w:tcW w:w="1234" w:type="dxa"/>
          </w:tcPr>
          <w:p w14:paraId="3EE8E55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Adverse event</w:t>
            </w:r>
          </w:p>
        </w:tc>
        <w:tc>
          <w:tcPr>
            <w:tcW w:w="1234" w:type="dxa"/>
          </w:tcPr>
          <w:p w14:paraId="328D182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0</w:t>
            </w:r>
          </w:p>
        </w:tc>
        <w:tc>
          <w:tcPr>
            <w:tcW w:w="1234" w:type="dxa"/>
          </w:tcPr>
          <w:p w14:paraId="091DABF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1</w:t>
            </w:r>
          </w:p>
        </w:tc>
        <w:tc>
          <w:tcPr>
            <w:tcW w:w="1234" w:type="dxa"/>
          </w:tcPr>
          <w:p w14:paraId="4260D312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2</w:t>
            </w:r>
          </w:p>
        </w:tc>
        <w:tc>
          <w:tcPr>
            <w:tcW w:w="1234" w:type="dxa"/>
          </w:tcPr>
          <w:p w14:paraId="7A2AA39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3</w:t>
            </w:r>
          </w:p>
        </w:tc>
        <w:tc>
          <w:tcPr>
            <w:tcW w:w="1234" w:type="dxa"/>
          </w:tcPr>
          <w:p w14:paraId="380CE24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4</w:t>
            </w:r>
          </w:p>
        </w:tc>
        <w:tc>
          <w:tcPr>
            <w:tcW w:w="1234" w:type="dxa"/>
          </w:tcPr>
          <w:p w14:paraId="715A7A6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Any (≥G1)</w:t>
            </w:r>
          </w:p>
        </w:tc>
      </w:tr>
      <w:tr w14:paraId="4FE93704">
        <w:tc>
          <w:tcPr>
            <w:tcW w:w="1234" w:type="dxa"/>
          </w:tcPr>
          <w:p w14:paraId="3906634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Fever</w:t>
            </w:r>
          </w:p>
        </w:tc>
        <w:tc>
          <w:tcPr>
            <w:tcW w:w="1234" w:type="dxa"/>
          </w:tcPr>
          <w:p w14:paraId="6AE5AB8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3BBF3D3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5793B81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2F95FAF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w="1234" w:type="dxa"/>
          </w:tcPr>
          <w:p w14:paraId="49CCEC5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0AFFC7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31</w:t>
            </w:r>
          </w:p>
        </w:tc>
      </w:tr>
      <w:tr w14:paraId="71429395">
        <w:tc>
          <w:tcPr>
            <w:tcW w:w="1234" w:type="dxa"/>
          </w:tcPr>
          <w:p w14:paraId="48F42DE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Pain-related symptoms</w:t>
            </w:r>
          </w:p>
        </w:tc>
        <w:tc>
          <w:tcPr>
            <w:tcW w:w="1234" w:type="dxa"/>
          </w:tcPr>
          <w:p w14:paraId="74739CB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19</w:t>
            </w:r>
          </w:p>
        </w:tc>
        <w:tc>
          <w:tcPr>
            <w:tcW w:w="1234" w:type="dxa"/>
          </w:tcPr>
          <w:p w14:paraId="326F236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13</w:t>
            </w:r>
          </w:p>
        </w:tc>
        <w:tc>
          <w:tcPr>
            <w:tcW w:w="1234" w:type="dxa"/>
          </w:tcPr>
          <w:p w14:paraId="4EFDA58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w="1234" w:type="dxa"/>
          </w:tcPr>
          <w:p w14:paraId="6C9E265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47E930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D7D643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22</w:t>
            </w:r>
          </w:p>
        </w:tc>
      </w:tr>
      <w:tr w14:paraId="65A157F9">
        <w:tc>
          <w:tcPr>
            <w:tcW w:w="1234" w:type="dxa"/>
          </w:tcPr>
          <w:p w14:paraId="692EBE2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Cytokine release syndrome</w:t>
            </w:r>
          </w:p>
        </w:tc>
        <w:tc>
          <w:tcPr>
            <w:tcW w:w="1234" w:type="dxa"/>
          </w:tcPr>
          <w:p w14:paraId="10F9C34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30</w:t>
            </w:r>
          </w:p>
        </w:tc>
        <w:tc>
          <w:tcPr>
            <w:tcW w:w="1234" w:type="dxa"/>
          </w:tcPr>
          <w:p w14:paraId="276AF46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w="1234" w:type="dxa"/>
          </w:tcPr>
          <w:p w14:paraId="37407AE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740ADDF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29FA41A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6026077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11</w:t>
            </w:r>
          </w:p>
        </w:tc>
      </w:tr>
      <w:tr w14:paraId="44ACC0C4">
        <w:tc>
          <w:tcPr>
            <w:tcW w:w="1234" w:type="dxa"/>
          </w:tcPr>
          <w:p w14:paraId="6EFABD0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Capillary leak syndrome</w:t>
            </w:r>
          </w:p>
        </w:tc>
        <w:tc>
          <w:tcPr>
            <w:tcW w:w="1234" w:type="dxa"/>
          </w:tcPr>
          <w:p w14:paraId="4CA94FB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38</w:t>
            </w:r>
          </w:p>
        </w:tc>
        <w:tc>
          <w:tcPr>
            <w:tcW w:w="1234" w:type="dxa"/>
          </w:tcPr>
          <w:p w14:paraId="1A90A83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6C4F112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6C48C8B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FCBF69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9CBB46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</w:tr>
      <w:tr w14:paraId="6DDB87BA">
        <w:tc>
          <w:tcPr>
            <w:tcW w:w="1234" w:type="dxa"/>
          </w:tcPr>
          <w:p w14:paraId="0989BF2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Diarrhea</w:t>
            </w:r>
          </w:p>
        </w:tc>
        <w:tc>
          <w:tcPr>
            <w:tcW w:w="1234" w:type="dxa"/>
          </w:tcPr>
          <w:p w14:paraId="2B14924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28</w:t>
            </w:r>
          </w:p>
        </w:tc>
        <w:tc>
          <w:tcPr>
            <w:tcW w:w="1234" w:type="dxa"/>
          </w:tcPr>
          <w:p w14:paraId="4BA9609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2DDE23D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w="1234" w:type="dxa"/>
          </w:tcPr>
          <w:p w14:paraId="407067B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6E8FA35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27CA1FB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13</w:t>
            </w:r>
          </w:p>
        </w:tc>
      </w:tr>
      <w:tr w14:paraId="3B6DA659">
        <w:tc>
          <w:tcPr>
            <w:tcW w:w="1234" w:type="dxa"/>
          </w:tcPr>
          <w:p w14:paraId="785A4A5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Hematologic toxicity/myelosuppression</w:t>
            </w:r>
          </w:p>
        </w:tc>
        <w:tc>
          <w:tcPr>
            <w:tcW w:w="1234" w:type="dxa"/>
          </w:tcPr>
          <w:p w14:paraId="7867B40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0AD2F60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w="1234" w:type="dxa"/>
          </w:tcPr>
          <w:p w14:paraId="71607EC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15</w:t>
            </w:r>
          </w:p>
        </w:tc>
        <w:tc>
          <w:tcPr>
            <w:tcW w:w="1234" w:type="dxa"/>
          </w:tcPr>
          <w:p w14:paraId="1673AC53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w="1234" w:type="dxa"/>
          </w:tcPr>
          <w:p w14:paraId="4A18612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18ECC21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41</w:t>
            </w:r>
          </w:p>
        </w:tc>
      </w:tr>
      <w:tr w14:paraId="139EC8D0">
        <w:tc>
          <w:tcPr>
            <w:tcW w:w="1234" w:type="dxa"/>
          </w:tcPr>
          <w:p w14:paraId="140B40B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Neutropenia</w:t>
            </w:r>
          </w:p>
        </w:tc>
        <w:tc>
          <w:tcPr>
            <w:tcW w:w="1234" w:type="dxa"/>
          </w:tcPr>
          <w:p w14:paraId="7BC55C1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26</w:t>
            </w:r>
          </w:p>
        </w:tc>
        <w:tc>
          <w:tcPr>
            <w:tcW w:w="1234" w:type="dxa"/>
          </w:tcPr>
          <w:p w14:paraId="7EB4742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1517CBF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w="1234" w:type="dxa"/>
          </w:tcPr>
          <w:p w14:paraId="044DB99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1AF4E79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2684755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15</w:t>
            </w:r>
          </w:p>
        </w:tc>
      </w:tr>
      <w:tr w14:paraId="15D47325">
        <w:tc>
          <w:tcPr>
            <w:tcW w:w="1234" w:type="dxa"/>
          </w:tcPr>
          <w:p w14:paraId="718D429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Infection-related events</w:t>
            </w:r>
          </w:p>
        </w:tc>
        <w:tc>
          <w:tcPr>
            <w:tcW w:w="1234" w:type="dxa"/>
          </w:tcPr>
          <w:p w14:paraId="1F30E8C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29</w:t>
            </w:r>
          </w:p>
        </w:tc>
        <w:tc>
          <w:tcPr>
            <w:tcW w:w="1234" w:type="dxa"/>
          </w:tcPr>
          <w:p w14:paraId="0A3BD99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48F9361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w="1234" w:type="dxa"/>
          </w:tcPr>
          <w:p w14:paraId="2C19719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8</w:t>
            </w:r>
          </w:p>
        </w:tc>
        <w:tc>
          <w:tcPr>
            <w:tcW w:w="1234" w:type="dxa"/>
          </w:tcPr>
          <w:p w14:paraId="5A207A8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37F4C58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</w:tr>
      <w:tr w14:paraId="09E4390B">
        <w:tc>
          <w:tcPr>
            <w:tcW w:w="1234" w:type="dxa"/>
          </w:tcPr>
          <w:p w14:paraId="6C66B51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Hepatic enzyme elevation</w:t>
            </w:r>
          </w:p>
        </w:tc>
        <w:tc>
          <w:tcPr>
            <w:tcW w:w="1234" w:type="dxa"/>
          </w:tcPr>
          <w:p w14:paraId="08DC538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34</w:t>
            </w:r>
          </w:p>
        </w:tc>
        <w:tc>
          <w:tcPr>
            <w:tcW w:w="1234" w:type="dxa"/>
          </w:tcPr>
          <w:p w14:paraId="47ADEC6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w="1234" w:type="dxa"/>
          </w:tcPr>
          <w:p w14:paraId="22AE82F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1830957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CCC301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6E7E34D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7</w:t>
            </w:r>
          </w:p>
        </w:tc>
      </w:tr>
    </w:tbl>
    <w:p w14:paraId="63DA4680">
      <w:pPr>
        <w:jc w:val="both"/>
      </w:pPr>
      <w:r>
        <w:rPr>
          <w:rFonts w:ascii="Times New Roman" w:hAnsi="Times New Roman"/>
          <w:i/>
          <w:sz w:val="17"/>
        </w:rPr>
        <w:t>Cell values are numbers of treatment cycles; each row sums to the cycle denominator. Grade per CTCAE v5.0. Composite categories use the highest grade across their component events per cycle: pain-related symptoms = abdominal pain, headache, and other-site pain (limb, musculoskeletal, arthralgia, chest, facial/periauricular/perineal); hematologic toxicity/myelosuppression = leukopenia, neutropenia, lymphopenia, anemia, thrombocytopenia; infection-related events = pneumonia, intestinal infection, and sepsis. Grade ≥3 totals match Table 3.</w:t>
      </w:r>
    </w:p>
    <w:p w14:paraId="51FE2877"/>
    <w:p w14:paraId="57D152DC">
      <w:r>
        <w:rPr>
          <w:rFonts w:ascii="Times New Roman" w:hAnsi="Times New Roman"/>
          <w:b/>
          <w:sz w:val="22"/>
        </w:rPr>
        <w:t>Supplementary Table S2. Full CTCAE v5.0 grade distribution of adverse events in combined chemotherapy-immunotherapy cycles (n=24)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142"/>
        <w:gridCol w:w="1142"/>
        <w:gridCol w:w="1142"/>
        <w:gridCol w:w="1142"/>
        <w:gridCol w:w="1142"/>
        <w:gridCol w:w="1135"/>
      </w:tblGrid>
      <w:tr w14:paraId="6376F8B3">
        <w:tc>
          <w:tcPr>
            <w:tcW w:w="1234" w:type="dxa"/>
          </w:tcPr>
          <w:p w14:paraId="20C3860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Adverse event</w:t>
            </w:r>
          </w:p>
        </w:tc>
        <w:tc>
          <w:tcPr>
            <w:tcW w:w="1234" w:type="dxa"/>
          </w:tcPr>
          <w:p w14:paraId="7F42F554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0</w:t>
            </w:r>
          </w:p>
        </w:tc>
        <w:tc>
          <w:tcPr>
            <w:tcW w:w="1234" w:type="dxa"/>
          </w:tcPr>
          <w:p w14:paraId="30984941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1</w:t>
            </w:r>
          </w:p>
        </w:tc>
        <w:tc>
          <w:tcPr>
            <w:tcW w:w="1234" w:type="dxa"/>
          </w:tcPr>
          <w:p w14:paraId="1AEF624D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2</w:t>
            </w:r>
          </w:p>
        </w:tc>
        <w:tc>
          <w:tcPr>
            <w:tcW w:w="1234" w:type="dxa"/>
          </w:tcPr>
          <w:p w14:paraId="43101C1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3</w:t>
            </w:r>
          </w:p>
        </w:tc>
        <w:tc>
          <w:tcPr>
            <w:tcW w:w="1234" w:type="dxa"/>
          </w:tcPr>
          <w:p w14:paraId="35932DC5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Grade 4</w:t>
            </w:r>
          </w:p>
        </w:tc>
        <w:tc>
          <w:tcPr>
            <w:tcW w:w="1234" w:type="dxa"/>
          </w:tcPr>
          <w:p w14:paraId="755D5F5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7"/>
              </w:rPr>
              <w:t>Any (≥G1)</w:t>
            </w:r>
          </w:p>
        </w:tc>
      </w:tr>
      <w:tr w14:paraId="6516D9E1">
        <w:tc>
          <w:tcPr>
            <w:tcW w:w="1234" w:type="dxa"/>
          </w:tcPr>
          <w:p w14:paraId="260B32A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Fever</w:t>
            </w:r>
          </w:p>
        </w:tc>
        <w:tc>
          <w:tcPr>
            <w:tcW w:w="1234" w:type="dxa"/>
          </w:tcPr>
          <w:p w14:paraId="30356DC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7AD9D48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53D8670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w="1234" w:type="dxa"/>
          </w:tcPr>
          <w:p w14:paraId="393D766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w="1234" w:type="dxa"/>
          </w:tcPr>
          <w:p w14:paraId="54A2118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w="1234" w:type="dxa"/>
          </w:tcPr>
          <w:p w14:paraId="35B20EB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23</w:t>
            </w:r>
          </w:p>
        </w:tc>
      </w:tr>
      <w:tr w14:paraId="0A9FD3DB">
        <w:tc>
          <w:tcPr>
            <w:tcW w:w="1234" w:type="dxa"/>
          </w:tcPr>
          <w:p w14:paraId="0F54FEF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Pain-related symptoms</w:t>
            </w:r>
          </w:p>
        </w:tc>
        <w:tc>
          <w:tcPr>
            <w:tcW w:w="1234" w:type="dxa"/>
          </w:tcPr>
          <w:p w14:paraId="0B3C1ED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7</w:t>
            </w:r>
          </w:p>
        </w:tc>
        <w:tc>
          <w:tcPr>
            <w:tcW w:w="1234" w:type="dxa"/>
          </w:tcPr>
          <w:p w14:paraId="63A13FE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15</w:t>
            </w:r>
          </w:p>
        </w:tc>
        <w:tc>
          <w:tcPr>
            <w:tcW w:w="1234" w:type="dxa"/>
          </w:tcPr>
          <w:p w14:paraId="3E3FF87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75288713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3138AF2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69A82A8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17</w:t>
            </w:r>
          </w:p>
        </w:tc>
      </w:tr>
      <w:tr w14:paraId="16F3F7A4">
        <w:tc>
          <w:tcPr>
            <w:tcW w:w="1234" w:type="dxa"/>
          </w:tcPr>
          <w:p w14:paraId="2A857C2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Cytokine release syndrome</w:t>
            </w:r>
          </w:p>
        </w:tc>
        <w:tc>
          <w:tcPr>
            <w:tcW w:w="1234" w:type="dxa"/>
          </w:tcPr>
          <w:p w14:paraId="3B9AF8B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13</w:t>
            </w:r>
          </w:p>
        </w:tc>
        <w:tc>
          <w:tcPr>
            <w:tcW w:w="1234" w:type="dxa"/>
          </w:tcPr>
          <w:p w14:paraId="08BB042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2B9AC4E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795AB9D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0D3BEEA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6663556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11</w:t>
            </w:r>
          </w:p>
        </w:tc>
      </w:tr>
      <w:tr w14:paraId="574E8903">
        <w:tc>
          <w:tcPr>
            <w:tcW w:w="1234" w:type="dxa"/>
          </w:tcPr>
          <w:p w14:paraId="2C719B4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Capillary leak syndrome</w:t>
            </w:r>
          </w:p>
        </w:tc>
        <w:tc>
          <w:tcPr>
            <w:tcW w:w="1234" w:type="dxa"/>
          </w:tcPr>
          <w:p w14:paraId="26CA724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22</w:t>
            </w:r>
          </w:p>
        </w:tc>
        <w:tc>
          <w:tcPr>
            <w:tcW w:w="1234" w:type="dxa"/>
          </w:tcPr>
          <w:p w14:paraId="7D1100D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59BF8AF3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40C4C8D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w="1234" w:type="dxa"/>
          </w:tcPr>
          <w:p w14:paraId="1AB208BB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27FED2D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</w:tr>
      <w:tr w14:paraId="2CE0EADB">
        <w:tc>
          <w:tcPr>
            <w:tcW w:w="1234" w:type="dxa"/>
          </w:tcPr>
          <w:p w14:paraId="2766507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Diarrhea</w:t>
            </w:r>
          </w:p>
        </w:tc>
        <w:tc>
          <w:tcPr>
            <w:tcW w:w="1234" w:type="dxa"/>
          </w:tcPr>
          <w:p w14:paraId="0AAE573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w="1234" w:type="dxa"/>
          </w:tcPr>
          <w:p w14:paraId="4C63241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w="1234" w:type="dxa"/>
          </w:tcPr>
          <w:p w14:paraId="6D7C51B6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w="1234" w:type="dxa"/>
          </w:tcPr>
          <w:p w14:paraId="484B5256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w="1234" w:type="dxa"/>
          </w:tcPr>
          <w:p w14:paraId="12CA9FD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75FE3C4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13</w:t>
            </w:r>
          </w:p>
        </w:tc>
      </w:tr>
      <w:tr w14:paraId="290CABFD">
        <w:tc>
          <w:tcPr>
            <w:tcW w:w="1234" w:type="dxa"/>
          </w:tcPr>
          <w:p w14:paraId="3B4D2138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Hematologic toxicity/myelosuppression</w:t>
            </w:r>
          </w:p>
        </w:tc>
        <w:tc>
          <w:tcPr>
            <w:tcW w:w="1234" w:type="dxa"/>
          </w:tcPr>
          <w:p w14:paraId="4F90280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07459A0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443023F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w="1234" w:type="dxa"/>
          </w:tcPr>
          <w:p w14:paraId="0623453A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159D71F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w="1234" w:type="dxa"/>
          </w:tcPr>
          <w:p w14:paraId="3465965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24</w:t>
            </w:r>
          </w:p>
        </w:tc>
      </w:tr>
      <w:tr w14:paraId="7B18D8AC">
        <w:tc>
          <w:tcPr>
            <w:tcW w:w="1234" w:type="dxa"/>
          </w:tcPr>
          <w:p w14:paraId="2921B0B4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Neutropenia</w:t>
            </w:r>
          </w:p>
        </w:tc>
        <w:tc>
          <w:tcPr>
            <w:tcW w:w="1234" w:type="dxa"/>
          </w:tcPr>
          <w:p w14:paraId="360094B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w="1234" w:type="dxa"/>
          </w:tcPr>
          <w:p w14:paraId="6EF5F81E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w="1234" w:type="dxa"/>
          </w:tcPr>
          <w:p w14:paraId="6BA77FD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w="1234" w:type="dxa"/>
          </w:tcPr>
          <w:p w14:paraId="0EA68D1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w="1234" w:type="dxa"/>
          </w:tcPr>
          <w:p w14:paraId="3D6ACAB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w="1234" w:type="dxa"/>
          </w:tcPr>
          <w:p w14:paraId="764ECFB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19</w:t>
            </w:r>
          </w:p>
        </w:tc>
      </w:tr>
      <w:tr w14:paraId="4EA9E41C">
        <w:tc>
          <w:tcPr>
            <w:tcW w:w="1234" w:type="dxa"/>
          </w:tcPr>
          <w:p w14:paraId="06376F7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Infection-related events</w:t>
            </w:r>
          </w:p>
        </w:tc>
        <w:tc>
          <w:tcPr>
            <w:tcW w:w="1234" w:type="dxa"/>
          </w:tcPr>
          <w:p w14:paraId="73840E6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w="1234" w:type="dxa"/>
          </w:tcPr>
          <w:p w14:paraId="6F2EB8D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1914579C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w="1234" w:type="dxa"/>
          </w:tcPr>
          <w:p w14:paraId="6E91FED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w="1234" w:type="dxa"/>
          </w:tcPr>
          <w:p w14:paraId="3F0D858D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5798D211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</w:tr>
      <w:tr w14:paraId="046F59B3">
        <w:tc>
          <w:tcPr>
            <w:tcW w:w="1234" w:type="dxa"/>
          </w:tcPr>
          <w:p w14:paraId="1860DAD2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Hepatic enzyme elevation</w:t>
            </w:r>
          </w:p>
        </w:tc>
        <w:tc>
          <w:tcPr>
            <w:tcW w:w="1234" w:type="dxa"/>
          </w:tcPr>
          <w:p w14:paraId="261F745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21</w:t>
            </w:r>
          </w:p>
        </w:tc>
        <w:tc>
          <w:tcPr>
            <w:tcW w:w="1234" w:type="dxa"/>
          </w:tcPr>
          <w:p w14:paraId="213AAF09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4EC177A0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6E6E9555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w="1234" w:type="dxa"/>
          </w:tcPr>
          <w:p w14:paraId="2439EA17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0</w:t>
            </w:r>
          </w:p>
        </w:tc>
        <w:tc>
          <w:tcPr>
            <w:tcW w:w="1234" w:type="dxa"/>
          </w:tcPr>
          <w:p w14:paraId="0A7D9F13">
            <w:pPr>
              <w:spacing w:after="0" w:line="240" w:lineRule="auto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</w:tr>
    </w:tbl>
    <w:p w14:paraId="12F9495B">
      <w:pPr>
        <w:jc w:val="both"/>
      </w:pPr>
      <w:r>
        <w:rPr>
          <w:rFonts w:ascii="Times New Roman" w:hAnsi="Times New Roman"/>
          <w:i/>
          <w:sz w:val="17"/>
        </w:rPr>
        <w:t>Cell values are numbers of treatment cycles; each row sums to the cycle denominator. Grade per CTCAE v5.0. Composite categories use the highest grade across their component events per cycle: pain-related symptoms = abdominal pain, headache, and other-site pain (limb, musculoskeletal, arthralgia, chest, facial/periauricular/perineal); hematologic toxicity/myelosuppression = leukopenia, neutropenia, lymphopenia, anemia, thrombocytopenia; infection-related events = pneumonia, intestinal infection, and sepsis. Grade ≥3 totals match Table 3.</w:t>
      </w:r>
    </w:p>
    <w:p w14:paraId="5F3B19F5"/>
    <w:p w14:paraId="4BDE35CF">
      <w:r>
        <w:rPr>
          <w:rFonts w:ascii="Times New Roman" w:hAnsi="Times New Roman"/>
          <w:b/>
          <w:sz w:val="22"/>
        </w:rPr>
        <w:t>Supplementary Table S3. Exploratory survival comparison: dinutuximab beta vs non-dinutuximab beta (from diagnosis)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28D34EB4">
        <w:tc>
          <w:tcPr>
            <w:tcW w:w="1728" w:type="dxa"/>
          </w:tcPr>
          <w:p w14:paraId="717E815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Endpoint</w:t>
            </w:r>
          </w:p>
        </w:tc>
        <w:tc>
          <w:tcPr>
            <w:tcW w:w="1728" w:type="dxa"/>
          </w:tcPr>
          <w:p w14:paraId="3C1999FB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log-rank P</w:t>
            </w:r>
          </w:p>
        </w:tc>
        <w:tc>
          <w:tcPr>
            <w:tcW w:w="1728" w:type="dxa"/>
          </w:tcPr>
          <w:p w14:paraId="58D3500D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HR</w:t>
            </w:r>
          </w:p>
        </w:tc>
        <w:tc>
          <w:tcPr>
            <w:tcW w:w="1728" w:type="dxa"/>
          </w:tcPr>
          <w:p w14:paraId="162A440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  <w:tc>
          <w:tcPr>
            <w:tcW w:w="1728" w:type="dxa"/>
          </w:tcPr>
          <w:p w14:paraId="67F747DD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Wald P</w:t>
            </w:r>
          </w:p>
        </w:tc>
      </w:tr>
      <w:tr w14:paraId="02821B71">
        <w:tc>
          <w:tcPr>
            <w:tcW w:w="1728" w:type="dxa"/>
          </w:tcPr>
          <w:p w14:paraId="787CE63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EFS</w:t>
            </w:r>
          </w:p>
        </w:tc>
        <w:tc>
          <w:tcPr>
            <w:tcW w:w="1728" w:type="dxa"/>
          </w:tcPr>
          <w:p w14:paraId="5257B3A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0.497</w:t>
            </w:r>
          </w:p>
        </w:tc>
        <w:tc>
          <w:tcPr>
            <w:tcW w:w="1728" w:type="dxa"/>
          </w:tcPr>
          <w:p w14:paraId="6E7FD7A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0.68</w:t>
            </w:r>
          </w:p>
        </w:tc>
        <w:tc>
          <w:tcPr>
            <w:tcW w:w="1728" w:type="dxa"/>
          </w:tcPr>
          <w:p w14:paraId="27BDD15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0.22-2.09</w:t>
            </w:r>
          </w:p>
        </w:tc>
        <w:tc>
          <w:tcPr>
            <w:tcW w:w="1728" w:type="dxa"/>
          </w:tcPr>
          <w:p w14:paraId="748FD6D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0.499</w:t>
            </w:r>
          </w:p>
        </w:tc>
      </w:tr>
      <w:tr w14:paraId="1B7329CB">
        <w:tc>
          <w:tcPr>
            <w:tcW w:w="1728" w:type="dxa"/>
          </w:tcPr>
          <w:p w14:paraId="24F0CA4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OS</w:t>
            </w:r>
          </w:p>
        </w:tc>
        <w:tc>
          <w:tcPr>
            <w:tcW w:w="1728" w:type="dxa"/>
          </w:tcPr>
          <w:p w14:paraId="326E5C1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0.506</w:t>
            </w:r>
          </w:p>
        </w:tc>
        <w:tc>
          <w:tcPr>
            <w:tcW w:w="1728" w:type="dxa"/>
          </w:tcPr>
          <w:p w14:paraId="3816C1D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0.49</w:t>
            </w:r>
          </w:p>
        </w:tc>
        <w:tc>
          <w:tcPr>
            <w:tcW w:w="1728" w:type="dxa"/>
          </w:tcPr>
          <w:p w14:paraId="383E4AA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0.06-4.20</w:t>
            </w:r>
          </w:p>
        </w:tc>
        <w:tc>
          <w:tcPr>
            <w:tcW w:w="1728" w:type="dxa"/>
          </w:tcPr>
          <w:p w14:paraId="3DE4641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0.515</w:t>
            </w:r>
          </w:p>
        </w:tc>
      </w:tr>
    </w:tbl>
    <w:p w14:paraId="1FFD0F93">
      <w:pPr>
        <w:jc w:val="both"/>
      </w:pPr>
      <w:r>
        <w:rPr>
          <w:rFonts w:ascii="Times New Roman" w:hAnsi="Times New Roman"/>
          <w:i/>
          <w:sz w:val="17"/>
        </w:rPr>
        <w:t>HR &gt;1 disfavors and HR &lt;1 favors the dinutuximab beta group. The comparison uses diagnosis as a common time zero and is subject to immortal time bias; it depicts contemporaneous treatment-pathway background only and cannot support a causal efficacy inference. Curves are in Supplementary Figures S1–S2.</w:t>
      </w:r>
    </w:p>
    <w:p w14:paraId="1373E3F5"/>
    <w:p w14:paraId="4F98F251">
      <w:r>
        <w:rPr>
          <w:rFonts w:ascii="Times New Roman" w:hAnsi="Times New Roman"/>
          <w:b/>
          <w:sz w:val="22"/>
        </w:rPr>
        <w:t>Supplementary Table S4. INRGSS L2 high-risk rationale and baseline/relapse characteristics of the three cranial-region relapse patients (two CNS, one skull-base)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E499404">
        <w:tc>
          <w:tcPr>
            <w:tcW w:w="2160" w:type="dxa"/>
          </w:tcPr>
          <w:p w14:paraId="1F30169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</w:rPr>
              <w:t>Characteristic</w:t>
            </w:r>
          </w:p>
        </w:tc>
        <w:tc>
          <w:tcPr>
            <w:tcW w:w="2160" w:type="dxa"/>
          </w:tcPr>
          <w:p w14:paraId="35D58DFD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</w:rPr>
              <w:t>PL3</w:t>
            </w:r>
          </w:p>
        </w:tc>
        <w:tc>
          <w:tcPr>
            <w:tcW w:w="2160" w:type="dxa"/>
          </w:tcPr>
          <w:p w14:paraId="550D7DBB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</w:rPr>
              <w:t>PL6</w:t>
            </w:r>
          </w:p>
        </w:tc>
        <w:tc>
          <w:tcPr>
            <w:tcW w:w="2160" w:type="dxa"/>
          </w:tcPr>
          <w:p w14:paraId="57BDAA74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</w:rPr>
              <w:t>PL12</w:t>
            </w:r>
          </w:p>
        </w:tc>
      </w:tr>
      <w:tr w14:paraId="6482927E">
        <w:tc>
          <w:tcPr>
            <w:tcW w:w="2160" w:type="dxa"/>
          </w:tcPr>
          <w:p w14:paraId="200B1C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Sex</w:t>
            </w:r>
          </w:p>
        </w:tc>
        <w:tc>
          <w:tcPr>
            <w:tcW w:w="2160" w:type="dxa"/>
          </w:tcPr>
          <w:p w14:paraId="7A5BE2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Female</w:t>
            </w:r>
          </w:p>
        </w:tc>
        <w:tc>
          <w:tcPr>
            <w:tcW w:w="2160" w:type="dxa"/>
          </w:tcPr>
          <w:p w14:paraId="5C7C4B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Male</w:t>
            </w:r>
          </w:p>
        </w:tc>
        <w:tc>
          <w:tcPr>
            <w:tcW w:w="2160" w:type="dxa"/>
          </w:tcPr>
          <w:p w14:paraId="7572FC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Female</w:t>
            </w:r>
          </w:p>
        </w:tc>
      </w:tr>
      <w:tr w14:paraId="246600A2">
        <w:tc>
          <w:tcPr>
            <w:tcW w:w="2160" w:type="dxa"/>
          </w:tcPr>
          <w:p w14:paraId="45CBF0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Age at diagnosis (months)</w:t>
            </w:r>
          </w:p>
        </w:tc>
        <w:tc>
          <w:tcPr>
            <w:tcW w:w="2160" w:type="dxa"/>
          </w:tcPr>
          <w:p w14:paraId="12CBA5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18.8</w:t>
            </w:r>
          </w:p>
        </w:tc>
        <w:tc>
          <w:tcPr>
            <w:tcW w:w="2160" w:type="dxa"/>
          </w:tcPr>
          <w:p w14:paraId="71F2C8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22.4</w:t>
            </w:r>
          </w:p>
        </w:tc>
        <w:tc>
          <w:tcPr>
            <w:tcW w:w="2160" w:type="dxa"/>
          </w:tcPr>
          <w:p w14:paraId="375F1D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61.1</w:t>
            </w:r>
          </w:p>
        </w:tc>
      </w:tr>
      <w:tr w14:paraId="3DBF8CCA">
        <w:tc>
          <w:tcPr>
            <w:tcW w:w="2160" w:type="dxa"/>
          </w:tcPr>
          <w:p w14:paraId="4B81DE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INRGSS stage</w:t>
            </w:r>
          </w:p>
        </w:tc>
        <w:tc>
          <w:tcPr>
            <w:tcW w:w="2160" w:type="dxa"/>
          </w:tcPr>
          <w:p w14:paraId="043AFD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w="2160" w:type="dxa"/>
          </w:tcPr>
          <w:p w14:paraId="0804B2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w="2160" w:type="dxa"/>
          </w:tcPr>
          <w:p w14:paraId="4F1526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</w:tr>
      <w:tr w14:paraId="0A6C5866">
        <w:tc>
          <w:tcPr>
            <w:tcW w:w="2160" w:type="dxa"/>
          </w:tcPr>
          <w:p w14:paraId="37D663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MYCN (diagnosis)</w:t>
            </w:r>
          </w:p>
        </w:tc>
        <w:tc>
          <w:tcPr>
            <w:tcW w:w="2160" w:type="dxa"/>
          </w:tcPr>
          <w:p w14:paraId="54B976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Amplified</w:t>
            </w:r>
          </w:p>
        </w:tc>
        <w:tc>
          <w:tcPr>
            <w:tcW w:w="2160" w:type="dxa"/>
          </w:tcPr>
          <w:p w14:paraId="43D1AE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Amplified</w:t>
            </w:r>
          </w:p>
        </w:tc>
        <w:tc>
          <w:tcPr>
            <w:tcW w:w="2160" w:type="dxa"/>
          </w:tcPr>
          <w:p w14:paraId="71D5DA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Unknown</w:t>
            </w:r>
          </w:p>
        </w:tc>
      </w:tr>
      <w:tr w14:paraId="75D7BF0D">
        <w:tc>
          <w:tcPr>
            <w:tcW w:w="2160" w:type="dxa"/>
          </w:tcPr>
          <w:p w14:paraId="4547C4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Primary site</w:t>
            </w:r>
          </w:p>
        </w:tc>
        <w:tc>
          <w:tcPr>
            <w:tcW w:w="2160" w:type="dxa"/>
          </w:tcPr>
          <w:p w14:paraId="124885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Retroperitoneal</w:t>
            </w:r>
          </w:p>
        </w:tc>
        <w:tc>
          <w:tcPr>
            <w:tcW w:w="2160" w:type="dxa"/>
          </w:tcPr>
          <w:p w14:paraId="0B276E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Retroperitoneal</w:t>
            </w:r>
          </w:p>
        </w:tc>
        <w:tc>
          <w:tcPr>
            <w:tcW w:w="2160" w:type="dxa"/>
          </w:tcPr>
          <w:p w14:paraId="561B57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Posterior mediastinal</w:t>
            </w:r>
          </w:p>
        </w:tc>
      </w:tr>
      <w:tr w14:paraId="0E55E9D7">
        <w:tc>
          <w:tcPr>
            <w:tcW w:w="2160" w:type="dxa"/>
          </w:tcPr>
          <w:p w14:paraId="2F9ECA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Autologous ASCT</w:t>
            </w:r>
          </w:p>
        </w:tc>
        <w:tc>
          <w:tcPr>
            <w:tcW w:w="2160" w:type="dxa"/>
          </w:tcPr>
          <w:p w14:paraId="5BB43B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2160" w:type="dxa"/>
          </w:tcPr>
          <w:p w14:paraId="5D465B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2160" w:type="dxa"/>
          </w:tcPr>
          <w:p w14:paraId="330B5F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</w:tr>
      <w:tr w14:paraId="65153413">
        <w:tc>
          <w:tcPr>
            <w:tcW w:w="2160" w:type="dxa"/>
          </w:tcPr>
          <w:p w14:paraId="003892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Disease status before maintenance</w:t>
            </w:r>
          </w:p>
        </w:tc>
        <w:tc>
          <w:tcPr>
            <w:tcW w:w="2160" w:type="dxa"/>
          </w:tcPr>
          <w:p w14:paraId="0C9C58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CR</w:t>
            </w:r>
          </w:p>
        </w:tc>
        <w:tc>
          <w:tcPr>
            <w:tcW w:w="2160" w:type="dxa"/>
          </w:tcPr>
          <w:p w14:paraId="241794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CR</w:t>
            </w:r>
          </w:p>
        </w:tc>
        <w:tc>
          <w:tcPr>
            <w:tcW w:w="2160" w:type="dxa"/>
          </w:tcPr>
          <w:p w14:paraId="573FE2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PR (marrow)</w:t>
            </w:r>
          </w:p>
        </w:tc>
      </w:tr>
      <w:tr w14:paraId="0491D248">
        <w:tc>
          <w:tcPr>
            <w:tcW w:w="2160" w:type="dxa"/>
          </w:tcPr>
          <w:p w14:paraId="2C2B51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Concurrent chemotherapy in maintenance</w:t>
            </w:r>
          </w:p>
        </w:tc>
        <w:tc>
          <w:tcPr>
            <w:tcW w:w="2160" w:type="dxa"/>
          </w:tcPr>
          <w:p w14:paraId="5487BD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2160" w:type="dxa"/>
          </w:tcPr>
          <w:p w14:paraId="5054E2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2160" w:type="dxa"/>
          </w:tcPr>
          <w:p w14:paraId="41F5A4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Yes (VIT, 4 cycles)</w:t>
            </w:r>
          </w:p>
        </w:tc>
      </w:tr>
      <w:tr w14:paraId="616B481D">
        <w:tc>
          <w:tcPr>
            <w:tcW w:w="2160" w:type="dxa"/>
          </w:tcPr>
          <w:p w14:paraId="2FDCE0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Skull/intracranial involvement at diagnosis</w:t>
            </w:r>
          </w:p>
        </w:tc>
        <w:tc>
          <w:tcPr>
            <w:tcW w:w="2160" w:type="dxa"/>
          </w:tcPr>
          <w:p w14:paraId="5D9458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Yes (sphenoid/skull base, dura, optic-nerve sheath)</w:t>
            </w:r>
          </w:p>
        </w:tc>
        <w:tc>
          <w:tcPr>
            <w:tcW w:w="2160" w:type="dxa"/>
          </w:tcPr>
          <w:p w14:paraId="78FCF4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2160" w:type="dxa"/>
          </w:tcPr>
          <w:p w14:paraId="508990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</w:tr>
      <w:tr w14:paraId="1C3DFC68">
        <w:tc>
          <w:tcPr>
            <w:tcW w:w="2160" w:type="dxa"/>
          </w:tcPr>
          <w:p w14:paraId="4B7E85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Relapse, months from first infusion</w:t>
            </w:r>
          </w:p>
        </w:tc>
        <w:tc>
          <w:tcPr>
            <w:tcW w:w="2160" w:type="dxa"/>
          </w:tcPr>
          <w:p w14:paraId="7247BA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13.0</w:t>
            </w:r>
          </w:p>
        </w:tc>
        <w:tc>
          <w:tcPr>
            <w:tcW w:w="2160" w:type="dxa"/>
          </w:tcPr>
          <w:p w14:paraId="406938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6.9</w:t>
            </w:r>
          </w:p>
        </w:tc>
        <w:tc>
          <w:tcPr>
            <w:tcW w:w="2160" w:type="dxa"/>
          </w:tcPr>
          <w:p w14:paraId="2B1618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14.7</w:t>
            </w:r>
          </w:p>
        </w:tc>
      </w:tr>
      <w:tr w14:paraId="0DBEFD00">
        <w:tc>
          <w:tcPr>
            <w:tcW w:w="2160" w:type="dxa"/>
          </w:tcPr>
          <w:p w14:paraId="464D0D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Relapse site</w:t>
            </w:r>
          </w:p>
        </w:tc>
        <w:tc>
          <w:tcPr>
            <w:tcW w:w="2160" w:type="dxa"/>
          </w:tcPr>
          <w:p w14:paraId="715A3B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Left temporal parenchyma</w:t>
            </w:r>
          </w:p>
        </w:tc>
        <w:tc>
          <w:tcPr>
            <w:tcW w:w="2160" w:type="dxa"/>
          </w:tcPr>
          <w:p w14:paraId="0FDCAF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Skull base (mastoid/sigmoid sinus/jugular foramen)</w:t>
            </w:r>
          </w:p>
        </w:tc>
        <w:tc>
          <w:tcPr>
            <w:tcW w:w="2160" w:type="dxa"/>
          </w:tcPr>
          <w:p w14:paraId="004382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Left occipital (small lesion)</w:t>
            </w:r>
          </w:p>
        </w:tc>
      </w:tr>
      <w:tr w14:paraId="2D3D0308">
        <w:tc>
          <w:tcPr>
            <w:tcW w:w="2160" w:type="dxa"/>
          </w:tcPr>
          <w:p w14:paraId="28183F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Relapse evidence</w:t>
            </w:r>
          </w:p>
        </w:tc>
        <w:tc>
          <w:tcPr>
            <w:tcW w:w="2160" w:type="dxa"/>
          </w:tcPr>
          <w:p w14:paraId="7264E7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Surgically confirmed</w:t>
            </w:r>
          </w:p>
        </w:tc>
        <w:tc>
          <w:tcPr>
            <w:tcW w:w="2160" w:type="dxa"/>
          </w:tcPr>
          <w:p w14:paraId="2511B3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Surgically confirmed; N-MYC amplified; &lt;2 months after end of treatment</w:t>
            </w:r>
          </w:p>
        </w:tc>
        <w:tc>
          <w:tcPr>
            <w:tcW w:w="2160" w:type="dxa"/>
          </w:tcPr>
          <w:p w14:paraId="325C93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Contrast-enhanced MRI, not biopsied</w:t>
            </w:r>
          </w:p>
        </w:tc>
      </w:tr>
      <w:tr w14:paraId="10A61BF7">
        <w:tc>
          <w:tcPr>
            <w:tcW w:w="2160" w:type="dxa"/>
          </w:tcPr>
          <w:p w14:paraId="2DC0E9B5">
            <w:r>
              <w:rPr>
                <w:rFonts w:ascii="Times New Roman" w:hAnsi="Times New Roman"/>
                <w:sz w:val="16"/>
              </w:rPr>
              <w:t>Relapse classification</w:t>
            </w:r>
          </w:p>
        </w:tc>
        <w:tc>
          <w:tcPr>
            <w:tcW w:w="2160" w:type="dxa"/>
          </w:tcPr>
          <w:p w14:paraId="12C12724">
            <w:r>
              <w:rPr>
                <w:rFonts w:ascii="Times New Roman" w:hAnsi="Times New Roman"/>
                <w:sz w:val="16"/>
              </w:rPr>
              <w:t>CNS (intracranial)</w:t>
            </w:r>
          </w:p>
        </w:tc>
        <w:tc>
          <w:tcPr>
            <w:tcW w:w="2160" w:type="dxa"/>
          </w:tcPr>
          <w:p w14:paraId="0573FAC0">
            <w:r>
              <w:rPr>
                <w:rFonts w:ascii="Times New Roman" w:hAnsi="Times New Roman"/>
                <w:sz w:val="16"/>
              </w:rPr>
              <w:t>Skull-base/parameningeal (not CNS)</w:t>
            </w:r>
          </w:p>
        </w:tc>
        <w:tc>
          <w:tcPr>
            <w:tcW w:w="2160" w:type="dxa"/>
          </w:tcPr>
          <w:p w14:paraId="0ED5F2D6">
            <w:r>
              <w:rPr>
                <w:rFonts w:ascii="Times New Roman" w:hAnsi="Times New Roman"/>
                <w:sz w:val="16"/>
              </w:rPr>
              <w:t>CNS (intracranial)</w:t>
            </w:r>
          </w:p>
        </w:tc>
      </w:tr>
    </w:tbl>
    <w:p w14:paraId="04AF7429">
      <w:pPr>
        <w:jc w:val="both"/>
      </w:pPr>
      <w:r>
        <w:rPr>
          <w:rFonts w:ascii="Times New Roman" w:hAnsi="Times New Roman"/>
          <w:i/>
          <w:sz w:val="17"/>
        </w:rPr>
        <w:t>L2 high-risk rationale: the single INRGSS L2 patient (PL7, also the only death and the same case excluded in the sensitivity analysis) had non-amplified MYCN and negative marrow pathology, smear, and flow MRD; PET/CT showed diffusely increased metabolic activity in the spine, sternum, and pelvis that could not fully exclude bone/marrow involvement. High-risk classification reflected solid-tumor MDT judgment combining age &gt;5 years, unfavorable histology, and imaging uncertainty, not confirmed metastatic (stage M) disease. The three relapse patients (PL3, PL6, PL12) were all INRGSS stage M and underwent ASCT, with MYCN amplified in 2/3; features are concordant with HR-NBL1/SIOPEN CNS-relapse risk factors. PL3 and PL12 were CNS (intracranial) relapses (PL3 pathology-confirmed; PL12 MRI-diagnosed, not biopsied); PL6 was a skull-base bone metastasis with parameningeal extension and is not classified as a CNS relapse.</w:t>
      </w:r>
    </w:p>
    <w:p w14:paraId="7120770A"/>
    <w:p w14:paraId="2C606A31">
      <w:r>
        <w:rPr>
          <w:rFonts w:ascii="Times New Roman" w:hAnsi="Times New Roman"/>
          <w:b/>
          <w:sz w:val="22"/>
        </w:rPr>
        <w:t>Supplementary Table S5. Survival of the contemporaneous 43-patient cohort and the non-dinutuximab beta group (from diagnosis; background only)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222"/>
        <w:gridCol w:w="1228"/>
        <w:gridCol w:w="1229"/>
        <w:gridCol w:w="1227"/>
        <w:gridCol w:w="1227"/>
        <w:gridCol w:w="1227"/>
      </w:tblGrid>
      <w:tr w14:paraId="2A8E28C9">
        <w:tc>
          <w:tcPr>
            <w:tcW w:w="1234" w:type="dxa"/>
          </w:tcPr>
          <w:p w14:paraId="3826FC3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Cohort</w:t>
            </w:r>
          </w:p>
        </w:tc>
        <w:tc>
          <w:tcPr>
            <w:tcW w:w="1234" w:type="dxa"/>
          </w:tcPr>
          <w:p w14:paraId="522410B2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w="1234" w:type="dxa"/>
          </w:tcPr>
          <w:p w14:paraId="659F659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Events</w:t>
            </w:r>
          </w:p>
        </w:tc>
        <w:tc>
          <w:tcPr>
            <w:tcW w:w="1234" w:type="dxa"/>
          </w:tcPr>
          <w:p w14:paraId="7844722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Median FU (mo)</w:t>
            </w:r>
          </w:p>
        </w:tc>
        <w:tc>
          <w:tcPr>
            <w:tcW w:w="1234" w:type="dxa"/>
          </w:tcPr>
          <w:p w14:paraId="4CEE68FB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1-yr</w:t>
            </w:r>
          </w:p>
        </w:tc>
        <w:tc>
          <w:tcPr>
            <w:tcW w:w="1234" w:type="dxa"/>
          </w:tcPr>
          <w:p w14:paraId="061DBD9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2-yr</w:t>
            </w:r>
          </w:p>
        </w:tc>
        <w:tc>
          <w:tcPr>
            <w:tcW w:w="1234" w:type="dxa"/>
          </w:tcPr>
          <w:p w14:paraId="3AEF3455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3-yr</w:t>
            </w:r>
          </w:p>
        </w:tc>
      </w:tr>
      <w:tr w14:paraId="19B8D030">
        <w:tc>
          <w:tcPr>
            <w:tcW w:w="1234" w:type="dxa"/>
          </w:tcPr>
          <w:p w14:paraId="0508401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Total cohort EFS</w:t>
            </w:r>
          </w:p>
        </w:tc>
        <w:tc>
          <w:tcPr>
            <w:tcW w:w="1234" w:type="dxa"/>
          </w:tcPr>
          <w:p w14:paraId="46D92AA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1234" w:type="dxa"/>
          </w:tcPr>
          <w:p w14:paraId="63B0BD2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1234" w:type="dxa"/>
          </w:tcPr>
          <w:p w14:paraId="36485EE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37.1</w:t>
            </w:r>
          </w:p>
        </w:tc>
        <w:tc>
          <w:tcPr>
            <w:tcW w:w="1234" w:type="dxa"/>
          </w:tcPr>
          <w:p w14:paraId="29FEBDC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90.7%</w:t>
            </w:r>
          </w:p>
        </w:tc>
        <w:tc>
          <w:tcPr>
            <w:tcW w:w="1234" w:type="dxa"/>
          </w:tcPr>
          <w:p w14:paraId="64D57FF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71.8%</w:t>
            </w:r>
          </w:p>
        </w:tc>
        <w:tc>
          <w:tcPr>
            <w:tcW w:w="1234" w:type="dxa"/>
          </w:tcPr>
          <w:p w14:paraId="1F50E21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60.0%</w:t>
            </w:r>
          </w:p>
        </w:tc>
      </w:tr>
      <w:tr w14:paraId="1C4A1283">
        <w:tc>
          <w:tcPr>
            <w:tcW w:w="1234" w:type="dxa"/>
          </w:tcPr>
          <w:p w14:paraId="224610D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Total cohort OS</w:t>
            </w:r>
          </w:p>
        </w:tc>
        <w:tc>
          <w:tcPr>
            <w:tcW w:w="1234" w:type="dxa"/>
          </w:tcPr>
          <w:p w14:paraId="74E09D9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1234" w:type="dxa"/>
          </w:tcPr>
          <w:p w14:paraId="15D7957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34" w:type="dxa"/>
          </w:tcPr>
          <w:p w14:paraId="48035B9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37.1</w:t>
            </w:r>
          </w:p>
        </w:tc>
        <w:tc>
          <w:tcPr>
            <w:tcW w:w="1234" w:type="dxa"/>
          </w:tcPr>
          <w:p w14:paraId="3F3C29D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97.7%</w:t>
            </w:r>
          </w:p>
        </w:tc>
        <w:tc>
          <w:tcPr>
            <w:tcW w:w="1234" w:type="dxa"/>
          </w:tcPr>
          <w:p w14:paraId="5210F99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95.2%</w:t>
            </w:r>
          </w:p>
        </w:tc>
        <w:tc>
          <w:tcPr>
            <w:tcW w:w="1234" w:type="dxa"/>
          </w:tcPr>
          <w:p w14:paraId="260EE33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95.2%</w:t>
            </w:r>
          </w:p>
        </w:tc>
      </w:tr>
      <w:tr w14:paraId="14D766C6">
        <w:tc>
          <w:tcPr>
            <w:tcW w:w="1234" w:type="dxa"/>
          </w:tcPr>
          <w:p w14:paraId="5E1BA7F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Non-dinutuximab beta EFS</w:t>
            </w:r>
          </w:p>
        </w:tc>
        <w:tc>
          <w:tcPr>
            <w:tcW w:w="1234" w:type="dxa"/>
          </w:tcPr>
          <w:p w14:paraId="772FD7E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234" w:type="dxa"/>
          </w:tcPr>
          <w:p w14:paraId="3967B8C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234" w:type="dxa"/>
          </w:tcPr>
          <w:p w14:paraId="1CF2BCD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37.4</w:t>
            </w:r>
          </w:p>
        </w:tc>
        <w:tc>
          <w:tcPr>
            <w:tcW w:w="1234" w:type="dxa"/>
          </w:tcPr>
          <w:p w14:paraId="3B3CD8E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86.7%</w:t>
            </w:r>
          </w:p>
        </w:tc>
        <w:tc>
          <w:tcPr>
            <w:tcW w:w="1234" w:type="dxa"/>
          </w:tcPr>
          <w:p w14:paraId="71A30EE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69.7%</w:t>
            </w:r>
          </w:p>
        </w:tc>
        <w:tc>
          <w:tcPr>
            <w:tcW w:w="1234" w:type="dxa"/>
          </w:tcPr>
          <w:p w14:paraId="19D24FB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57.2%</w:t>
            </w:r>
          </w:p>
        </w:tc>
      </w:tr>
      <w:tr w14:paraId="69012C3D">
        <w:tc>
          <w:tcPr>
            <w:tcW w:w="1234" w:type="dxa"/>
          </w:tcPr>
          <w:p w14:paraId="750BF5E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Non-dinutuximab beta OS</w:t>
            </w:r>
          </w:p>
        </w:tc>
        <w:tc>
          <w:tcPr>
            <w:tcW w:w="1234" w:type="dxa"/>
          </w:tcPr>
          <w:p w14:paraId="12116B4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234" w:type="dxa"/>
          </w:tcPr>
          <w:p w14:paraId="6A9D029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34" w:type="dxa"/>
          </w:tcPr>
          <w:p w14:paraId="5AC968D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37.4</w:t>
            </w:r>
          </w:p>
        </w:tc>
        <w:tc>
          <w:tcPr>
            <w:tcW w:w="1234" w:type="dxa"/>
          </w:tcPr>
          <w:p w14:paraId="40B94B9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96.7%</w:t>
            </w:r>
          </w:p>
        </w:tc>
        <w:tc>
          <w:tcPr>
            <w:tcW w:w="1234" w:type="dxa"/>
          </w:tcPr>
          <w:p w14:paraId="54276D4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92.9%</w:t>
            </w:r>
          </w:p>
        </w:tc>
        <w:tc>
          <w:tcPr>
            <w:tcW w:w="1234" w:type="dxa"/>
          </w:tcPr>
          <w:p w14:paraId="6D87816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92.9%</w:t>
            </w:r>
          </w:p>
        </w:tc>
      </w:tr>
    </w:tbl>
    <w:p w14:paraId="3C370EAE">
      <w:pPr>
        <w:jc w:val="both"/>
      </w:pPr>
      <w:r>
        <w:rPr>
          <w:rFonts w:ascii="Times New Roman" w:hAnsi="Times New Roman"/>
          <w:i/>
          <w:sz w:val="17"/>
        </w:rPr>
        <w:t>All analyses anchored at diagnosis; background description only, not a drug-effect control (7 patients in the non-dinutuximab beta group received naxitamab, also an anti-GD2 antibody). Time zero differs in clinical meaning between groups, so curves should not be cross-read directly. The exploratory between-group comparison is in Supplementary Table S3 and Supplementary Figures S1–S2.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F39B31"/>
    <w:rsid w:val="ECF39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2026-06-29T23:30:00Z</dcterms:created>
  <dc:creator>日勿林夕</dc:creator>
  <cp:lastModifiedBy>日勿林夕</cp:lastModifiedBy>
  <dcterms:modified xsi:type="dcterms:W3CDTF">2026-06-29T23:30:47Z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64D6FC15580037C49C8F426A2D6177EE_41</vt:lpwstr>
  </property>
</Properties>
</file>