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120"/>
      </w:pPr>
      <w:r>
        <w:rPr>
          <w:b/>
          <w:color w:val="1F4E79"/>
          <w:sz w:val="28"/>
        </w:rPr>
        <w:t>Codebook — Analytical Dataset</w:t>
      </w:r>
    </w:p>
    <w:p>
      <w:pPr>
        <w:spacing w:after="80"/>
      </w:pPr>
      <w:r>
        <w:rPr>
          <w:b w:val="0"/>
          <w:sz w:val="20"/>
        </w:rPr>
        <w:t>Humanities and Social Sciences Communications · Supplementary Material</w:t>
      </w:r>
    </w:p>
    <w:p>
      <w:pPr>
        <w:spacing w:after="80"/>
      </w:pPr>
      <w:r>
        <w:rPr>
          <w:b w:val="0"/>
          <w:sz w:val="12"/>
        </w:rPr>
      </w:r>
    </w:p>
    <w:p>
      <w:pPr>
        <w:spacing w:after="80"/>
      </w:pPr>
      <w:r>
        <w:rPr>
          <w:b/>
          <w:sz w:val="20"/>
        </w:rPr>
        <w:t>File: HSSC_analytic.dta  |  Observations: 7,425  |  Variables: 21  |  Panel: 297 prefecture-level-and-above cities, 2000–2024</w:t>
      </w:r>
    </w:p>
    <w:p>
      <w:pPr>
        <w:spacing w:after="80"/>
      </w:pPr>
      <w:r>
        <w:rPr>
          <w:b w:val="0"/>
          <w:sz w:val="19"/>
        </w:rPr>
        <w:t>This codebook documents every variable in the cleaned analytical dataset (HSSC_analytic.dta), which is the exact input to the replication script replicate_results.do. The dataset was built from the raw city-year panel (HSSC_raw_panel.dta, 7,425 × 45) by build_integrated.do. Variable names match the Stata dataset and the manuscript text; all definitions are consistent with Sections 3.2.1–3.2.4 and 3.3 of the manuscript.</w:t>
      </w:r>
    </w:p>
    <w:p>
      <w:pPr>
        <w:spacing w:before="200" w:after="80"/>
      </w:pPr>
      <w:r>
        <w:rPr>
          <w:b/>
          <w:color w:val="1F4E79"/>
          <w:sz w:val="23"/>
        </w:rPr>
        <w:t>1. Panel Identifiers (7 variables)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1728"/>
            <w:shd w:fill="1F4E79" w:val="clear"/>
          </w:tcPr>
          <w:p>
            <w:r/>
            <w:r>
              <w:rPr>
                <w:rFonts w:ascii="Times New Roman" w:hAnsi="Times New Roman"/>
                <w:b/>
                <w:color w:val="FFFFFF"/>
                <w:sz w:val="18"/>
              </w:rPr>
              <w:t>Variable</w:t>
            </w:r>
          </w:p>
        </w:tc>
        <w:tc>
          <w:tcPr>
            <w:tcW w:type="dxa" w:w="1152"/>
            <w:shd w:fill="1F4E79" w:val="clear"/>
          </w:tcPr>
          <w:p>
            <w:r/>
            <w:r>
              <w:rPr>
                <w:rFonts w:ascii="Times New Roman" w:hAnsi="Times New Roman"/>
                <w:b/>
                <w:color w:val="FFFFFF"/>
                <w:sz w:val="18"/>
              </w:rPr>
              <w:t>Stata Label</w:t>
            </w:r>
          </w:p>
        </w:tc>
        <w:tc>
          <w:tcPr>
            <w:tcW w:type="dxa" w:w="720"/>
            <w:shd w:fill="1F4E79" w:val="clear"/>
          </w:tcPr>
          <w:p>
            <w:r/>
            <w:r>
              <w:rPr>
                <w:rFonts w:ascii="Times New Roman" w:hAnsi="Times New Roman"/>
                <w:b/>
                <w:color w:val="FFFFFF"/>
                <w:sz w:val="18"/>
              </w:rPr>
              <w:t>Type</w:t>
            </w:r>
          </w:p>
        </w:tc>
        <w:tc>
          <w:tcPr>
            <w:tcW w:type="dxa" w:w="5472"/>
            <w:shd w:fill="1F4E79" w:val="clear"/>
          </w:tcPr>
          <w:p>
            <w:r/>
            <w:r>
              <w:rPr>
                <w:rFonts w:ascii="Times New Roman" w:hAnsi="Times New Roman"/>
                <w:b/>
                <w:color w:val="FFFFFF"/>
                <w:sz w:val="18"/>
              </w:rPr>
              <w:t>Description</w:t>
            </w:r>
          </w:p>
        </w:tc>
      </w:tr>
      <w:tr>
        <w:tc>
          <w:tcPr>
            <w:tcW w:type="dxa" w:w="1728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年份</w:t>
            </w:r>
          </w:p>
        </w:tc>
        <w:tc>
          <w:tcPr>
            <w:tcW w:type="dxa" w:w="1152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(none)</w:t>
            </w:r>
          </w:p>
        </w:tc>
        <w:tc>
          <w:tcPr>
            <w:tcW w:type="dxa" w:w="720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int</w:t>
            </w:r>
          </w:p>
        </w:tc>
        <w:tc>
          <w:tcPr>
            <w:tcW w:type="dxa" w:w="5472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Observation year, 2000–2024. Panel time dimension.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Times New Roman" w:hAnsi="Times New Roman"/>
                <w:sz w:val="17"/>
              </w:rPr>
              <w:t>省份</w:t>
            </w:r>
          </w:p>
        </w:tc>
        <w:tc>
          <w:tcPr>
            <w:tcW w:type="dxa" w:w="1152"/>
          </w:tcPr>
          <w:p>
            <w:r/>
            <w:r>
              <w:rPr>
                <w:rFonts w:ascii="Times New Roman" w:hAnsi="Times New Roman"/>
                <w:sz w:val="17"/>
              </w:rPr>
              <w:t>(none)</w:t>
            </w:r>
          </w:p>
        </w:tc>
        <w:tc>
          <w:tcPr>
            <w:tcW w:type="dxa" w:w="720"/>
          </w:tcPr>
          <w:p>
            <w:r/>
            <w:r>
              <w:rPr>
                <w:rFonts w:ascii="Times New Roman" w:hAnsi="Times New Roman"/>
                <w:sz w:val="17"/>
              </w:rPr>
              <w:t>str</w:t>
            </w:r>
          </w:p>
        </w:tc>
        <w:tc>
          <w:tcPr>
            <w:tcW w:type="dxa" w:w="5472"/>
          </w:tcPr>
          <w:p>
            <w:r/>
            <w:r>
              <w:rPr>
                <w:rFonts w:ascii="Times New Roman" w:hAnsi="Times New Roman"/>
                <w:sz w:val="17"/>
              </w:rPr>
              <w:t>Province name (Chinese).</w:t>
            </w:r>
          </w:p>
        </w:tc>
      </w:tr>
      <w:tr>
        <w:tc>
          <w:tcPr>
            <w:tcW w:type="dxa" w:w="1728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城市</w:t>
            </w:r>
          </w:p>
        </w:tc>
        <w:tc>
          <w:tcPr>
            <w:tcW w:type="dxa" w:w="1152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(none)</w:t>
            </w:r>
          </w:p>
        </w:tc>
        <w:tc>
          <w:tcPr>
            <w:tcW w:type="dxa" w:w="720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str</w:t>
            </w:r>
          </w:p>
        </w:tc>
        <w:tc>
          <w:tcPr>
            <w:tcW w:type="dxa" w:w="5472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Prefecture-level city name (Chinese). Merge key for mechanism data.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Times New Roman" w:hAnsi="Times New Roman"/>
                <w:sz w:val="17"/>
              </w:rPr>
              <w:t>省份代码</w:t>
            </w:r>
          </w:p>
        </w:tc>
        <w:tc>
          <w:tcPr>
            <w:tcW w:type="dxa" w:w="1152"/>
          </w:tcPr>
          <w:p>
            <w:r/>
            <w:r>
              <w:rPr>
                <w:rFonts w:ascii="Times New Roman" w:hAnsi="Times New Roman"/>
                <w:sz w:val="17"/>
              </w:rPr>
              <w:t>(none)</w:t>
            </w:r>
          </w:p>
        </w:tc>
        <w:tc>
          <w:tcPr>
            <w:tcW w:type="dxa" w:w="720"/>
          </w:tcPr>
          <w:p>
            <w:r/>
            <w:r>
              <w:rPr>
                <w:rFonts w:ascii="Times New Roman" w:hAnsi="Times New Roman"/>
                <w:sz w:val="17"/>
              </w:rPr>
              <w:t>float</w:t>
            </w:r>
          </w:p>
        </w:tc>
        <w:tc>
          <w:tcPr>
            <w:tcW w:type="dxa" w:w="5472"/>
          </w:tcPr>
          <w:p>
            <w:r/>
            <w:r>
              <w:rPr>
                <w:rFonts w:ascii="Times New Roman" w:hAnsi="Times New Roman"/>
                <w:sz w:val="17"/>
              </w:rPr>
              <w:t>Province administrative division code.</w:t>
            </w:r>
          </w:p>
        </w:tc>
      </w:tr>
      <w:tr>
        <w:tc>
          <w:tcPr>
            <w:tcW w:type="dxa" w:w="1728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城市代码</w:t>
            </w:r>
          </w:p>
        </w:tc>
        <w:tc>
          <w:tcPr>
            <w:tcW w:type="dxa" w:w="1152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(none)</w:t>
            </w:r>
          </w:p>
        </w:tc>
        <w:tc>
          <w:tcPr>
            <w:tcW w:type="dxa" w:w="720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float</w:t>
            </w:r>
          </w:p>
        </w:tc>
        <w:tc>
          <w:tcPr>
            <w:tcW w:type="dxa" w:w="5472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City administrative division code. Panel unit for xtset / absorb.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Times New Roman" w:hAnsi="Times New Roman"/>
                <w:sz w:val="17"/>
              </w:rPr>
              <w:t>所属地域</w:t>
            </w:r>
          </w:p>
        </w:tc>
        <w:tc>
          <w:tcPr>
            <w:tcW w:type="dxa" w:w="1152"/>
          </w:tcPr>
          <w:p>
            <w:r/>
            <w:r>
              <w:rPr>
                <w:rFonts w:ascii="Times New Roman" w:hAnsi="Times New Roman"/>
                <w:sz w:val="17"/>
              </w:rPr>
              <w:t>(none)</w:t>
            </w:r>
          </w:p>
        </w:tc>
        <w:tc>
          <w:tcPr>
            <w:tcW w:type="dxa" w:w="720"/>
          </w:tcPr>
          <w:p>
            <w:r/>
            <w:r>
              <w:rPr>
                <w:rFonts w:ascii="Times New Roman" w:hAnsi="Times New Roman"/>
                <w:sz w:val="17"/>
              </w:rPr>
              <w:t>str</w:t>
            </w:r>
          </w:p>
        </w:tc>
        <w:tc>
          <w:tcPr>
            <w:tcW w:type="dxa" w:w="5472"/>
          </w:tcPr>
          <w:p>
            <w:r>
              <w:t>Geographic region: 东部 (East) / 中部 (Central) / 西部 (West). Used as the city-location heterogeneity split (manuscript Section 6.1); also listed in Group 5 as a heterogeneity grouping dimension.</w:t>
            </w:r>
          </w:p>
        </w:tc>
      </w:tr>
      <w:tr>
        <w:tc>
          <w:tcPr>
            <w:tcW w:type="dxa" w:w="1728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胡焕庸线</w:t>
            </w:r>
          </w:p>
        </w:tc>
        <w:tc>
          <w:tcPr>
            <w:tcW w:type="dxa" w:w="1152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(none)</w:t>
            </w:r>
          </w:p>
        </w:tc>
        <w:tc>
          <w:tcPr>
            <w:tcW w:type="dxa" w:w="720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str</w:t>
            </w:r>
          </w:p>
        </w:tc>
        <w:tc>
          <w:tcPr>
            <w:tcW w:type="dxa" w:w="5472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Hu Huanyong Line classification: 东南侧 (Southeast) / 西北侧 (Northwest).</w:t>
            </w:r>
          </w:p>
        </w:tc>
      </w:tr>
    </w:tbl>
    <w:p/>
    <w:p>
      <w:pPr>
        <w:spacing w:before="200" w:after="80"/>
      </w:pPr>
      <w:r>
        <w:rPr>
          <w:b/>
          <w:color w:val="1F4E79"/>
          <w:sz w:val="23"/>
        </w:rPr>
        <w:t>2. Policy Treatment Variables (4 variables)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fill="1F4E79" w:val="clear"/>
          </w:tcPr>
          <w:p>
            <w:r/>
            <w:r>
              <w:rPr>
                <w:rFonts w:ascii="Times New Roman" w:hAnsi="Times New Roman"/>
                <w:b/>
                <w:color w:val="FFFFFF"/>
                <w:sz w:val="18"/>
              </w:rPr>
              <w:t>Variable</w:t>
            </w:r>
          </w:p>
        </w:tc>
        <w:tc>
          <w:tcPr>
            <w:tcW w:type="dxa" w:w="1152"/>
            <w:shd w:fill="1F4E79" w:val="clear"/>
          </w:tcPr>
          <w:p>
            <w:r/>
            <w:r>
              <w:rPr>
                <w:rFonts w:ascii="Times New Roman" w:hAnsi="Times New Roman"/>
                <w:b/>
                <w:color w:val="FFFFFF"/>
                <w:sz w:val="18"/>
              </w:rPr>
              <w:t>Stata Label</w:t>
            </w:r>
          </w:p>
        </w:tc>
        <w:tc>
          <w:tcPr>
            <w:tcW w:type="dxa" w:w="720"/>
            <w:shd w:fill="1F4E79" w:val="clear"/>
          </w:tcPr>
          <w:p>
            <w:r/>
            <w:r>
              <w:rPr>
                <w:rFonts w:ascii="Times New Roman" w:hAnsi="Times New Roman"/>
                <w:b/>
                <w:color w:val="FFFFFF"/>
                <w:sz w:val="18"/>
              </w:rPr>
              <w:t>Type</w:t>
            </w:r>
          </w:p>
        </w:tc>
        <w:tc>
          <w:tcPr>
            <w:tcW w:type="dxa" w:w="4032"/>
            <w:shd w:fill="1F4E79" w:val="clear"/>
          </w:tcPr>
          <w:p>
            <w:r/>
            <w:r>
              <w:rPr>
                <w:rFonts w:ascii="Times New Roman" w:hAnsi="Times New Roman"/>
                <w:b/>
                <w:color w:val="FFFFFF"/>
                <w:sz w:val="18"/>
              </w:rPr>
              <w:t>Description</w:t>
            </w:r>
          </w:p>
        </w:tc>
        <w:tc>
          <w:tcPr>
            <w:tcW w:type="dxa" w:w="1440"/>
            <w:shd w:fill="1F4E79" w:val="clear"/>
          </w:tcPr>
          <w:p>
            <w:r/>
            <w:r>
              <w:rPr>
                <w:rFonts w:ascii="Times New Roman" w:hAnsi="Times New Roman"/>
                <w:b/>
                <w:color w:val="FFFFFF"/>
                <w:sz w:val="18"/>
              </w:rPr>
              <w:t>Source</w:t>
            </w:r>
          </w:p>
        </w:tc>
      </w:tr>
      <w:tr>
        <w:tc>
          <w:tcPr>
            <w:tcW w:type="dxa" w:w="1728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跨境电商试验区批复时间</w:t>
            </w:r>
          </w:p>
        </w:tc>
        <w:tc>
          <w:tcPr>
            <w:tcW w:type="dxa" w:w="1152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"跨境电商试验区"批复时间</w:t>
            </w:r>
          </w:p>
        </w:tc>
        <w:tc>
          <w:tcPr>
            <w:tcW w:type="dxa" w:w="720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str</w:t>
            </w:r>
          </w:p>
        </w:tc>
        <w:tc>
          <w:tcPr>
            <w:tcW w:type="dxa" w:w="4032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Year in which the city was approved as a CBEC-CPZ (cross-border e-commerce comprehensive pilot zone). Serves as birthyear for parallel-trends event study (§4.2).</w:t>
            </w:r>
          </w:p>
        </w:tc>
        <w:tc>
          <w:tcPr>
            <w:tcW w:type="dxa" w:w="1440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State Council documents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Times New Roman" w:hAnsi="Times New Roman"/>
                <w:sz w:val="17"/>
              </w:rPr>
              <w:t>treat</w:t>
            </w:r>
          </w:p>
        </w:tc>
        <w:tc>
          <w:tcPr>
            <w:tcW w:type="dxa" w:w="1152"/>
          </w:tcPr>
          <w:p>
            <w:r/>
            <w:r>
              <w:rPr>
                <w:rFonts w:ascii="Times New Roman" w:hAnsi="Times New Roman"/>
                <w:sz w:val="17"/>
              </w:rPr>
              <w:t>Treat</w:t>
            </w:r>
          </w:p>
        </w:tc>
        <w:tc>
          <w:tcPr>
            <w:tcW w:type="dxa" w:w="720"/>
          </w:tcPr>
          <w:p>
            <w:r/>
            <w:r>
              <w:rPr>
                <w:rFonts w:ascii="Times New Roman" w:hAnsi="Times New Roman"/>
                <w:sz w:val="17"/>
              </w:rPr>
              <w:t>float</w:t>
            </w:r>
          </w:p>
        </w:tc>
        <w:tc>
          <w:tcPr>
            <w:tcW w:type="dxa" w:w="4032"/>
          </w:tcPr>
          <w:p>
            <w:r/>
            <w:r>
              <w:rPr>
                <w:rFonts w:ascii="Times New Roman" w:hAnsi="Times New Roman"/>
                <w:sz w:val="17"/>
              </w:rPr>
              <w:t>Treatment-group dummy: 1 if the city is ever designated a CBEC-CPZ during the sample period; 0 otherwise (141 of 297 cities are treatment units).</w:t>
            </w:r>
          </w:p>
        </w:tc>
        <w:tc>
          <w:tcPr>
            <w:tcW w:type="dxa" w:w="1440"/>
          </w:tcPr>
          <w:p>
            <w:r/>
            <w:r>
              <w:rPr>
                <w:rFonts w:ascii="Times New Roman" w:hAnsi="Times New Roman"/>
                <w:sz w:val="17"/>
              </w:rPr>
              <w:t>Constructed by authors</w:t>
            </w:r>
          </w:p>
        </w:tc>
      </w:tr>
      <w:tr>
        <w:tc>
          <w:tcPr>
            <w:tcW w:type="dxa" w:w="1728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post</w:t>
            </w:r>
          </w:p>
        </w:tc>
        <w:tc>
          <w:tcPr>
            <w:tcW w:type="dxa" w:w="1152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Post</w:t>
            </w:r>
          </w:p>
        </w:tc>
        <w:tc>
          <w:tcPr>
            <w:tcW w:type="dxa" w:w="720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float</w:t>
            </w:r>
          </w:p>
        </w:tc>
        <w:tc>
          <w:tcPr>
            <w:tcW w:type="dxa" w:w="4032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Post-treatment dummy: 1 if 年份 ≥ 跨境电商试验区批复时间 (approval year and later); 0 before.</w:t>
            </w:r>
          </w:p>
        </w:tc>
        <w:tc>
          <w:tcPr>
            <w:tcW w:type="dxa" w:w="1440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Constructed by authors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Times New Roman" w:hAnsi="Times New Roman"/>
                <w:sz w:val="17"/>
              </w:rPr>
              <w:t>did</w:t>
            </w:r>
          </w:p>
        </w:tc>
        <w:tc>
          <w:tcPr>
            <w:tcW w:type="dxa" w:w="1152"/>
          </w:tcPr>
          <w:p>
            <w:r/>
            <w:r>
              <w:rPr>
                <w:rFonts w:ascii="Times New Roman" w:hAnsi="Times New Roman"/>
                <w:sz w:val="17"/>
              </w:rPr>
              <w:t>DID</w:t>
            </w:r>
          </w:p>
        </w:tc>
        <w:tc>
          <w:tcPr>
            <w:tcW w:type="dxa" w:w="720"/>
          </w:tcPr>
          <w:p>
            <w:r/>
            <w:r>
              <w:rPr>
                <w:rFonts w:ascii="Times New Roman" w:hAnsi="Times New Roman"/>
                <w:sz w:val="17"/>
              </w:rPr>
              <w:t>float</w:t>
            </w:r>
          </w:p>
        </w:tc>
        <w:tc>
          <w:tcPr>
            <w:tcW w:type="dxa" w:w="4032"/>
          </w:tcPr>
          <w:p>
            <w:r/>
            <w:r>
              <w:rPr>
                <w:rFonts w:ascii="Times New Roman" w:hAnsi="Times New Roman"/>
                <w:sz w:val="17"/>
              </w:rPr>
              <w:t>Difference-in-differences interaction term: did = treat × post. Core explanatory variable in the baseline specification (§4.1).</w:t>
            </w:r>
          </w:p>
        </w:tc>
        <w:tc>
          <w:tcPr>
            <w:tcW w:type="dxa" w:w="1440"/>
          </w:tcPr>
          <w:p>
            <w:r/>
            <w:r>
              <w:rPr>
                <w:rFonts w:ascii="Times New Roman" w:hAnsi="Times New Roman"/>
                <w:sz w:val="17"/>
              </w:rPr>
              <w:t>Constructed by authors</w:t>
            </w:r>
          </w:p>
        </w:tc>
      </w:tr>
    </w:tbl>
    <w:p/>
    <w:p>
      <w:pPr>
        <w:spacing w:before="200" w:after="80"/>
      </w:pPr>
      <w:r>
        <w:rPr>
          <w:b/>
          <w:color w:val="1F4E79"/>
          <w:sz w:val="23"/>
        </w:rPr>
        <w:t>3. Dependent Variable (1 variable)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fill="1F4E79" w:val="clear"/>
          </w:tcPr>
          <w:p>
            <w:r/>
            <w:r>
              <w:rPr>
                <w:rFonts w:ascii="Times New Roman" w:hAnsi="Times New Roman"/>
                <w:b/>
                <w:color w:val="FFFFFF"/>
                <w:sz w:val="18"/>
              </w:rPr>
              <w:t>Variable</w:t>
            </w:r>
          </w:p>
        </w:tc>
        <w:tc>
          <w:tcPr>
            <w:tcW w:type="dxa" w:w="1152"/>
            <w:shd w:fill="1F4E79" w:val="clear"/>
          </w:tcPr>
          <w:p>
            <w:r/>
            <w:r>
              <w:rPr>
                <w:rFonts w:ascii="Times New Roman" w:hAnsi="Times New Roman"/>
                <w:b/>
                <w:color w:val="FFFFFF"/>
                <w:sz w:val="18"/>
              </w:rPr>
              <w:t>Stata Label</w:t>
            </w:r>
          </w:p>
        </w:tc>
        <w:tc>
          <w:tcPr>
            <w:tcW w:type="dxa" w:w="720"/>
            <w:shd w:fill="1F4E79" w:val="clear"/>
          </w:tcPr>
          <w:p>
            <w:r/>
            <w:r>
              <w:rPr>
                <w:rFonts w:ascii="Times New Roman" w:hAnsi="Times New Roman"/>
                <w:b/>
                <w:color w:val="FFFFFF"/>
                <w:sz w:val="18"/>
              </w:rPr>
              <w:t>Type</w:t>
            </w:r>
          </w:p>
        </w:tc>
        <w:tc>
          <w:tcPr>
            <w:tcW w:type="dxa" w:w="4032"/>
            <w:shd w:fill="1F4E79" w:val="clear"/>
          </w:tcPr>
          <w:p>
            <w:r/>
            <w:r>
              <w:rPr>
                <w:rFonts w:ascii="Times New Roman" w:hAnsi="Times New Roman"/>
                <w:b/>
                <w:color w:val="FFFFFF"/>
                <w:sz w:val="18"/>
              </w:rPr>
              <w:t>Description</w:t>
            </w:r>
          </w:p>
        </w:tc>
        <w:tc>
          <w:tcPr>
            <w:tcW w:type="dxa" w:w="1440"/>
            <w:shd w:fill="1F4E79" w:val="clear"/>
          </w:tcPr>
          <w:p>
            <w:r/>
            <w:r>
              <w:rPr>
                <w:rFonts w:ascii="Times New Roman" w:hAnsi="Times New Roman"/>
                <w:b/>
                <w:color w:val="FFFFFF"/>
                <w:sz w:val="18"/>
              </w:rPr>
              <w:t>Source</w:t>
            </w:r>
          </w:p>
        </w:tc>
      </w:tr>
      <w:tr>
        <w:tc>
          <w:tcPr>
            <w:tcW w:type="dxa" w:w="1728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Ent</w:t>
            </w:r>
          </w:p>
        </w:tc>
        <w:tc>
          <w:tcPr>
            <w:tcW w:type="dxa" w:w="1152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(none)</w:t>
            </w:r>
          </w:p>
        </w:tc>
        <w:tc>
          <w:tcPr>
            <w:tcW w:type="dxa" w:w="720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float</w:t>
            </w:r>
          </w:p>
        </w:tc>
        <w:tc>
          <w:tcPr>
            <w:tcW w:type="dxa" w:w="4032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Entrepreneurial activity: number of newly registered enterprises per 100 residents (city-year level), constructed as 注册企业数 ÷ 常住人口数(万人) ÷ 100. This is the dependent variable in all regressions. The raw enterprise count (注册企业数) and the intermediate non-log activity series (创业活跃度) are not used in estimation.</w:t>
            </w:r>
          </w:p>
        </w:tc>
        <w:tc>
          <w:tcPr>
            <w:tcW w:type="dxa" w:w="1440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National Enterprise Credit Information Publicity System, State Administration for Market Regulation (SAMR)</w:t>
            </w:r>
          </w:p>
        </w:tc>
      </w:tr>
    </w:tbl>
    <w:p/>
    <w:p>
      <w:pPr>
        <w:spacing w:before="200" w:after="80"/>
      </w:pPr>
      <w:r>
        <w:rPr>
          <w:b/>
          <w:color w:val="1F4E79"/>
          <w:sz w:val="23"/>
        </w:rPr>
        <w:t>4. Control Variables (4 variables)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fill="1F4E79" w:val="clear"/>
          </w:tcPr>
          <w:p>
            <w:r/>
            <w:r>
              <w:rPr>
                <w:rFonts w:ascii="Times New Roman" w:hAnsi="Times New Roman"/>
                <w:b/>
                <w:color w:val="FFFFFF"/>
                <w:sz w:val="18"/>
              </w:rPr>
              <w:t>Variable</w:t>
            </w:r>
          </w:p>
        </w:tc>
        <w:tc>
          <w:tcPr>
            <w:tcW w:type="dxa" w:w="1152"/>
            <w:shd w:fill="1F4E79" w:val="clear"/>
          </w:tcPr>
          <w:p>
            <w:r/>
            <w:r>
              <w:rPr>
                <w:rFonts w:ascii="Times New Roman" w:hAnsi="Times New Roman"/>
                <w:b/>
                <w:color w:val="FFFFFF"/>
                <w:sz w:val="18"/>
              </w:rPr>
              <w:t>Stata Label</w:t>
            </w:r>
          </w:p>
        </w:tc>
        <w:tc>
          <w:tcPr>
            <w:tcW w:type="dxa" w:w="720"/>
            <w:shd w:fill="1F4E79" w:val="clear"/>
          </w:tcPr>
          <w:p>
            <w:r/>
            <w:r>
              <w:rPr>
                <w:rFonts w:ascii="Times New Roman" w:hAnsi="Times New Roman"/>
                <w:b/>
                <w:color w:val="FFFFFF"/>
                <w:sz w:val="18"/>
              </w:rPr>
              <w:t>Type</w:t>
            </w:r>
          </w:p>
        </w:tc>
        <w:tc>
          <w:tcPr>
            <w:tcW w:type="dxa" w:w="4032"/>
            <w:shd w:fill="1F4E79" w:val="clear"/>
          </w:tcPr>
          <w:p>
            <w:r/>
            <w:r>
              <w:rPr>
                <w:rFonts w:ascii="Times New Roman" w:hAnsi="Times New Roman"/>
                <w:b/>
                <w:color w:val="FFFFFF"/>
                <w:sz w:val="18"/>
              </w:rPr>
              <w:t>Description</w:t>
            </w:r>
          </w:p>
        </w:tc>
        <w:tc>
          <w:tcPr>
            <w:tcW w:type="dxa" w:w="1440"/>
            <w:shd w:fill="1F4E79" w:val="clear"/>
          </w:tcPr>
          <w:p>
            <w:r/>
            <w:r>
              <w:rPr>
                <w:rFonts w:ascii="Times New Roman" w:hAnsi="Times New Roman"/>
                <w:b/>
                <w:color w:val="FFFFFF"/>
                <w:sz w:val="18"/>
              </w:rPr>
              <w:t>Source</w:t>
            </w:r>
          </w:p>
        </w:tc>
      </w:tr>
      <w:tr>
        <w:tc>
          <w:tcPr>
            <w:tcW w:type="dxa" w:w="1728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Eco</w:t>
            </w:r>
          </w:p>
        </w:tc>
        <w:tc>
          <w:tcPr>
            <w:tcW w:type="dxa" w:w="1152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(none)</w:t>
            </w:r>
          </w:p>
        </w:tc>
        <w:tc>
          <w:tcPr>
            <w:tcW w:type="dxa" w:w="720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float</w:t>
            </w:r>
          </w:p>
        </w:tc>
        <w:tc>
          <w:tcPr>
            <w:tcW w:type="dxa" w:w="4032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Economic activity: nighttime light intensity (NTL), following Gibson et al. (2021). Proxies for local economic development level.</w:t>
            </w:r>
          </w:p>
        </w:tc>
        <w:tc>
          <w:tcPr>
            <w:tcW w:type="dxa" w:w="1440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Nighttime light remote-sensing data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Times New Roman" w:hAnsi="Times New Roman"/>
                <w:sz w:val="17"/>
              </w:rPr>
              <w:t>HC</w:t>
            </w:r>
          </w:p>
        </w:tc>
        <w:tc>
          <w:tcPr>
            <w:tcW w:type="dxa" w:w="1152"/>
          </w:tcPr>
          <w:p>
            <w:r/>
            <w:r>
              <w:rPr>
                <w:rFonts w:ascii="Times New Roman" w:hAnsi="Times New Roman"/>
                <w:sz w:val="17"/>
              </w:rPr>
              <w:t>(none)</w:t>
            </w:r>
          </w:p>
        </w:tc>
        <w:tc>
          <w:tcPr>
            <w:tcW w:type="dxa" w:w="720"/>
          </w:tcPr>
          <w:p>
            <w:r/>
            <w:r>
              <w:rPr>
                <w:rFonts w:ascii="Times New Roman" w:hAnsi="Times New Roman"/>
                <w:sz w:val="17"/>
              </w:rPr>
              <w:t>float</w:t>
            </w:r>
          </w:p>
        </w:tc>
        <w:tc>
          <w:tcPr>
            <w:tcW w:type="dxa" w:w="4032"/>
          </w:tcPr>
          <w:p>
            <w:r/>
            <w:r>
              <w:rPr>
                <w:rFonts w:ascii="Times New Roman" w:hAnsi="Times New Roman"/>
                <w:sz w:val="17"/>
              </w:rPr>
              <w:t>Human capital: number of college students per 10,000 residents (divided by 10,000), constructed as 每万人在校大学生数 ÷ 10000.</w:t>
            </w:r>
          </w:p>
        </w:tc>
        <w:tc>
          <w:tcPr>
            <w:tcW w:type="dxa" w:w="1440"/>
          </w:tcPr>
          <w:p>
            <w:r/>
            <w:r>
              <w:rPr>
                <w:rFonts w:ascii="Times New Roman" w:hAnsi="Times New Roman"/>
                <w:sz w:val="17"/>
              </w:rPr>
              <w:t>China City Statistical Yearbook; provincial statistical yearbooks</w:t>
            </w:r>
          </w:p>
        </w:tc>
      </w:tr>
      <w:tr>
        <w:tc>
          <w:tcPr>
            <w:tcW w:type="dxa" w:w="1728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Fin</w:t>
            </w:r>
          </w:p>
        </w:tc>
        <w:tc>
          <w:tcPr>
            <w:tcW w:type="dxa" w:w="1152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(none)</w:t>
            </w:r>
          </w:p>
        </w:tc>
        <w:tc>
          <w:tcPr>
            <w:tcW w:type="dxa" w:w="720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float</w:t>
            </w:r>
          </w:p>
        </w:tc>
        <w:tc>
          <w:tcPr>
            <w:tcW w:type="dxa" w:w="4032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Financial development: ratio of year-end financial institution loan balances to GDP.</w:t>
            </w:r>
          </w:p>
        </w:tc>
        <w:tc>
          <w:tcPr>
            <w:tcW w:type="dxa" w:w="1440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China City Statistical Yearbook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Times New Roman" w:hAnsi="Times New Roman"/>
                <w:sz w:val="17"/>
              </w:rPr>
              <w:t>Tec</w:t>
            </w:r>
          </w:p>
        </w:tc>
        <w:tc>
          <w:tcPr>
            <w:tcW w:type="dxa" w:w="1152"/>
          </w:tcPr>
          <w:p>
            <w:r/>
            <w:r>
              <w:rPr>
                <w:rFonts w:ascii="Times New Roman" w:hAnsi="Times New Roman"/>
                <w:sz w:val="17"/>
              </w:rPr>
              <w:t>(none)</w:t>
            </w:r>
          </w:p>
        </w:tc>
        <w:tc>
          <w:tcPr>
            <w:tcW w:type="dxa" w:w="720"/>
          </w:tcPr>
          <w:p>
            <w:r/>
            <w:r>
              <w:rPr>
                <w:rFonts w:ascii="Times New Roman" w:hAnsi="Times New Roman"/>
                <w:sz w:val="17"/>
              </w:rPr>
              <w:t>float</w:t>
            </w:r>
          </w:p>
        </w:tc>
        <w:tc>
          <w:tcPr>
            <w:tcW w:type="dxa" w:w="4032"/>
          </w:tcPr>
          <w:p>
            <w:r/>
            <w:r>
              <w:rPr>
                <w:rFonts w:ascii="Times New Roman" w:hAnsi="Times New Roman"/>
                <w:sz w:val="17"/>
              </w:rPr>
              <w:t>Technology / innovation: R&amp;D expenditure as a share of GDP.</w:t>
            </w:r>
          </w:p>
        </w:tc>
        <w:tc>
          <w:tcPr>
            <w:tcW w:type="dxa" w:w="1440"/>
          </w:tcPr>
          <w:p>
            <w:r/>
            <w:r>
              <w:rPr>
                <w:rFonts w:ascii="Times New Roman" w:hAnsi="Times New Roman"/>
                <w:sz w:val="17"/>
              </w:rPr>
              <w:t>Statistical yearbooks / S&amp;T statistics</w:t>
            </w:r>
          </w:p>
        </w:tc>
      </w:tr>
    </w:tbl>
    <w:p/>
    <w:p>
      <w:pPr>
        <w:spacing w:after="80"/>
      </w:pPr>
      <w:r>
        <w:rPr>
          <w:b w:val="0"/>
          <w:sz w:val="18"/>
        </w:rPr>
        <w:t>Note: All control variables are winsorized at the 1st and 99th percentiles, exactly as performed in the analysis do-file.</w:t>
      </w:r>
    </w:p>
    <w:p>
      <w:pPr>
        <w:spacing w:before="200" w:after="80"/>
      </w:pPr>
      <w:r>
        <w:rPr>
          <w:b/>
          <w:color w:val="1F4E79"/>
          <w:sz w:val="23"/>
        </w:rPr>
        <w:t>5. Heterogeneity Grouping Variables (3 dimensions; 所属地域 is reused from Group 1 and is not a new variable)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fill="1F4E79" w:val="clear"/>
          </w:tcPr>
          <w:p>
            <w:r/>
            <w:r>
              <w:rPr>
                <w:rFonts w:ascii="Times New Roman" w:hAnsi="Times New Roman"/>
                <w:b/>
                <w:color w:val="FFFFFF"/>
                <w:sz w:val="18"/>
              </w:rPr>
              <w:t>Variable</w:t>
            </w:r>
          </w:p>
        </w:tc>
        <w:tc>
          <w:tcPr>
            <w:tcW w:type="dxa" w:w="1152"/>
            <w:shd w:fill="1F4E79" w:val="clear"/>
          </w:tcPr>
          <w:p>
            <w:r/>
            <w:r>
              <w:rPr>
                <w:rFonts w:ascii="Times New Roman" w:hAnsi="Times New Roman"/>
                <w:b/>
                <w:color w:val="FFFFFF"/>
                <w:sz w:val="18"/>
              </w:rPr>
              <w:t>Stata Label</w:t>
            </w:r>
          </w:p>
        </w:tc>
        <w:tc>
          <w:tcPr>
            <w:tcW w:type="dxa" w:w="720"/>
            <w:shd w:fill="1F4E79" w:val="clear"/>
          </w:tcPr>
          <w:p>
            <w:r/>
            <w:r>
              <w:rPr>
                <w:rFonts w:ascii="Times New Roman" w:hAnsi="Times New Roman"/>
                <w:b/>
                <w:color w:val="FFFFFF"/>
                <w:sz w:val="18"/>
              </w:rPr>
              <w:t>Type</w:t>
            </w:r>
          </w:p>
        </w:tc>
        <w:tc>
          <w:tcPr>
            <w:tcW w:type="dxa" w:w="4032"/>
            <w:shd w:fill="1F4E79" w:val="clear"/>
          </w:tcPr>
          <w:p>
            <w:r/>
            <w:r>
              <w:rPr>
                <w:rFonts w:ascii="Times New Roman" w:hAnsi="Times New Roman"/>
                <w:b/>
                <w:color w:val="FFFFFF"/>
                <w:sz w:val="18"/>
              </w:rPr>
              <w:t>Description</w:t>
            </w:r>
          </w:p>
        </w:tc>
        <w:tc>
          <w:tcPr>
            <w:tcW w:type="dxa" w:w="1440"/>
            <w:shd w:fill="1F4E79" w:val="clear"/>
          </w:tcPr>
          <w:p>
            <w:r/>
            <w:r>
              <w:rPr>
                <w:rFonts w:ascii="Times New Roman" w:hAnsi="Times New Roman"/>
                <w:b/>
                <w:color w:val="FFFFFF"/>
                <w:sz w:val="18"/>
              </w:rPr>
              <w:t>Source</w:t>
            </w:r>
          </w:p>
        </w:tc>
      </w:tr>
      <w:tr>
        <w:tc>
          <w:tcPr>
            <w:tcW w:type="dxa" w:w="1728"/>
          </w:tcPr>
          <w:p>
            <w:r>
              <w:t>所属地域</w:t>
            </w:r>
          </w:p>
        </w:tc>
        <w:tc>
          <w:tcPr>
            <w:tcW w:type="dxa" w:w="1728"/>
          </w:tcPr>
          <w:p>
            <w:r>
              <w:t>(none)</w:t>
            </w:r>
          </w:p>
        </w:tc>
        <w:tc>
          <w:tcPr>
            <w:tcW w:type="dxa" w:w="1728"/>
          </w:tcPr>
          <w:p>
            <w:r>
              <w:t>str</w:t>
            </w:r>
          </w:p>
        </w:tc>
        <w:tc>
          <w:tcPr>
            <w:tcW w:type="dxa" w:w="1728"/>
          </w:tcPr>
          <w:p>
            <w:r>
              <w:t>City-location heterogeneity (manuscript Section 6.1): the full sample is split into East (东部), Central (中部), and West (西部) sub-samples, each estimated separately with reghdfe Ent did Eco HC Fin Tec if 所属地域=="东部"/"中部"/"西部". This variable is also an identifier listed in Group 1 (Table 0); it is repeated here only to document its role as the heterogeneity split, and is NOT a separate variable.</w:t>
            </w:r>
          </w:p>
        </w:tc>
        <w:tc>
          <w:tcPr>
            <w:tcW w:type="dxa" w:w="1728"/>
          </w:tcPr>
          <w:p>
            <w:r>
              <w:t>China City Statistical Yearbook (regional classification)</w:t>
            </w:r>
          </w:p>
        </w:tc>
      </w:tr>
      <w:tr>
        <w:tc>
          <w:tcPr>
            <w:tcW w:type="dxa" w:w="1728"/>
          </w:tcPr>
          <w:p>
            <w:r>
              <w:t>教育支出水平</w:t>
            </w:r>
          </w:p>
        </w:tc>
        <w:tc>
          <w:tcPr>
            <w:tcW w:type="dxa" w:w="1728"/>
          </w:tcPr>
          <w:p>
            <w:r>
              <w:t>(none)</w:t>
            </w:r>
          </w:p>
        </w:tc>
        <w:tc>
          <w:tcPr>
            <w:tcW w:type="dxa" w:w="1728"/>
          </w:tcPr>
          <w:p>
            <w:r>
              <w:t>float</w:t>
            </w:r>
          </w:p>
        </w:tc>
        <w:tc>
          <w:tcPr>
            <w:tcW w:type="dxa" w:w="1728"/>
          </w:tcPr>
          <w:p>
            <w:r>
              <w:t>Education-expenditure heterogeneity (manuscript Section 6.2): sample split at the sample mean (教育支出水平 &gt; 0.0325745) into high- and low-education-expenditure groups.</w:t>
            </w:r>
          </w:p>
        </w:tc>
        <w:tc>
          <w:tcPr>
            <w:tcW w:type="dxa" w:w="1728"/>
          </w:tcPr>
          <w:p>
            <w:r>
              <w:t>China City Statistical Yearbook; fiscal statistics</w:t>
            </w:r>
          </w:p>
        </w:tc>
      </w:tr>
      <w:tr>
        <w:tc>
          <w:tcPr>
            <w:tcW w:type="dxa" w:w="1728"/>
          </w:tcPr>
          <w:p>
            <w:r>
              <w:t>对外开放水平</w:t>
            </w:r>
          </w:p>
        </w:tc>
        <w:tc>
          <w:tcPr>
            <w:tcW w:type="dxa" w:w="1728"/>
          </w:tcPr>
          <w:p>
            <w:r>
              <w:t>(none)</w:t>
            </w:r>
          </w:p>
        </w:tc>
        <w:tc>
          <w:tcPr>
            <w:tcW w:type="dxa" w:w="1728"/>
          </w:tcPr>
          <w:p>
            <w:r>
              <w:t>float</w:t>
            </w:r>
          </w:p>
        </w:tc>
        <w:tc>
          <w:tcPr>
            <w:tcW w:type="dxa" w:w="1728"/>
          </w:tcPr>
          <w:p>
            <w:r>
              <w:t>Trade-openness heterogeneity (manuscript Section 6.3): sample split at the sample mean (对外开放水平 &gt; 0.1967031) into high- and low-openness groups. Also generated as Open in the robustness checks (manuscript Section 4 robustness).</w:t>
            </w:r>
          </w:p>
        </w:tc>
        <w:tc>
          <w:tcPr>
            <w:tcW w:type="dxa" w:w="1728"/>
          </w:tcPr>
          <w:p>
            <w:r>
              <w:t>China City Statistical Yearbook; provincial statistical bulletins</w:t>
            </w:r>
          </w:p>
        </w:tc>
      </w:tr>
    </w:tbl>
    <w:p/>
    <w:p>
      <w:pPr>
        <w:spacing w:after="80"/>
      </w:pPr>
      <w:r>
        <w:rPr>
          <w:b w:val="0"/>
          <w:sz w:val="18"/>
        </w:rPr>
        <w:t>Note: In the analytical dta, 对外开放水平 and 教育支出水平 are already destringed to numeric (float); the analysis do-file creates Open from 对外开放水平. (财政收支压力 is also destringed here, but it is used as a mechanism variable — see Group 6.) The three heterogeneity dimensions (city location, education expenditure, trade openness) correspond to manuscript Section 6.1–6.3. 所属地域 is reused from Group 1 (Table 0) and is not counted again here; the two unique grouping variables are 教育支出水平 and 对外开放水平.</w:t>
      </w:r>
    </w:p>
    <w:p>
      <w:pPr>
        <w:spacing w:before="200" w:after="80"/>
      </w:pPr>
      <w:r>
        <w:rPr>
          <w:b/>
          <w:color w:val="1F4E79"/>
          <w:sz w:val="23"/>
        </w:rPr>
        <w:t>6. Mechanism Variables  (3 variables, tested in Section 5 — Mechanism Analysis, Table 4)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fill="1F4E79" w:val="clear"/>
          </w:tcPr>
          <w:p>
            <w:r/>
            <w:r>
              <w:rPr>
                <w:rFonts w:ascii="Times New Roman" w:hAnsi="Times New Roman"/>
                <w:b/>
                <w:color w:val="FFFFFF"/>
                <w:sz w:val="18"/>
              </w:rPr>
              <w:t>Variable</w:t>
            </w:r>
          </w:p>
        </w:tc>
        <w:tc>
          <w:tcPr>
            <w:tcW w:type="dxa" w:w="1152"/>
            <w:shd w:fill="1F4E79" w:val="clear"/>
          </w:tcPr>
          <w:p>
            <w:r/>
            <w:r>
              <w:rPr>
                <w:rFonts w:ascii="Times New Roman" w:hAnsi="Times New Roman"/>
                <w:b/>
                <w:color w:val="FFFFFF"/>
                <w:sz w:val="18"/>
              </w:rPr>
              <w:t>Stata Label</w:t>
            </w:r>
          </w:p>
        </w:tc>
        <w:tc>
          <w:tcPr>
            <w:tcW w:type="dxa" w:w="720"/>
            <w:shd w:fill="1F4E79" w:val="clear"/>
          </w:tcPr>
          <w:p>
            <w:r/>
            <w:r>
              <w:rPr>
                <w:rFonts w:ascii="Times New Roman" w:hAnsi="Times New Roman"/>
                <w:b/>
                <w:color w:val="FFFFFF"/>
                <w:sz w:val="18"/>
              </w:rPr>
              <w:t>Type</w:t>
            </w:r>
          </w:p>
        </w:tc>
        <w:tc>
          <w:tcPr>
            <w:tcW w:type="dxa" w:w="4032"/>
            <w:shd w:fill="1F4E79" w:val="clear"/>
          </w:tcPr>
          <w:p>
            <w:r/>
            <w:r>
              <w:rPr>
                <w:rFonts w:ascii="Times New Roman" w:hAnsi="Times New Roman"/>
                <w:b/>
                <w:color w:val="FFFFFF"/>
                <w:sz w:val="18"/>
              </w:rPr>
              <w:t>Description</w:t>
            </w:r>
          </w:p>
        </w:tc>
        <w:tc>
          <w:tcPr>
            <w:tcW w:type="dxa" w:w="1440"/>
            <w:shd w:fill="1F4E79" w:val="clear"/>
          </w:tcPr>
          <w:p>
            <w:r/>
            <w:r>
              <w:rPr>
                <w:rFonts w:ascii="Times New Roman" w:hAnsi="Times New Roman"/>
                <w:b/>
                <w:color w:val="FFFFFF"/>
                <w:sz w:val="18"/>
              </w:rPr>
              <w:t>Source</w:t>
            </w:r>
          </w:p>
        </w:tc>
      </w:tr>
      <w:tr>
        <w:tc>
          <w:tcPr>
            <w:tcW w:type="dxa" w:w="1728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Dighum</w:t>
            </w:r>
          </w:p>
        </w:tc>
        <w:tc>
          <w:tcPr>
            <w:tcW w:type="dxa" w:w="1152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数字人才机制：信息传输、软件和信息技术服务业从业人员数（万人，回归填补版）</w:t>
            </w:r>
          </w:p>
        </w:tc>
        <w:tc>
          <w:tcPr>
            <w:tcW w:type="dxa" w:w="720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float</w:t>
            </w:r>
          </w:p>
        </w:tc>
        <w:tc>
          <w:tcPr>
            <w:tcW w:type="dxa" w:w="4032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Digital talent agglomeration: employment in the information transmission, computer services, and software industry (in 10,000 persons). Missing values are imputed by regression fill (786 observations completed). Mechanism variable for the digital-talent channel (Table 4, Column 1).</w:t>
            </w:r>
          </w:p>
        </w:tc>
        <w:tc>
          <w:tcPr>
            <w:tcW w:type="dxa" w:w="1440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Peking University Open Research Data Platform; provincial statistical yearbooks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Times New Roman" w:hAnsi="Times New Roman"/>
                <w:sz w:val="17"/>
              </w:rPr>
              <w:t>财政收支压力</w:t>
            </w:r>
          </w:p>
        </w:tc>
        <w:tc>
          <w:tcPr>
            <w:tcW w:type="dxa" w:w="1152"/>
          </w:tcPr>
          <w:p>
            <w:r/>
            <w:r>
              <w:rPr>
                <w:rFonts w:ascii="Times New Roman" w:hAnsi="Times New Roman"/>
                <w:sz w:val="17"/>
              </w:rPr>
              <w:t>(none)</w:t>
            </w:r>
          </w:p>
        </w:tc>
        <w:tc>
          <w:tcPr>
            <w:tcW w:type="dxa" w:w="720"/>
          </w:tcPr>
          <w:p>
            <w:r/>
            <w:r>
              <w:rPr>
                <w:rFonts w:ascii="Times New Roman" w:hAnsi="Times New Roman"/>
                <w:sz w:val="17"/>
              </w:rPr>
              <w:t>float</w:t>
            </w:r>
          </w:p>
        </w:tc>
        <w:tc>
          <w:tcPr>
            <w:tcW w:type="dxa" w:w="4032"/>
          </w:tcPr>
          <w:p>
            <w:r/>
            <w:r>
              <w:rPr>
                <w:rFonts w:ascii="Times New Roman" w:hAnsi="Times New Roman"/>
                <w:sz w:val="17"/>
              </w:rPr>
              <w:t>Fiscal revenue–expenditure pressure: (local general public budget expenditure − local general public budget revenue) / GDP. Stored as 财政收支压力 in the analytical dta; the analysis do-file generates gen Fiscal = 财政收支压力 and uses it as the mechanism variable for the fiscal-pressure channel (Table 4, Column 2).</w:t>
            </w:r>
          </w:p>
        </w:tc>
        <w:tc>
          <w:tcPr>
            <w:tcW w:type="dxa" w:w="1440"/>
          </w:tcPr>
          <w:p>
            <w:r/>
            <w:r>
              <w:rPr>
                <w:rFonts w:ascii="Times New Roman" w:hAnsi="Times New Roman"/>
                <w:sz w:val="17"/>
              </w:rPr>
              <w:t>China City Statistical Yearbook; fiscal statistics</w:t>
            </w:r>
          </w:p>
        </w:tc>
      </w:tr>
      <w:tr>
        <w:tc>
          <w:tcPr>
            <w:tcW w:type="dxa" w:w="1728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DigF</w:t>
            </w:r>
          </w:p>
        </w:tc>
        <w:tc>
          <w:tcPr>
            <w:tcW w:type="dxa" w:w="1152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数字基础设施机制：政府工作报告中新型数字基础设施关键词占比×100</w:t>
            </w:r>
          </w:p>
        </w:tc>
        <w:tc>
          <w:tcPr>
            <w:tcW w:type="dxa" w:w="720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float</w:t>
            </w:r>
          </w:p>
        </w:tc>
        <w:tc>
          <w:tcPr>
            <w:tcW w:type="dxa" w:w="4032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Digital infrastructure development: share (× 100) of keywords related to "new-type digital infrastructure" in municipal government work reports, based on text-mining of all 297 cities' annual work reports. Mechanism variable for the digital-infrastructure channel (Table 4, Column 3).</w:t>
            </w:r>
          </w:p>
        </w:tc>
        <w:tc>
          <w:tcPr>
            <w:tcW w:type="dxa" w:w="1440"/>
            <w:shd w:fill="F2F7FB" w:val="clear"/>
          </w:tcPr>
          <w:p>
            <w:r/>
            <w:r>
              <w:rPr>
                <w:rFonts w:ascii="Times New Roman" w:hAnsi="Times New Roman"/>
                <w:sz w:val="17"/>
              </w:rPr>
              <w:t>Municipal government work reports; keyword frequency data (Peking University Open Research Data Platform)</w:t>
            </w:r>
          </w:p>
        </w:tc>
      </w:tr>
    </w:tbl>
    <w:p/>
    <w:p>
      <w:pPr>
        <w:spacing w:after="80"/>
      </w:pPr>
      <w:r>
        <w:rPr>
          <w:b w:val="0"/>
          <w:sz w:val="18"/>
        </w:rPr>
        <w:t>Note: In the analysis do-file these three variables are regressed on did separately as m1 (Dighum), m2 (Fiscal = 财政收支压力), and m3 (DigF), then exported together via esttab m1 m2 m3 using 机制.rtf — corresponding to Columns (1)–(3) of Table 4 in the manuscript.</w:t>
      </w:r>
    </w:p>
    <w:p>
      <w:pPr>
        <w:spacing w:before="200" w:after="80"/>
      </w:pPr>
      <w:r>
        <w:rPr>
          <w:b/>
          <w:color w:val="1F4E79"/>
          <w:sz w:val="23"/>
        </w:rPr>
        <w:t>7. Missing Values Protocol</w:t>
      </w:r>
    </w:p>
    <w:p>
      <w:pPr>
        <w:spacing w:after="80"/>
      </w:pPr>
      <w:r>
        <w:rPr>
          <w:b w:val="0"/>
          <w:sz w:val="20"/>
        </w:rPr>
        <w:t>This dataset inherits the cleaning decisions applied in build_integrated.do:</w:t>
      </w:r>
    </w:p>
    <w:p>
      <w:pPr>
        <w:pStyle w:val="ListBullet"/>
      </w:pPr>
      <w:r>
        <w:rPr>
          <w:sz w:val="19"/>
        </w:rPr>
        <w:t>All variables except the three character-stored variables (财政收支压力, 教育支出水平, 对外开放水平) retain their original type and values from the raw panel.</w:t>
      </w:r>
    </w:p>
    <w:p>
      <w:pPr>
        <w:pStyle w:val="ListBullet"/>
      </w:pPr>
      <w:r>
        <w:rPr>
          <w:sz w:val="19"/>
        </w:rPr>
        <w:t>财政收支压力, 教育支出水平, 对外开放水平 are destringed from string to numeric (force). Non-numeric strings become system missing (.).</w:t>
      </w:r>
    </w:p>
    <w:p>
      <w:pPr>
        <w:pStyle w:val="ListBullet"/>
      </w:pPr>
      <w:r>
        <w:rPr>
          <w:sz w:val="19"/>
        </w:rPr>
        <w:t>Dighum (information-transmission employment): 786 observations are regression-imputed; the column variable label indicates this.</w:t>
      </w:r>
    </w:p>
    <w:p>
      <w:pPr>
        <w:pStyle w:val="ListBullet"/>
      </w:pPr>
      <w:r>
        <w:rPr>
          <w:sz w:val="19"/>
        </w:rPr>
        <w:t>Eco (nighttime light): partial missing to the raw data source limitation; regression routines (reghdfe) exclude missing-variable observations automatically.</w:t>
      </w:r>
    </w:p>
    <w:p>
      <w:pPr>
        <w:pStyle w:val="ListBullet"/>
      </w:pPr>
      <w:r>
        <w:rPr>
          <w:sz w:val="19"/>
        </w:rPr>
        <w:t>HC (years of schooling): partial missing as above.</w:t>
      </w:r>
    </w:p>
    <w:p>
      <w:pPr>
        <w:pStyle w:val="ListBullet"/>
      </w:pPr>
      <w:r>
        <w:rPr>
          <w:sz w:val="19"/>
        </w:rPr>
        <w:t>All continuous variables used in regressions are winsorized at the 1st and 99th percentiles within the analysis do-file.</w:t>
      </w:r>
    </w:p>
    <w:p>
      <w:pPr>
        <w:spacing w:before="200" w:after="80"/>
      </w:pPr>
      <w:r>
        <w:rPr>
          <w:b/>
          <w:color w:val="1F4E79"/>
          <w:sz w:val="23"/>
        </w:rPr>
        <w:t>8. Replication Order</w:t>
      </w:r>
    </w:p>
    <w:p>
      <w:pPr>
        <w:spacing w:after="80"/>
      </w:pPr>
      <w:r>
        <w:rPr>
          <w:b w:val="0"/>
          <w:sz w:val="20"/>
        </w:rPr>
        <w:t>To replicate all results referenced in this codebook:</w:t>
      </w:r>
    </w:p>
    <w:p>
      <w:pPr>
        <w:pStyle w:val="ListNumber"/>
      </w:pPr>
      <w:r>
        <w:rPr>
          <w:sz w:val="19"/>
        </w:rPr>
        <w:t>Place all files in a single directory.</w:t>
      </w:r>
    </w:p>
    <w:p>
      <w:pPr>
        <w:pStyle w:val="ListNumber"/>
      </w:pPr>
      <w:r>
        <w:rPr>
          <w:sz w:val="19"/>
        </w:rPr>
        <w:t>In Stata, do build_integrated.do (generates HSSC_analytic.dta from HSSC_raw_panel.dta).</w:t>
      </w:r>
    </w:p>
    <w:p>
      <w:pPr>
        <w:pStyle w:val="ListNumber"/>
      </w:pPr>
      <w:r>
        <w:rPr>
          <w:sz w:val="19"/>
        </w:rPr>
        <w:t>do replicate_results.do (loads HSSC_analytic.dta and reproduces all tables and figures).</w:t>
      </w:r>
    </w:p>
    <w:p>
      <w:pPr>
        <w:pStyle w:val="ListNumber"/>
      </w:pPr>
      <w:r>
        <w:rPr>
          <w:sz w:val="19"/>
        </w:rPr>
        <w:t>Required user-written packages: winsor2, reghdfe, esttab, coefplot, logout (auto-installed by ssc install blocks).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