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878DD" w14:textId="77777777" w:rsidR="0037689E" w:rsidRPr="00E5096C" w:rsidRDefault="0037689E" w:rsidP="0037689E">
      <w:pPr>
        <w:rPr>
          <w:rFonts w:ascii="Times New Roman" w:hAnsi="Times New Roman" w:cs="Times New Roman"/>
          <w:b/>
          <w:bCs/>
          <w:color w:val="00B050"/>
        </w:rPr>
      </w:pPr>
      <w:r w:rsidRPr="00E5096C">
        <w:rPr>
          <w:rFonts w:ascii="Times New Roman" w:hAnsi="Times New Roman" w:cs="Times New Roman"/>
          <w:b/>
          <w:bCs/>
          <w:color w:val="00B050"/>
        </w:rPr>
        <w:t>Appendix 1</w:t>
      </w:r>
    </w:p>
    <w:p w14:paraId="35D1A81A" w14:textId="77777777" w:rsidR="0037689E" w:rsidRPr="00E5096C" w:rsidRDefault="0037689E" w:rsidP="0037689E">
      <w:pPr>
        <w:rPr>
          <w:rFonts w:ascii="Times New Roman" w:hAnsi="Times New Roman" w:cs="Times New Roman"/>
          <w:color w:val="00B050"/>
          <w:lang w:val="en-IN"/>
        </w:rPr>
      </w:pPr>
      <w:r w:rsidRPr="00E5096C">
        <w:rPr>
          <w:rFonts w:ascii="Times New Roman" w:hAnsi="Times New Roman" w:cs="Times New Roman"/>
          <w:color w:val="00B050"/>
        </w:rPr>
        <w:t>To demonstrate adherence to international reporting standards for clinical research, the following matrix cross-references the core structural elements required by the CARE guidelines against their specific presence and thematic localization within this manuscript. This comparative checklist highlights the systematic integration of multi-system clinical, hematobiochemical, and genetic lineage data while transparently addressing the inherent limitations and multi-organ perspectives of the studied pedigree.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9"/>
        <w:gridCol w:w="890"/>
        <w:gridCol w:w="3316"/>
        <w:gridCol w:w="3345"/>
      </w:tblGrid>
      <w:tr w:rsidR="0037689E" w:rsidRPr="00E5096C" w14:paraId="2BC984B1" w14:textId="77777777" w:rsidTr="00427104">
        <w:trPr>
          <w:tblHeader/>
          <w:tblCellSpacing w:w="15" w:type="dxa"/>
        </w:trPr>
        <w:tc>
          <w:tcPr>
            <w:tcW w:w="0" w:type="auto"/>
            <w:tcMar>
              <w:top w:w="120" w:type="dxa"/>
              <w:left w:w="180" w:type="dxa"/>
              <w:bottom w:w="120" w:type="dxa"/>
              <w:right w:w="180" w:type="dxa"/>
            </w:tcMar>
            <w:vAlign w:val="center"/>
            <w:hideMark/>
          </w:tcPr>
          <w:p w14:paraId="472AC3EA"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Topic</w:t>
            </w:r>
          </w:p>
        </w:tc>
        <w:tc>
          <w:tcPr>
            <w:tcW w:w="0" w:type="auto"/>
            <w:tcMar>
              <w:top w:w="120" w:type="dxa"/>
              <w:left w:w="180" w:type="dxa"/>
              <w:bottom w:w="120" w:type="dxa"/>
              <w:right w:w="180" w:type="dxa"/>
            </w:tcMar>
            <w:vAlign w:val="center"/>
            <w:hideMark/>
          </w:tcPr>
          <w:p w14:paraId="4EAAB30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Item</w:t>
            </w:r>
          </w:p>
        </w:tc>
        <w:tc>
          <w:tcPr>
            <w:tcW w:w="0" w:type="auto"/>
            <w:tcMar>
              <w:top w:w="120" w:type="dxa"/>
              <w:left w:w="180" w:type="dxa"/>
              <w:bottom w:w="120" w:type="dxa"/>
              <w:right w:w="180" w:type="dxa"/>
            </w:tcMar>
            <w:vAlign w:val="center"/>
            <w:hideMark/>
          </w:tcPr>
          <w:p w14:paraId="05A24D1D"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Checklist item description</w:t>
            </w:r>
          </w:p>
        </w:tc>
        <w:tc>
          <w:tcPr>
            <w:tcW w:w="0" w:type="auto"/>
            <w:tcMar>
              <w:top w:w="120" w:type="dxa"/>
              <w:left w:w="180" w:type="dxa"/>
              <w:bottom w:w="120" w:type="dxa"/>
              <w:right w:w="180" w:type="dxa"/>
            </w:tcMar>
            <w:vAlign w:val="center"/>
            <w:hideMark/>
          </w:tcPr>
          <w:p w14:paraId="3E750EE7"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Reported in manuscript(Section &amp; Details)</w:t>
            </w:r>
          </w:p>
        </w:tc>
      </w:tr>
      <w:tr w:rsidR="0037689E" w:rsidRPr="00E5096C" w14:paraId="4E97E9CC" w14:textId="77777777" w:rsidTr="00427104">
        <w:trPr>
          <w:tblCellSpacing w:w="15" w:type="dxa"/>
        </w:trPr>
        <w:tc>
          <w:tcPr>
            <w:tcW w:w="0" w:type="auto"/>
            <w:tcMar>
              <w:top w:w="120" w:type="dxa"/>
              <w:left w:w="180" w:type="dxa"/>
              <w:bottom w:w="120" w:type="dxa"/>
              <w:right w:w="180" w:type="dxa"/>
            </w:tcMar>
            <w:vAlign w:val="center"/>
            <w:hideMark/>
          </w:tcPr>
          <w:p w14:paraId="6CF44CC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Title</w:t>
            </w:r>
          </w:p>
        </w:tc>
        <w:tc>
          <w:tcPr>
            <w:tcW w:w="0" w:type="auto"/>
            <w:tcMar>
              <w:top w:w="120" w:type="dxa"/>
              <w:left w:w="180" w:type="dxa"/>
              <w:bottom w:w="120" w:type="dxa"/>
              <w:right w:w="180" w:type="dxa"/>
            </w:tcMar>
            <w:vAlign w:val="center"/>
            <w:hideMark/>
          </w:tcPr>
          <w:p w14:paraId="7333076C"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w:t>
            </w:r>
          </w:p>
        </w:tc>
        <w:tc>
          <w:tcPr>
            <w:tcW w:w="0" w:type="auto"/>
            <w:tcMar>
              <w:top w:w="120" w:type="dxa"/>
              <w:left w:w="180" w:type="dxa"/>
              <w:bottom w:w="120" w:type="dxa"/>
              <w:right w:w="180" w:type="dxa"/>
            </w:tcMar>
            <w:vAlign w:val="center"/>
            <w:hideMark/>
          </w:tcPr>
          <w:p w14:paraId="07B0A7DC"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The words “case report” (or “case series”) should be in the title along with the area of focus.</w:t>
            </w:r>
          </w:p>
        </w:tc>
        <w:tc>
          <w:tcPr>
            <w:tcW w:w="0" w:type="auto"/>
            <w:tcMar>
              <w:top w:w="120" w:type="dxa"/>
              <w:left w:w="180" w:type="dxa"/>
              <w:bottom w:w="120" w:type="dxa"/>
              <w:right w:w="180" w:type="dxa"/>
            </w:tcMar>
            <w:vAlign w:val="center"/>
            <w:hideMark/>
          </w:tcPr>
          <w:p w14:paraId="1F244C8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Title: "Familial Case Series of Neurodegenerative Disorders With Hematobiochemical Correlates: Insights From Four Related Patients". </w:t>
            </w:r>
          </w:p>
        </w:tc>
      </w:tr>
      <w:tr w:rsidR="0037689E" w:rsidRPr="00E5096C" w14:paraId="70DD43D1" w14:textId="77777777" w:rsidTr="00427104">
        <w:trPr>
          <w:tblCellSpacing w:w="15" w:type="dxa"/>
        </w:trPr>
        <w:tc>
          <w:tcPr>
            <w:tcW w:w="0" w:type="auto"/>
            <w:tcMar>
              <w:top w:w="120" w:type="dxa"/>
              <w:left w:w="180" w:type="dxa"/>
              <w:bottom w:w="120" w:type="dxa"/>
              <w:right w:w="180" w:type="dxa"/>
            </w:tcMar>
            <w:vAlign w:val="center"/>
            <w:hideMark/>
          </w:tcPr>
          <w:p w14:paraId="34F1176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Key words</w:t>
            </w:r>
          </w:p>
        </w:tc>
        <w:tc>
          <w:tcPr>
            <w:tcW w:w="0" w:type="auto"/>
            <w:tcMar>
              <w:top w:w="120" w:type="dxa"/>
              <w:left w:w="180" w:type="dxa"/>
              <w:bottom w:w="120" w:type="dxa"/>
              <w:right w:w="180" w:type="dxa"/>
            </w:tcMar>
            <w:vAlign w:val="center"/>
            <w:hideMark/>
          </w:tcPr>
          <w:p w14:paraId="201B40D4"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2</w:t>
            </w:r>
          </w:p>
        </w:tc>
        <w:tc>
          <w:tcPr>
            <w:tcW w:w="0" w:type="auto"/>
            <w:tcMar>
              <w:top w:w="120" w:type="dxa"/>
              <w:left w:w="180" w:type="dxa"/>
              <w:bottom w:w="120" w:type="dxa"/>
              <w:right w:w="180" w:type="dxa"/>
            </w:tcMar>
            <w:vAlign w:val="center"/>
            <w:hideMark/>
          </w:tcPr>
          <w:p w14:paraId="5092D54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2 to 5 keywords that identify the diagnoses or interventions in this case report.</w:t>
            </w:r>
          </w:p>
        </w:tc>
        <w:tc>
          <w:tcPr>
            <w:tcW w:w="0" w:type="auto"/>
            <w:tcMar>
              <w:top w:w="120" w:type="dxa"/>
              <w:left w:w="180" w:type="dxa"/>
              <w:bottom w:w="120" w:type="dxa"/>
              <w:right w:w="180" w:type="dxa"/>
            </w:tcMar>
            <w:vAlign w:val="center"/>
            <w:hideMark/>
          </w:tcPr>
          <w:p w14:paraId="2C0C59C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Key words: Spinocerebellar Ataxia Type 3 (SCA3), Hereditary Spastic Paraplegia (HSP) phenotype, Intrafamilial phenotypic heterogeneity, Systemic biomarkers. </w:t>
            </w:r>
          </w:p>
        </w:tc>
      </w:tr>
      <w:tr w:rsidR="0037689E" w:rsidRPr="00E5096C" w14:paraId="3821946C" w14:textId="77777777" w:rsidTr="00427104">
        <w:trPr>
          <w:tblCellSpacing w:w="15" w:type="dxa"/>
        </w:trPr>
        <w:tc>
          <w:tcPr>
            <w:tcW w:w="0" w:type="auto"/>
            <w:tcMar>
              <w:top w:w="120" w:type="dxa"/>
              <w:left w:w="180" w:type="dxa"/>
              <w:bottom w:w="120" w:type="dxa"/>
              <w:right w:w="180" w:type="dxa"/>
            </w:tcMar>
            <w:vAlign w:val="center"/>
            <w:hideMark/>
          </w:tcPr>
          <w:p w14:paraId="737F93EC"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Abstract</w:t>
            </w:r>
          </w:p>
        </w:tc>
        <w:tc>
          <w:tcPr>
            <w:tcW w:w="0" w:type="auto"/>
            <w:tcMar>
              <w:top w:w="120" w:type="dxa"/>
              <w:left w:w="180" w:type="dxa"/>
              <w:bottom w:w="120" w:type="dxa"/>
              <w:right w:w="180" w:type="dxa"/>
            </w:tcMar>
            <w:vAlign w:val="center"/>
            <w:hideMark/>
          </w:tcPr>
          <w:p w14:paraId="005AAD4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3a</w:t>
            </w:r>
          </w:p>
          <w:p w14:paraId="31B5A5CD"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20A687BC"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3b</w:t>
            </w:r>
          </w:p>
          <w:p w14:paraId="2FB20C7E"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5C960567"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lastRenderedPageBreak/>
              <w:t>3c</w:t>
            </w:r>
          </w:p>
          <w:p w14:paraId="025A332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59687CB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3d</w:t>
            </w:r>
          </w:p>
        </w:tc>
        <w:tc>
          <w:tcPr>
            <w:tcW w:w="0" w:type="auto"/>
            <w:tcMar>
              <w:top w:w="120" w:type="dxa"/>
              <w:left w:w="180" w:type="dxa"/>
              <w:bottom w:w="120" w:type="dxa"/>
              <w:right w:w="180" w:type="dxa"/>
            </w:tcMar>
            <w:vAlign w:val="center"/>
            <w:hideMark/>
          </w:tcPr>
          <w:p w14:paraId="1885386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lastRenderedPageBreak/>
              <w:t>Introduction: What does this case add?</w:t>
            </w:r>
          </w:p>
          <w:p w14:paraId="49D1693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01BE136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Case Presentation: Main symptoms, clinical findings, interventions, and outcomes.</w:t>
            </w:r>
          </w:p>
          <w:p w14:paraId="73FA7D7A"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lastRenderedPageBreak/>
              <w:br/>
            </w:r>
            <w:r w:rsidRPr="00E5096C">
              <w:rPr>
                <w:rFonts w:ascii="Times New Roman" w:hAnsi="Times New Roman" w:cs="Times New Roman"/>
                <w:color w:val="00B050"/>
                <w:lang w:val="en-IN"/>
              </w:rPr>
              <w:br/>
            </w:r>
          </w:p>
          <w:p w14:paraId="6BAC9A3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Conclusion: What are the main take-away lessons?</w:t>
            </w:r>
          </w:p>
          <w:p w14:paraId="57A552A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7C609154"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Keywords</w:t>
            </w:r>
          </w:p>
        </w:tc>
        <w:tc>
          <w:tcPr>
            <w:tcW w:w="0" w:type="auto"/>
            <w:tcMar>
              <w:top w:w="120" w:type="dxa"/>
              <w:left w:w="180" w:type="dxa"/>
              <w:bottom w:w="120" w:type="dxa"/>
              <w:right w:w="180" w:type="dxa"/>
            </w:tcMar>
            <w:vAlign w:val="center"/>
            <w:hideMark/>
          </w:tcPr>
          <w:p w14:paraId="1FB43A5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lastRenderedPageBreak/>
              <w:t>Yes</w:t>
            </w:r>
            <w:r w:rsidRPr="00E5096C">
              <w:rPr>
                <w:rFonts w:ascii="Times New Roman" w:hAnsi="Times New Roman" w:cs="Times New Roman"/>
                <w:color w:val="00B050"/>
                <w:lang w:val="en-IN"/>
              </w:rPr>
              <w:t xml:space="preserve"> – Structural abstract provided: </w:t>
            </w:r>
          </w:p>
          <w:p w14:paraId="602F6BD4"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16489BC1"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Introduction:</w:t>
            </w:r>
            <w:r w:rsidRPr="00E5096C">
              <w:rPr>
                <w:rFonts w:ascii="Times New Roman" w:hAnsi="Times New Roman" w:cs="Times New Roman"/>
                <w:color w:val="00B050"/>
                <w:lang w:val="en-IN"/>
              </w:rPr>
              <w:t xml:space="preserve"> Evaluates intrafamilial variability and systemic disease </w:t>
            </w:r>
            <w:r w:rsidRPr="00E5096C">
              <w:rPr>
                <w:rFonts w:ascii="Times New Roman" w:hAnsi="Times New Roman" w:cs="Times New Roman"/>
                <w:color w:val="00B050"/>
                <w:lang w:val="en-IN"/>
              </w:rPr>
              <w:lastRenderedPageBreak/>
              <w:t xml:space="preserve">manifestations in a single pedigree. </w:t>
            </w:r>
          </w:p>
          <w:p w14:paraId="7A8BF8A0"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p>
          <w:p w14:paraId="66CE173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Methods/Results:</w:t>
            </w:r>
            <w:r w:rsidRPr="00E5096C">
              <w:rPr>
                <w:rFonts w:ascii="Times New Roman" w:hAnsi="Times New Roman" w:cs="Times New Roman"/>
                <w:color w:val="00B050"/>
                <w:lang w:val="en-IN"/>
              </w:rPr>
              <w:t xml:space="preserve"> Evaluates four related patients. Index proband molecularly confirmed with SCA3; relatives demonstrate spastic paraplegia and sensory-motor peripheral neuropathy phenotypes with recurring anomalies (anemia, leukocytosis, achalasia, urinary retention). </w:t>
            </w:r>
          </w:p>
          <w:p w14:paraId="0B5CC9C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p>
          <w:p w14:paraId="01B5D7B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Conclusion:</w:t>
            </w:r>
            <w:r w:rsidRPr="00E5096C">
              <w:rPr>
                <w:rFonts w:ascii="Times New Roman" w:hAnsi="Times New Roman" w:cs="Times New Roman"/>
                <w:color w:val="00B050"/>
                <w:lang w:val="en-IN"/>
              </w:rPr>
              <w:t xml:space="preserve"> Highlights variable expressivity and underscores treating these conditions as systemic, multi-organ diseases requiring integrated, multidisciplinary management. </w:t>
            </w:r>
          </w:p>
        </w:tc>
      </w:tr>
      <w:tr w:rsidR="0037689E" w:rsidRPr="00E5096C" w14:paraId="00F68625" w14:textId="77777777" w:rsidTr="00427104">
        <w:trPr>
          <w:tblCellSpacing w:w="15" w:type="dxa"/>
        </w:trPr>
        <w:tc>
          <w:tcPr>
            <w:tcW w:w="0" w:type="auto"/>
            <w:tcMar>
              <w:top w:w="120" w:type="dxa"/>
              <w:left w:w="180" w:type="dxa"/>
              <w:bottom w:w="120" w:type="dxa"/>
              <w:right w:w="180" w:type="dxa"/>
            </w:tcMar>
            <w:vAlign w:val="center"/>
            <w:hideMark/>
          </w:tcPr>
          <w:p w14:paraId="7B47C04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lastRenderedPageBreak/>
              <w:t>Introduction</w:t>
            </w:r>
          </w:p>
        </w:tc>
        <w:tc>
          <w:tcPr>
            <w:tcW w:w="0" w:type="auto"/>
            <w:tcMar>
              <w:top w:w="120" w:type="dxa"/>
              <w:left w:w="180" w:type="dxa"/>
              <w:bottom w:w="120" w:type="dxa"/>
              <w:right w:w="180" w:type="dxa"/>
            </w:tcMar>
            <w:vAlign w:val="center"/>
            <w:hideMark/>
          </w:tcPr>
          <w:p w14:paraId="0AA7B0B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4</w:t>
            </w:r>
          </w:p>
        </w:tc>
        <w:tc>
          <w:tcPr>
            <w:tcW w:w="0" w:type="auto"/>
            <w:tcMar>
              <w:top w:w="120" w:type="dxa"/>
              <w:left w:w="180" w:type="dxa"/>
              <w:bottom w:w="120" w:type="dxa"/>
              <w:right w:w="180" w:type="dxa"/>
            </w:tcMar>
            <w:vAlign w:val="center"/>
            <w:hideMark/>
          </w:tcPr>
          <w:p w14:paraId="5E3254E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Background information on the problem, referencing relevant literature.</w:t>
            </w:r>
          </w:p>
        </w:tc>
        <w:tc>
          <w:tcPr>
            <w:tcW w:w="0" w:type="auto"/>
            <w:tcMar>
              <w:top w:w="120" w:type="dxa"/>
              <w:left w:w="180" w:type="dxa"/>
              <w:bottom w:w="120" w:type="dxa"/>
              <w:right w:w="180" w:type="dxa"/>
            </w:tcMar>
            <w:vAlign w:val="center"/>
            <w:hideMark/>
          </w:tcPr>
          <w:p w14:paraId="4BF13E7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Introduction section. Discusses intrafamilial phenotypic heterogeneity, genetic penetrance, the </w:t>
            </w:r>
            <m:oMath>
              <m:r>
                <w:rPr>
                  <w:rFonts w:ascii="Cambria Math" w:hAnsi="Cambria Math" w:cs="Times New Roman"/>
                  <w:color w:val="00B050"/>
                  <w:lang w:val="en-IN"/>
                </w:rPr>
                <m:t>ATXN3</m:t>
              </m:r>
            </m:oMath>
            <w:r w:rsidRPr="00E5096C">
              <w:rPr>
                <w:rFonts w:ascii="Times New Roman" w:hAnsi="Times New Roman" w:cs="Times New Roman"/>
                <w:color w:val="00B050"/>
                <w:lang w:val="en-IN"/>
              </w:rPr>
              <w:t xml:space="preserve"> gene mutation in SCA3, clinical convergence with HSPs, and the emerging </w:t>
            </w:r>
            <w:r w:rsidRPr="00E5096C">
              <w:rPr>
                <w:rFonts w:ascii="Times New Roman" w:hAnsi="Times New Roman" w:cs="Times New Roman"/>
                <w:color w:val="00B050"/>
                <w:lang w:val="en-IN"/>
              </w:rPr>
              <w:lastRenderedPageBreak/>
              <w:t xml:space="preserve">evidence of extra-neural systemic involvement (iron dysregulation, inflammatory states, and gastrointestinal dysmotility). </w:t>
            </w:r>
          </w:p>
        </w:tc>
      </w:tr>
      <w:tr w:rsidR="0037689E" w:rsidRPr="00E5096C" w14:paraId="667AB884" w14:textId="77777777" w:rsidTr="00427104">
        <w:trPr>
          <w:tblCellSpacing w:w="15" w:type="dxa"/>
        </w:trPr>
        <w:tc>
          <w:tcPr>
            <w:tcW w:w="0" w:type="auto"/>
            <w:tcMar>
              <w:top w:w="120" w:type="dxa"/>
              <w:left w:w="180" w:type="dxa"/>
              <w:bottom w:w="120" w:type="dxa"/>
              <w:right w:w="180" w:type="dxa"/>
            </w:tcMar>
            <w:vAlign w:val="center"/>
            <w:hideMark/>
          </w:tcPr>
          <w:p w14:paraId="0C84F94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lastRenderedPageBreak/>
              <w:t>Patient information</w:t>
            </w:r>
          </w:p>
        </w:tc>
        <w:tc>
          <w:tcPr>
            <w:tcW w:w="0" w:type="auto"/>
            <w:tcMar>
              <w:top w:w="120" w:type="dxa"/>
              <w:left w:w="180" w:type="dxa"/>
              <w:bottom w:w="120" w:type="dxa"/>
              <w:right w:w="180" w:type="dxa"/>
            </w:tcMar>
            <w:vAlign w:val="center"/>
            <w:hideMark/>
          </w:tcPr>
          <w:p w14:paraId="645C0FB4"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5a</w:t>
            </w:r>
          </w:p>
          <w:p w14:paraId="3AD35BD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597761C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5b</w:t>
            </w:r>
          </w:p>
          <w:p w14:paraId="53EE25B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7229E04D"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5c</w:t>
            </w:r>
          </w:p>
        </w:tc>
        <w:tc>
          <w:tcPr>
            <w:tcW w:w="0" w:type="auto"/>
            <w:tcMar>
              <w:top w:w="120" w:type="dxa"/>
              <w:left w:w="180" w:type="dxa"/>
              <w:bottom w:w="120" w:type="dxa"/>
              <w:right w:w="180" w:type="dxa"/>
            </w:tcMar>
            <w:vAlign w:val="center"/>
            <w:hideMark/>
          </w:tcPr>
          <w:p w14:paraId="4B8EEFB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De-identified demographic and specific characteristics.</w:t>
            </w:r>
          </w:p>
          <w:p w14:paraId="458F488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24DE1EFD"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Primary complaints/symptoms.</w:t>
            </w:r>
          </w:p>
          <w:p w14:paraId="78578F5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522429F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Medical, family, and psychosocial history (including comorbidities/interventions).</w:t>
            </w:r>
          </w:p>
        </w:tc>
        <w:tc>
          <w:tcPr>
            <w:tcW w:w="0" w:type="auto"/>
            <w:tcMar>
              <w:top w:w="120" w:type="dxa"/>
              <w:left w:w="180" w:type="dxa"/>
              <w:bottom w:w="120" w:type="dxa"/>
              <w:right w:w="180" w:type="dxa"/>
            </w:tcMar>
            <w:vAlign w:val="center"/>
            <w:hideMark/>
          </w:tcPr>
          <w:p w14:paraId="5069FB4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Case Presentation (Cases 1–4) and Figure 1. </w:t>
            </w:r>
          </w:p>
          <w:p w14:paraId="0CD904B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7C96D657"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Case 1:</w:t>
            </w:r>
            <w:r w:rsidRPr="00E5096C">
              <w:rPr>
                <w:rFonts w:ascii="Times New Roman" w:hAnsi="Times New Roman" w:cs="Times New Roman"/>
                <w:color w:val="00B050"/>
                <w:lang w:val="en-IN"/>
              </w:rPr>
              <w:t xml:space="preserve"> 54-year-old male with progressive lower limb stiffness and gait instability starting at age 45. </w:t>
            </w:r>
          </w:p>
          <w:p w14:paraId="41A9BD1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p>
          <w:p w14:paraId="27C8145E"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Case 2:</w:t>
            </w:r>
            <w:r w:rsidRPr="00E5096C">
              <w:rPr>
                <w:rFonts w:ascii="Times New Roman" w:hAnsi="Times New Roman" w:cs="Times New Roman"/>
                <w:color w:val="00B050"/>
                <w:lang w:val="en-IN"/>
              </w:rPr>
              <w:t xml:space="preserve"> 54-year-old female (sibling of Case 1) with clinical onset at 45 presenting with progressive speech impairment and severe motor deficits. </w:t>
            </w:r>
          </w:p>
          <w:p w14:paraId="41C21B0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p>
          <w:p w14:paraId="4E940DA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Case 3 (Index proband):</w:t>
            </w:r>
            <w:r w:rsidRPr="00E5096C">
              <w:rPr>
                <w:rFonts w:ascii="Times New Roman" w:hAnsi="Times New Roman" w:cs="Times New Roman"/>
                <w:color w:val="00B050"/>
                <w:lang w:val="en-IN"/>
              </w:rPr>
              <w:t xml:space="preserve"> Female in her mid-forties presenting with chronic axial back pain, orthostatic hypotension, anorexia, and progressive coordination loss. </w:t>
            </w:r>
          </w:p>
          <w:p w14:paraId="20DC69EE"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lastRenderedPageBreak/>
              <w:br/>
            </w:r>
          </w:p>
          <w:p w14:paraId="42D8940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Case 4:</w:t>
            </w:r>
            <w:r w:rsidRPr="00E5096C">
              <w:rPr>
                <w:rFonts w:ascii="Times New Roman" w:hAnsi="Times New Roman" w:cs="Times New Roman"/>
                <w:color w:val="00B050"/>
                <w:lang w:val="en-IN"/>
              </w:rPr>
              <w:t xml:space="preserve"> 36-year-old male (first cousin to proband) with initial motor symptoms appearing at 31, presenting with progressive dysphagia and early muscle wasting. </w:t>
            </w:r>
          </w:p>
          <w:p w14:paraId="09B36560"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p>
          <w:p w14:paraId="4244DA6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Family History:</w:t>
            </w:r>
            <w:r w:rsidRPr="00E5096C">
              <w:rPr>
                <w:rFonts w:ascii="Times New Roman" w:hAnsi="Times New Roman" w:cs="Times New Roman"/>
                <w:color w:val="00B050"/>
                <w:lang w:val="en-IN"/>
              </w:rPr>
              <w:t xml:space="preserve"> Multi-generational pedigree detailed in Figure 1, including a consanguineous parental union for the index proband. </w:t>
            </w:r>
          </w:p>
        </w:tc>
      </w:tr>
      <w:tr w:rsidR="0037689E" w:rsidRPr="00E5096C" w14:paraId="6EDC4744" w14:textId="77777777" w:rsidTr="00427104">
        <w:trPr>
          <w:tblCellSpacing w:w="15" w:type="dxa"/>
        </w:trPr>
        <w:tc>
          <w:tcPr>
            <w:tcW w:w="0" w:type="auto"/>
            <w:tcMar>
              <w:top w:w="120" w:type="dxa"/>
              <w:left w:w="180" w:type="dxa"/>
              <w:bottom w:w="120" w:type="dxa"/>
              <w:right w:w="180" w:type="dxa"/>
            </w:tcMar>
            <w:vAlign w:val="center"/>
            <w:hideMark/>
          </w:tcPr>
          <w:p w14:paraId="0D0594C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lastRenderedPageBreak/>
              <w:t>Clinical findings</w:t>
            </w:r>
          </w:p>
        </w:tc>
        <w:tc>
          <w:tcPr>
            <w:tcW w:w="0" w:type="auto"/>
            <w:tcMar>
              <w:top w:w="120" w:type="dxa"/>
              <w:left w:w="180" w:type="dxa"/>
              <w:bottom w:w="120" w:type="dxa"/>
              <w:right w:w="180" w:type="dxa"/>
            </w:tcMar>
            <w:vAlign w:val="center"/>
            <w:hideMark/>
          </w:tcPr>
          <w:p w14:paraId="2A2903DD"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6</w:t>
            </w:r>
          </w:p>
        </w:tc>
        <w:tc>
          <w:tcPr>
            <w:tcW w:w="0" w:type="auto"/>
            <w:tcMar>
              <w:top w:w="120" w:type="dxa"/>
              <w:left w:w="180" w:type="dxa"/>
              <w:bottom w:w="120" w:type="dxa"/>
              <w:right w:w="180" w:type="dxa"/>
            </w:tcMar>
            <w:vAlign w:val="center"/>
            <w:hideMark/>
          </w:tcPr>
          <w:p w14:paraId="0285F4E7"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Describe relevant physical exam findings.</w:t>
            </w:r>
          </w:p>
        </w:tc>
        <w:tc>
          <w:tcPr>
            <w:tcW w:w="0" w:type="auto"/>
            <w:tcMar>
              <w:top w:w="120" w:type="dxa"/>
              <w:left w:w="180" w:type="dxa"/>
              <w:bottom w:w="120" w:type="dxa"/>
              <w:right w:w="180" w:type="dxa"/>
            </w:tcMar>
            <w:vAlign w:val="center"/>
            <w:hideMark/>
          </w:tcPr>
          <w:p w14:paraId="6810FD8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Detailed in Case Presentation and summarized in Tables 1 and 2. Findings include lower motor neuron signs and sensory ataxia (Case 1); spastic-ataxic gait and bilateral lower limb weakness (Case 2); profound somatic muscle wasting and generalized hyperreflexia (Case 3); early-onset muscle wasting and frequent falls (Case 4). </w:t>
            </w:r>
          </w:p>
        </w:tc>
      </w:tr>
      <w:tr w:rsidR="0037689E" w:rsidRPr="00E5096C" w14:paraId="745A766D" w14:textId="77777777" w:rsidTr="00427104">
        <w:trPr>
          <w:tblCellSpacing w:w="15" w:type="dxa"/>
        </w:trPr>
        <w:tc>
          <w:tcPr>
            <w:tcW w:w="0" w:type="auto"/>
            <w:tcMar>
              <w:top w:w="120" w:type="dxa"/>
              <w:left w:w="180" w:type="dxa"/>
              <w:bottom w:w="120" w:type="dxa"/>
              <w:right w:w="180" w:type="dxa"/>
            </w:tcMar>
            <w:vAlign w:val="center"/>
            <w:hideMark/>
          </w:tcPr>
          <w:p w14:paraId="13A6F74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lastRenderedPageBreak/>
              <w:t>Timeline</w:t>
            </w:r>
          </w:p>
        </w:tc>
        <w:tc>
          <w:tcPr>
            <w:tcW w:w="0" w:type="auto"/>
            <w:tcMar>
              <w:top w:w="120" w:type="dxa"/>
              <w:left w:w="180" w:type="dxa"/>
              <w:bottom w:w="120" w:type="dxa"/>
              <w:right w:w="180" w:type="dxa"/>
            </w:tcMar>
            <w:vAlign w:val="center"/>
            <w:hideMark/>
          </w:tcPr>
          <w:p w14:paraId="07688D0D"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7</w:t>
            </w:r>
          </w:p>
        </w:tc>
        <w:tc>
          <w:tcPr>
            <w:tcW w:w="0" w:type="auto"/>
            <w:tcMar>
              <w:top w:w="120" w:type="dxa"/>
              <w:left w:w="180" w:type="dxa"/>
              <w:bottom w:w="120" w:type="dxa"/>
              <w:right w:w="180" w:type="dxa"/>
            </w:tcMar>
            <w:vAlign w:val="center"/>
            <w:hideMark/>
          </w:tcPr>
          <w:p w14:paraId="50F7D8AE"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Important dates and times in this case (table or narrative format).</w:t>
            </w:r>
          </w:p>
        </w:tc>
        <w:tc>
          <w:tcPr>
            <w:tcW w:w="0" w:type="auto"/>
            <w:tcMar>
              <w:top w:w="120" w:type="dxa"/>
              <w:left w:w="180" w:type="dxa"/>
              <w:bottom w:w="120" w:type="dxa"/>
              <w:right w:w="180" w:type="dxa"/>
            </w:tcMar>
            <w:vAlign w:val="center"/>
            <w:hideMark/>
          </w:tcPr>
          <w:p w14:paraId="4F40647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Age of symptom onset (31 for Case 4; 45 for Cases 1, 2, and 3) and ages during clinical evaluations are tracked sequentially in the text and compiled in Table 1. Case 1's lifespan progression and exit at age 57 are documented. </w:t>
            </w:r>
          </w:p>
        </w:tc>
      </w:tr>
      <w:tr w:rsidR="0037689E" w:rsidRPr="00E5096C" w14:paraId="4C5B9ED2" w14:textId="77777777" w:rsidTr="00427104">
        <w:trPr>
          <w:tblCellSpacing w:w="15" w:type="dxa"/>
        </w:trPr>
        <w:tc>
          <w:tcPr>
            <w:tcW w:w="0" w:type="auto"/>
            <w:tcMar>
              <w:top w:w="120" w:type="dxa"/>
              <w:left w:w="180" w:type="dxa"/>
              <w:bottom w:w="120" w:type="dxa"/>
              <w:right w:w="180" w:type="dxa"/>
            </w:tcMar>
            <w:vAlign w:val="center"/>
            <w:hideMark/>
          </w:tcPr>
          <w:p w14:paraId="4D7E2DF4"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Diagnostic assessment</w:t>
            </w:r>
          </w:p>
        </w:tc>
        <w:tc>
          <w:tcPr>
            <w:tcW w:w="0" w:type="auto"/>
            <w:tcMar>
              <w:top w:w="120" w:type="dxa"/>
              <w:left w:w="180" w:type="dxa"/>
              <w:bottom w:w="120" w:type="dxa"/>
              <w:right w:w="180" w:type="dxa"/>
            </w:tcMar>
            <w:vAlign w:val="center"/>
            <w:hideMark/>
          </w:tcPr>
          <w:p w14:paraId="7CB5DB4E"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8a</w:t>
            </w:r>
          </w:p>
          <w:p w14:paraId="67AB2E3A"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2D1960AE"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8b</w:t>
            </w:r>
          </w:p>
          <w:p w14:paraId="419EC57C"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030AEA7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8c</w:t>
            </w:r>
          </w:p>
          <w:p w14:paraId="54D15E1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7F14C060"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8d</w:t>
            </w:r>
          </w:p>
        </w:tc>
        <w:tc>
          <w:tcPr>
            <w:tcW w:w="0" w:type="auto"/>
            <w:tcMar>
              <w:top w:w="120" w:type="dxa"/>
              <w:left w:w="180" w:type="dxa"/>
              <w:bottom w:w="120" w:type="dxa"/>
              <w:right w:w="180" w:type="dxa"/>
            </w:tcMar>
            <w:vAlign w:val="center"/>
            <w:hideMark/>
          </w:tcPr>
          <w:p w14:paraId="5A25100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Diagnostic methods (labs, imaging, cultures).</w:t>
            </w:r>
          </w:p>
          <w:p w14:paraId="5AE568DC"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2DF4AB3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Diagnostic challenges (financial, language, cultural).</w:t>
            </w:r>
          </w:p>
          <w:p w14:paraId="1E59616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65F99E80"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Diagnostic reasoning (differential diagnoses).</w:t>
            </w:r>
          </w:p>
          <w:p w14:paraId="344293A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792750D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Prognostic characteristics where applicable.</w:t>
            </w:r>
          </w:p>
        </w:tc>
        <w:tc>
          <w:tcPr>
            <w:tcW w:w="0" w:type="auto"/>
            <w:tcMar>
              <w:top w:w="120" w:type="dxa"/>
              <w:left w:w="180" w:type="dxa"/>
              <w:bottom w:w="120" w:type="dxa"/>
              <w:right w:w="180" w:type="dxa"/>
            </w:tcMar>
            <w:vAlign w:val="center"/>
            <w:hideMark/>
          </w:tcPr>
          <w:p w14:paraId="745667B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Completed complete blood counts, peripheral smears, serum biochemistry, abdominal ultrasonography, brain CT imaging, a barium swallow study, and genetic repeat assays. </w:t>
            </w:r>
          </w:p>
          <w:p w14:paraId="31D6605A"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083B3A6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Reasoning:</w:t>
            </w:r>
            <w:r w:rsidRPr="00E5096C">
              <w:rPr>
                <w:rFonts w:ascii="Times New Roman" w:hAnsi="Times New Roman" w:cs="Times New Roman"/>
                <w:color w:val="00B050"/>
                <w:lang w:val="en-IN"/>
              </w:rPr>
              <w:t xml:space="preserve"> Triplet repeat-primed PCR testing detected a pathogenic CAG expansion in the </w:t>
            </w:r>
            <m:oMath>
              <m:r>
                <w:rPr>
                  <w:rFonts w:ascii="Cambria Math" w:hAnsi="Cambria Math" w:cs="Times New Roman"/>
                  <w:color w:val="00B050"/>
                  <w:lang w:val="en-IN"/>
                </w:rPr>
                <m:t>ATXN3</m:t>
              </m:r>
            </m:oMath>
            <w:r w:rsidRPr="00E5096C">
              <w:rPr>
                <w:rFonts w:ascii="Times New Roman" w:hAnsi="Times New Roman" w:cs="Times New Roman"/>
                <w:color w:val="00B050"/>
                <w:lang w:val="en-IN"/>
              </w:rPr>
              <w:t xml:space="preserve"> gene on chromosome 14q32.1 for Case 3, ruling out SCA1, 2, 6, 7, 10, 12, and DRPLA. </w:t>
            </w:r>
          </w:p>
          <w:p w14:paraId="633D70B7"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p>
          <w:p w14:paraId="471A05C1"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Challenges:</w:t>
            </w:r>
            <w:r w:rsidRPr="00E5096C">
              <w:rPr>
                <w:rFonts w:ascii="Times New Roman" w:hAnsi="Times New Roman" w:cs="Times New Roman"/>
                <w:color w:val="00B050"/>
                <w:lang w:val="en-IN"/>
              </w:rPr>
              <w:t xml:space="preserve"> Molecular genetic testing was severely restricted to only the index </w:t>
            </w:r>
            <w:r w:rsidRPr="00E5096C">
              <w:rPr>
                <w:rFonts w:ascii="Times New Roman" w:hAnsi="Times New Roman" w:cs="Times New Roman"/>
                <w:color w:val="00B050"/>
                <w:lang w:val="en-IN"/>
              </w:rPr>
              <w:lastRenderedPageBreak/>
              <w:t xml:space="preserve">proband due to study resource constraints, leaving other diagnoses as presumptive phenotypes under a shared lineage. </w:t>
            </w:r>
          </w:p>
        </w:tc>
      </w:tr>
      <w:tr w:rsidR="0037689E" w:rsidRPr="00E5096C" w14:paraId="0B44480C" w14:textId="77777777" w:rsidTr="00427104">
        <w:trPr>
          <w:tblCellSpacing w:w="15" w:type="dxa"/>
        </w:trPr>
        <w:tc>
          <w:tcPr>
            <w:tcW w:w="0" w:type="auto"/>
            <w:tcMar>
              <w:top w:w="120" w:type="dxa"/>
              <w:left w:w="180" w:type="dxa"/>
              <w:bottom w:w="120" w:type="dxa"/>
              <w:right w:w="180" w:type="dxa"/>
            </w:tcMar>
            <w:vAlign w:val="center"/>
            <w:hideMark/>
          </w:tcPr>
          <w:p w14:paraId="71E8B2B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lastRenderedPageBreak/>
              <w:t>Therapeutic interventions</w:t>
            </w:r>
          </w:p>
        </w:tc>
        <w:tc>
          <w:tcPr>
            <w:tcW w:w="0" w:type="auto"/>
            <w:tcMar>
              <w:top w:w="120" w:type="dxa"/>
              <w:left w:w="180" w:type="dxa"/>
              <w:bottom w:w="120" w:type="dxa"/>
              <w:right w:w="180" w:type="dxa"/>
            </w:tcMar>
            <w:vAlign w:val="center"/>
            <w:hideMark/>
          </w:tcPr>
          <w:p w14:paraId="071DA4FA"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9a</w:t>
            </w:r>
          </w:p>
          <w:p w14:paraId="174EB3C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4154CD6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9b</w:t>
            </w:r>
          </w:p>
        </w:tc>
        <w:tc>
          <w:tcPr>
            <w:tcW w:w="0" w:type="auto"/>
            <w:tcMar>
              <w:top w:w="120" w:type="dxa"/>
              <w:left w:w="180" w:type="dxa"/>
              <w:bottom w:w="120" w:type="dxa"/>
              <w:right w:w="180" w:type="dxa"/>
            </w:tcMar>
            <w:vAlign w:val="center"/>
            <w:hideMark/>
          </w:tcPr>
          <w:p w14:paraId="6D5829DA"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Types of therapeutic interventions (pharmacologic, surgical, supportive).</w:t>
            </w:r>
          </w:p>
          <w:p w14:paraId="6A4A76B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45B8771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Administration of interventions (dosage, strength, duration).</w:t>
            </w:r>
          </w:p>
        </w:tc>
        <w:tc>
          <w:tcPr>
            <w:tcW w:w="0" w:type="auto"/>
            <w:tcMar>
              <w:top w:w="120" w:type="dxa"/>
              <w:left w:w="180" w:type="dxa"/>
              <w:bottom w:w="120" w:type="dxa"/>
              <w:right w:w="180" w:type="dxa"/>
            </w:tcMar>
            <w:vAlign w:val="center"/>
            <w:hideMark/>
          </w:tcPr>
          <w:p w14:paraId="50BD5A7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Partially Met</w:t>
            </w:r>
            <w:r w:rsidRPr="00E5096C">
              <w:rPr>
                <w:rFonts w:ascii="Times New Roman" w:hAnsi="Times New Roman" w:cs="Times New Roman"/>
                <w:color w:val="00B050"/>
                <w:lang w:val="en-IN"/>
              </w:rPr>
              <w:t xml:space="preserve"> – Case Presentation and Table 2 detail specific symptomatic/supportive management, including intermittent packed red blood cell transfusions for Case 2's chronic anemia and urological monitoring for Case 1's neurogenic urinary retention. Note: Core disease-modifying therapies are explicitly noted as currently unavailable. </w:t>
            </w:r>
          </w:p>
        </w:tc>
      </w:tr>
      <w:tr w:rsidR="0037689E" w:rsidRPr="00E5096C" w14:paraId="66645BBE" w14:textId="77777777" w:rsidTr="00427104">
        <w:trPr>
          <w:tblCellSpacing w:w="15" w:type="dxa"/>
        </w:trPr>
        <w:tc>
          <w:tcPr>
            <w:tcW w:w="0" w:type="auto"/>
            <w:tcMar>
              <w:top w:w="120" w:type="dxa"/>
              <w:left w:w="180" w:type="dxa"/>
              <w:bottom w:w="120" w:type="dxa"/>
              <w:right w:w="180" w:type="dxa"/>
            </w:tcMar>
            <w:vAlign w:val="center"/>
            <w:hideMark/>
          </w:tcPr>
          <w:p w14:paraId="558CAC6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Follow-up and outcomes</w:t>
            </w:r>
          </w:p>
        </w:tc>
        <w:tc>
          <w:tcPr>
            <w:tcW w:w="0" w:type="auto"/>
            <w:tcMar>
              <w:top w:w="120" w:type="dxa"/>
              <w:left w:w="180" w:type="dxa"/>
              <w:bottom w:w="120" w:type="dxa"/>
              <w:right w:w="180" w:type="dxa"/>
            </w:tcMar>
            <w:vAlign w:val="center"/>
            <w:hideMark/>
          </w:tcPr>
          <w:p w14:paraId="10BEE687"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10a</w:t>
            </w:r>
          </w:p>
          <w:p w14:paraId="069E8D3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0B9CCF27"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10b</w:t>
            </w:r>
          </w:p>
          <w:p w14:paraId="19C3BFEC"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05A66F6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10c</w:t>
            </w:r>
          </w:p>
          <w:p w14:paraId="5D0D1590"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lastRenderedPageBreak/>
              <w:br/>
            </w:r>
            <w:r w:rsidRPr="00E5096C">
              <w:rPr>
                <w:rFonts w:ascii="Times New Roman" w:hAnsi="Times New Roman" w:cs="Times New Roman"/>
                <w:color w:val="00B050"/>
                <w:lang w:val="en-IN"/>
              </w:rPr>
              <w:br/>
            </w:r>
          </w:p>
          <w:p w14:paraId="5A01304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10d</w:t>
            </w:r>
          </w:p>
        </w:tc>
        <w:tc>
          <w:tcPr>
            <w:tcW w:w="0" w:type="auto"/>
            <w:tcMar>
              <w:top w:w="120" w:type="dxa"/>
              <w:left w:w="180" w:type="dxa"/>
              <w:bottom w:w="120" w:type="dxa"/>
              <w:right w:w="180" w:type="dxa"/>
            </w:tcMar>
            <w:vAlign w:val="center"/>
            <w:hideMark/>
          </w:tcPr>
          <w:p w14:paraId="7AA5A3AD"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lastRenderedPageBreak/>
              <w:t>Clinician and patient-assessed outcomes.</w:t>
            </w:r>
          </w:p>
          <w:p w14:paraId="3F85112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6EF0790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Important follow-up diagnostic test results.</w:t>
            </w:r>
          </w:p>
          <w:p w14:paraId="1A61178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19CF8ECD"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lastRenderedPageBreak/>
              <w:t>Intervention adherence and tolerability.</w:t>
            </w:r>
          </w:p>
          <w:p w14:paraId="4AA6074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5E71AFC4"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Adverse or unanticipated events.</w:t>
            </w:r>
          </w:p>
        </w:tc>
        <w:tc>
          <w:tcPr>
            <w:tcW w:w="0" w:type="auto"/>
            <w:tcMar>
              <w:top w:w="120" w:type="dxa"/>
              <w:left w:w="180" w:type="dxa"/>
              <w:bottom w:w="120" w:type="dxa"/>
              <w:right w:w="180" w:type="dxa"/>
            </w:tcMar>
            <w:vAlign w:val="center"/>
            <w:hideMark/>
          </w:tcPr>
          <w:p w14:paraId="4A70D9E7"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lastRenderedPageBreak/>
              <w:t>Partially Met</w:t>
            </w:r>
            <w:r w:rsidRPr="00E5096C">
              <w:rPr>
                <w:rFonts w:ascii="Times New Roman" w:hAnsi="Times New Roman" w:cs="Times New Roman"/>
                <w:color w:val="00B050"/>
                <w:lang w:val="en-IN"/>
              </w:rPr>
              <w:t xml:space="preserve"> – Case Presentation outlines individual trajectories, including the terminal cardiopulmonary complication endpoint for Case 1 at age 57. Note: As stated in the Study Limitations, longitudinal follow-up tracking the long-term temporal dynamics of the living cohort parameters was not performed. </w:t>
            </w:r>
          </w:p>
        </w:tc>
      </w:tr>
      <w:tr w:rsidR="0037689E" w:rsidRPr="00E5096C" w14:paraId="6FD421CE" w14:textId="77777777" w:rsidTr="00427104">
        <w:trPr>
          <w:tblCellSpacing w:w="15" w:type="dxa"/>
        </w:trPr>
        <w:tc>
          <w:tcPr>
            <w:tcW w:w="0" w:type="auto"/>
            <w:tcMar>
              <w:top w:w="120" w:type="dxa"/>
              <w:left w:w="180" w:type="dxa"/>
              <w:bottom w:w="120" w:type="dxa"/>
              <w:right w:w="180" w:type="dxa"/>
            </w:tcMar>
            <w:vAlign w:val="center"/>
            <w:hideMark/>
          </w:tcPr>
          <w:p w14:paraId="33206649"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Discussion</w:t>
            </w:r>
          </w:p>
        </w:tc>
        <w:tc>
          <w:tcPr>
            <w:tcW w:w="0" w:type="auto"/>
            <w:tcMar>
              <w:top w:w="120" w:type="dxa"/>
              <w:left w:w="180" w:type="dxa"/>
              <w:bottom w:w="120" w:type="dxa"/>
              <w:right w:w="180" w:type="dxa"/>
            </w:tcMar>
            <w:vAlign w:val="center"/>
            <w:hideMark/>
          </w:tcPr>
          <w:p w14:paraId="7D00C55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11a</w:t>
            </w:r>
          </w:p>
          <w:p w14:paraId="219EF3F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6A0148E1"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11b</w:t>
            </w:r>
          </w:p>
          <w:p w14:paraId="4E55C1E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4AFC461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11c</w:t>
            </w:r>
          </w:p>
          <w:p w14:paraId="4B196FF1"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29E84200"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11d</w:t>
            </w:r>
          </w:p>
        </w:tc>
        <w:tc>
          <w:tcPr>
            <w:tcW w:w="0" w:type="auto"/>
            <w:tcMar>
              <w:top w:w="120" w:type="dxa"/>
              <w:left w:w="180" w:type="dxa"/>
              <w:bottom w:w="120" w:type="dxa"/>
              <w:right w:w="180" w:type="dxa"/>
            </w:tcMar>
            <w:vAlign w:val="center"/>
            <w:hideMark/>
          </w:tcPr>
          <w:p w14:paraId="4E38BE7C"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Strengths and limitations of this case report.</w:t>
            </w:r>
          </w:p>
          <w:p w14:paraId="71F075A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30DDB8D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Discussion of the relevant medical literature.</w:t>
            </w:r>
          </w:p>
          <w:p w14:paraId="45090D0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0744FE11"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The rationale for your conclusions.</w:t>
            </w:r>
          </w:p>
          <w:p w14:paraId="7CD37AB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58177C3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The primary "take-away" lessons.</w:t>
            </w:r>
          </w:p>
        </w:tc>
        <w:tc>
          <w:tcPr>
            <w:tcW w:w="0" w:type="auto"/>
            <w:tcMar>
              <w:top w:w="120" w:type="dxa"/>
              <w:left w:w="180" w:type="dxa"/>
              <w:bottom w:w="120" w:type="dxa"/>
              <w:right w:w="180" w:type="dxa"/>
            </w:tcMar>
            <w:vAlign w:val="center"/>
            <w:hideMark/>
          </w:tcPr>
          <w:p w14:paraId="180563F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Discussion section integrates core pathophysiological literature. </w:t>
            </w:r>
          </w:p>
          <w:p w14:paraId="21D8924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r w:rsidRPr="00E5096C">
              <w:rPr>
                <w:rFonts w:ascii="Times New Roman" w:hAnsi="Times New Roman" w:cs="Times New Roman"/>
                <w:color w:val="00B050"/>
                <w:lang w:val="en-IN"/>
              </w:rPr>
              <w:br/>
            </w:r>
          </w:p>
          <w:p w14:paraId="0C6FC92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Literature/Rationale:</w:t>
            </w:r>
            <w:r w:rsidRPr="00E5096C">
              <w:rPr>
                <w:rFonts w:ascii="Times New Roman" w:hAnsi="Times New Roman" w:cs="Times New Roman"/>
                <w:color w:val="00B050"/>
                <w:lang w:val="en-IN"/>
              </w:rPr>
              <w:t xml:space="preserve"> Links mutant polyglutamine ataxin-3 aggregation to bone marrow metabolic stress and iron dysregulation, and brainstem/autonomic ganglia degeneration to smooth muscle visceral dysmotility. </w:t>
            </w:r>
          </w:p>
          <w:p w14:paraId="37852C45"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br/>
            </w:r>
          </w:p>
          <w:p w14:paraId="0B002F02"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Limitations:</w:t>
            </w:r>
            <w:r w:rsidRPr="00E5096C">
              <w:rPr>
                <w:rFonts w:ascii="Times New Roman" w:hAnsi="Times New Roman" w:cs="Times New Roman"/>
                <w:color w:val="00B050"/>
                <w:lang w:val="en-IN"/>
              </w:rPr>
              <w:t xml:space="preserve"> Explicitly notes small sample size, lack of longitudinal tracking, absent healthy control comparisons, and resource-limited single-proband genetic verification. </w:t>
            </w:r>
          </w:p>
          <w:p w14:paraId="21180E56"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lastRenderedPageBreak/>
              <w:br/>
            </w:r>
          </w:p>
          <w:p w14:paraId="32EAABF8"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 xml:space="preserve">• </w:t>
            </w:r>
            <w:r w:rsidRPr="00E5096C">
              <w:rPr>
                <w:rFonts w:ascii="Times New Roman" w:hAnsi="Times New Roman" w:cs="Times New Roman"/>
                <w:b/>
                <w:bCs/>
                <w:color w:val="00B050"/>
                <w:lang w:val="en-IN"/>
              </w:rPr>
              <w:t>Take-away:</w:t>
            </w:r>
            <w:r w:rsidRPr="00E5096C">
              <w:rPr>
                <w:rFonts w:ascii="Times New Roman" w:hAnsi="Times New Roman" w:cs="Times New Roman"/>
                <w:color w:val="00B050"/>
                <w:lang w:val="en-IN"/>
              </w:rPr>
              <w:t xml:space="preserve"> Inherited ataxias are multi-organ, systemic diseases rather than isolated central nervous system defects; identifying systemic hematobiochemical and autonomic correlates is essential for avoiding clinical diagnostic traps. </w:t>
            </w:r>
          </w:p>
        </w:tc>
      </w:tr>
      <w:tr w:rsidR="0037689E" w:rsidRPr="00E5096C" w14:paraId="612834DF" w14:textId="77777777" w:rsidTr="00427104">
        <w:trPr>
          <w:tblCellSpacing w:w="15" w:type="dxa"/>
        </w:trPr>
        <w:tc>
          <w:tcPr>
            <w:tcW w:w="0" w:type="auto"/>
            <w:tcMar>
              <w:top w:w="120" w:type="dxa"/>
              <w:left w:w="180" w:type="dxa"/>
              <w:bottom w:w="120" w:type="dxa"/>
              <w:right w:w="180" w:type="dxa"/>
            </w:tcMar>
            <w:vAlign w:val="center"/>
            <w:hideMark/>
          </w:tcPr>
          <w:p w14:paraId="3821DE70"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lastRenderedPageBreak/>
              <w:t>Patient perspective</w:t>
            </w:r>
          </w:p>
        </w:tc>
        <w:tc>
          <w:tcPr>
            <w:tcW w:w="0" w:type="auto"/>
            <w:tcMar>
              <w:top w:w="120" w:type="dxa"/>
              <w:left w:w="180" w:type="dxa"/>
              <w:bottom w:w="120" w:type="dxa"/>
              <w:right w:w="180" w:type="dxa"/>
            </w:tcMar>
            <w:vAlign w:val="center"/>
            <w:hideMark/>
          </w:tcPr>
          <w:p w14:paraId="065F393F"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12</w:t>
            </w:r>
          </w:p>
        </w:tc>
        <w:tc>
          <w:tcPr>
            <w:tcW w:w="0" w:type="auto"/>
            <w:tcMar>
              <w:top w:w="120" w:type="dxa"/>
              <w:left w:w="180" w:type="dxa"/>
              <w:bottom w:w="120" w:type="dxa"/>
              <w:right w:w="180" w:type="dxa"/>
            </w:tcMar>
            <w:vAlign w:val="center"/>
            <w:hideMark/>
          </w:tcPr>
          <w:p w14:paraId="0E23CF1A"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The patient should share their perspective on the treatments they received.</w:t>
            </w:r>
          </w:p>
        </w:tc>
        <w:tc>
          <w:tcPr>
            <w:tcW w:w="0" w:type="auto"/>
            <w:tcMar>
              <w:top w:w="120" w:type="dxa"/>
              <w:left w:w="180" w:type="dxa"/>
              <w:bottom w:w="120" w:type="dxa"/>
              <w:right w:w="180" w:type="dxa"/>
            </w:tcMar>
            <w:vAlign w:val="center"/>
            <w:hideMark/>
          </w:tcPr>
          <w:p w14:paraId="0ECCC82E"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Yes</w:t>
            </w:r>
            <w:r w:rsidRPr="00E5096C">
              <w:rPr>
                <w:rFonts w:ascii="Times New Roman" w:hAnsi="Times New Roman" w:cs="Times New Roman"/>
                <w:color w:val="00B050"/>
                <w:lang w:val="en-IN"/>
              </w:rPr>
              <w:t xml:space="preserve"> – Detailed in a dedicated section: </w:t>
            </w:r>
            <w:r w:rsidRPr="00E5096C">
              <w:rPr>
                <w:rFonts w:ascii="Times New Roman" w:hAnsi="Times New Roman" w:cs="Times New Roman"/>
                <w:i/>
                <w:iCs/>
                <w:color w:val="00B050"/>
                <w:lang w:val="en-IN"/>
              </w:rPr>
              <w:t>"Patient-Centered Perspectives: The Invisible Multi-Organ Burden"</w:t>
            </w:r>
            <w:r w:rsidRPr="00E5096C">
              <w:rPr>
                <w:rFonts w:ascii="Times New Roman" w:hAnsi="Times New Roman" w:cs="Times New Roman"/>
                <w:color w:val="00B050"/>
                <w:lang w:val="en-IN"/>
              </w:rPr>
              <w:t xml:space="preserve">. Elaborates on how non-motor autonomic failures (achalasia, neurogenic bladder) and transfusion-dependent anemia impose an exhausting daily burden on physiological stability and induce significant psychosocial distress. </w:t>
            </w:r>
          </w:p>
        </w:tc>
      </w:tr>
      <w:tr w:rsidR="0037689E" w:rsidRPr="00E5096C" w14:paraId="7B112A91" w14:textId="77777777" w:rsidTr="00427104">
        <w:trPr>
          <w:tblCellSpacing w:w="15" w:type="dxa"/>
        </w:trPr>
        <w:tc>
          <w:tcPr>
            <w:tcW w:w="0" w:type="auto"/>
            <w:tcMar>
              <w:top w:w="120" w:type="dxa"/>
              <w:left w:w="180" w:type="dxa"/>
              <w:bottom w:w="120" w:type="dxa"/>
              <w:right w:w="180" w:type="dxa"/>
            </w:tcMar>
            <w:vAlign w:val="center"/>
            <w:hideMark/>
          </w:tcPr>
          <w:p w14:paraId="5E8136A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b/>
                <w:bCs/>
                <w:color w:val="00B050"/>
                <w:lang w:val="en-IN"/>
              </w:rPr>
              <w:t>Informed consent</w:t>
            </w:r>
          </w:p>
        </w:tc>
        <w:tc>
          <w:tcPr>
            <w:tcW w:w="0" w:type="auto"/>
            <w:tcMar>
              <w:top w:w="120" w:type="dxa"/>
              <w:left w:w="180" w:type="dxa"/>
              <w:bottom w:w="120" w:type="dxa"/>
              <w:right w:w="180" w:type="dxa"/>
            </w:tcMar>
            <w:vAlign w:val="center"/>
            <w:hideMark/>
          </w:tcPr>
          <w:p w14:paraId="1E19ED13"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13</w:t>
            </w:r>
          </w:p>
        </w:tc>
        <w:tc>
          <w:tcPr>
            <w:tcW w:w="0" w:type="auto"/>
            <w:tcMar>
              <w:top w:w="120" w:type="dxa"/>
              <w:left w:w="180" w:type="dxa"/>
              <w:bottom w:w="120" w:type="dxa"/>
              <w:right w:w="180" w:type="dxa"/>
            </w:tcMar>
            <w:vAlign w:val="center"/>
            <w:hideMark/>
          </w:tcPr>
          <w:p w14:paraId="63A8ADEB" w14:textId="77777777" w:rsidR="0037689E" w:rsidRPr="00E5096C" w:rsidRDefault="0037689E" w:rsidP="00427104">
            <w:pPr>
              <w:rPr>
                <w:rFonts w:ascii="Times New Roman" w:hAnsi="Times New Roman" w:cs="Times New Roman"/>
                <w:color w:val="00B050"/>
                <w:lang w:val="en-IN"/>
              </w:rPr>
            </w:pPr>
            <w:r w:rsidRPr="00E5096C">
              <w:rPr>
                <w:rFonts w:ascii="Times New Roman" w:hAnsi="Times New Roman" w:cs="Times New Roman"/>
                <w:color w:val="00B050"/>
                <w:lang w:val="en-IN"/>
              </w:rPr>
              <w:t>Did the patient (or proxy) provide informed consent?</w:t>
            </w:r>
          </w:p>
        </w:tc>
        <w:tc>
          <w:tcPr>
            <w:tcW w:w="0" w:type="auto"/>
            <w:tcMar>
              <w:top w:w="120" w:type="dxa"/>
              <w:left w:w="180" w:type="dxa"/>
              <w:bottom w:w="120" w:type="dxa"/>
              <w:right w:w="180" w:type="dxa"/>
            </w:tcMar>
            <w:vAlign w:val="center"/>
            <w:hideMark/>
          </w:tcPr>
          <w:p w14:paraId="5924FD2A" w14:textId="77777777" w:rsidR="0037689E" w:rsidRPr="00E5096C" w:rsidRDefault="0037689E" w:rsidP="00427104">
            <w:pPr>
              <w:rPr>
                <w:rFonts w:ascii="Times New Roman" w:hAnsi="Times New Roman" w:cs="Times New Roman"/>
                <w:color w:val="00B050"/>
                <w:lang w:val="en-IN"/>
              </w:rPr>
            </w:pPr>
            <w:r>
              <w:rPr>
                <w:rFonts w:ascii="Times New Roman" w:hAnsi="Times New Roman" w:cs="Times New Roman"/>
                <w:b/>
                <w:bCs/>
                <w:color w:val="00B050"/>
                <w:lang w:val="en-IN"/>
              </w:rPr>
              <w:t xml:space="preserve">Yes - </w:t>
            </w:r>
            <w:r w:rsidRPr="00E5096C">
              <w:rPr>
                <w:rFonts w:ascii="Times New Roman" w:hAnsi="Times New Roman" w:cs="Times New Roman"/>
                <w:b/>
                <w:bCs/>
                <w:color w:val="00B050"/>
                <w:lang w:val="en-IN"/>
              </w:rPr>
              <w:t>Explicitly Stated</w:t>
            </w:r>
            <w:r w:rsidRPr="00F00B27">
              <w:rPr>
                <w:rFonts w:ascii="Times New Roman" w:hAnsi="Times New Roman" w:cs="Times New Roman"/>
                <w:color w:val="00B050"/>
              </w:rPr>
              <w:t xml:space="preserve">– </w:t>
            </w:r>
            <w:r>
              <w:rPr>
                <w:rFonts w:ascii="Times New Roman" w:hAnsi="Times New Roman" w:cs="Times New Roman"/>
                <w:color w:val="00B050"/>
              </w:rPr>
              <w:t>U</w:t>
            </w:r>
            <w:r w:rsidRPr="00F00B27">
              <w:rPr>
                <w:rFonts w:ascii="Times New Roman" w:hAnsi="Times New Roman" w:cs="Times New Roman"/>
                <w:color w:val="00B050"/>
              </w:rPr>
              <w:t xml:space="preserve">nder the dedicated </w:t>
            </w:r>
            <w:r w:rsidRPr="00F00B27">
              <w:rPr>
                <w:rFonts w:ascii="Times New Roman" w:hAnsi="Times New Roman" w:cs="Times New Roman"/>
                <w:i/>
                <w:iCs/>
                <w:color w:val="00B050"/>
              </w:rPr>
              <w:t>Ethics Approval and Consent to Participate</w:t>
            </w:r>
            <w:r w:rsidRPr="00F00B27">
              <w:rPr>
                <w:rFonts w:ascii="Times New Roman" w:hAnsi="Times New Roman" w:cs="Times New Roman"/>
                <w:color w:val="00B050"/>
              </w:rPr>
              <w:t xml:space="preserve"> and </w:t>
            </w:r>
            <w:r w:rsidRPr="00F00B27">
              <w:rPr>
                <w:rFonts w:ascii="Times New Roman" w:hAnsi="Times New Roman" w:cs="Times New Roman"/>
                <w:i/>
                <w:iCs/>
                <w:color w:val="00B050"/>
              </w:rPr>
              <w:t>Consent for Publication</w:t>
            </w:r>
            <w:r w:rsidRPr="00F00B27">
              <w:rPr>
                <w:rFonts w:ascii="Times New Roman" w:hAnsi="Times New Roman" w:cs="Times New Roman"/>
                <w:color w:val="00B050"/>
              </w:rPr>
              <w:t xml:space="preserve"> sections. Formal written informed consent for the publication of de-</w:t>
            </w:r>
            <w:r w:rsidRPr="00F00B27">
              <w:rPr>
                <w:rFonts w:ascii="Times New Roman" w:hAnsi="Times New Roman" w:cs="Times New Roman"/>
                <w:color w:val="00B050"/>
              </w:rPr>
              <w:lastRenderedPageBreak/>
              <w:t>identified clinical metrics and the pedigree illustration was obtained from all living participants (Cases 2, 3, and 4). For the deceased individual (Case 1), formal written consent was obtained from his legal next of kin. Signed institutional documentation is available for editorial verification upon request.</w:t>
            </w:r>
          </w:p>
        </w:tc>
      </w:tr>
    </w:tbl>
    <w:p w14:paraId="5C9AF59C" w14:textId="77777777" w:rsidR="0037689E" w:rsidRPr="0063049F" w:rsidRDefault="0037689E" w:rsidP="0037689E">
      <w:pPr>
        <w:rPr>
          <w:rFonts w:ascii="Times New Roman" w:hAnsi="Times New Roman" w:cs="Times New Roman"/>
        </w:rPr>
      </w:pPr>
    </w:p>
    <w:p w14:paraId="519C7E81" w14:textId="77777777" w:rsidR="00DE6AE2" w:rsidRDefault="00DE6AE2"/>
    <w:sectPr w:rsidR="00DE6AE2" w:rsidSect="00376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9E"/>
    <w:rsid w:val="00195413"/>
    <w:rsid w:val="0037689E"/>
    <w:rsid w:val="003A03A7"/>
    <w:rsid w:val="003D0186"/>
    <w:rsid w:val="007278E4"/>
    <w:rsid w:val="00A3738C"/>
    <w:rsid w:val="00B91ABC"/>
    <w:rsid w:val="00BC6C35"/>
    <w:rsid w:val="00BF367D"/>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2290"/>
  <w15:chartTrackingRefBased/>
  <w15:docId w15:val="{4CCC4D88-A3F2-4C1B-85B5-04C6D1D7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9E"/>
  </w:style>
  <w:style w:type="paragraph" w:styleId="Heading1">
    <w:name w:val="heading 1"/>
    <w:basedOn w:val="Normal"/>
    <w:next w:val="Normal"/>
    <w:link w:val="Heading1Char"/>
    <w:uiPriority w:val="9"/>
    <w:qFormat/>
    <w:rsid w:val="00376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6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6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6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6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6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8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6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6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6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6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6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89E"/>
    <w:rPr>
      <w:rFonts w:eastAsiaTheme="majorEastAsia" w:cstheme="majorBidi"/>
      <w:color w:val="272727" w:themeColor="text1" w:themeTint="D8"/>
    </w:rPr>
  </w:style>
  <w:style w:type="paragraph" w:styleId="Title">
    <w:name w:val="Title"/>
    <w:basedOn w:val="Normal"/>
    <w:next w:val="Normal"/>
    <w:link w:val="TitleChar"/>
    <w:uiPriority w:val="10"/>
    <w:qFormat/>
    <w:rsid w:val="00376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89E"/>
    <w:pPr>
      <w:spacing w:before="160"/>
      <w:jc w:val="center"/>
    </w:pPr>
    <w:rPr>
      <w:i/>
      <w:iCs/>
      <w:color w:val="404040" w:themeColor="text1" w:themeTint="BF"/>
    </w:rPr>
  </w:style>
  <w:style w:type="character" w:customStyle="1" w:styleId="QuoteChar">
    <w:name w:val="Quote Char"/>
    <w:basedOn w:val="DefaultParagraphFont"/>
    <w:link w:val="Quote"/>
    <w:uiPriority w:val="29"/>
    <w:rsid w:val="0037689E"/>
    <w:rPr>
      <w:i/>
      <w:iCs/>
      <w:color w:val="404040" w:themeColor="text1" w:themeTint="BF"/>
    </w:rPr>
  </w:style>
  <w:style w:type="paragraph" w:styleId="ListParagraph">
    <w:name w:val="List Paragraph"/>
    <w:basedOn w:val="Normal"/>
    <w:uiPriority w:val="34"/>
    <w:qFormat/>
    <w:rsid w:val="0037689E"/>
    <w:pPr>
      <w:ind w:left="720"/>
      <w:contextualSpacing/>
    </w:pPr>
  </w:style>
  <w:style w:type="character" w:styleId="IntenseEmphasis">
    <w:name w:val="Intense Emphasis"/>
    <w:basedOn w:val="DefaultParagraphFont"/>
    <w:uiPriority w:val="21"/>
    <w:qFormat/>
    <w:rsid w:val="0037689E"/>
    <w:rPr>
      <w:i/>
      <w:iCs/>
      <w:color w:val="0F4761" w:themeColor="accent1" w:themeShade="BF"/>
    </w:rPr>
  </w:style>
  <w:style w:type="paragraph" w:styleId="IntenseQuote">
    <w:name w:val="Intense Quote"/>
    <w:basedOn w:val="Normal"/>
    <w:next w:val="Normal"/>
    <w:link w:val="IntenseQuoteChar"/>
    <w:uiPriority w:val="30"/>
    <w:qFormat/>
    <w:rsid w:val="00376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689E"/>
    <w:rPr>
      <w:i/>
      <w:iCs/>
      <w:color w:val="0F4761" w:themeColor="accent1" w:themeShade="BF"/>
    </w:rPr>
  </w:style>
  <w:style w:type="character" w:styleId="IntenseReference">
    <w:name w:val="Intense Reference"/>
    <w:basedOn w:val="DefaultParagraphFont"/>
    <w:uiPriority w:val="32"/>
    <w:qFormat/>
    <w:rsid w:val="003768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1162</Words>
  <Characters>6628</Characters>
  <Application>Microsoft Office Word</Application>
  <DocSecurity>0</DocSecurity>
  <Lines>55</Lines>
  <Paragraphs>15</Paragraphs>
  <ScaleCrop>false</ScaleCrop>
  <Company>Springer Nature</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2026-07-08T08:29:00Z</dcterms:created>
  <dcterms:modified xsi:type="dcterms:W3CDTF">2026-07-08T08:30:00Z</dcterms:modified>
</cp:coreProperties>
</file>