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1BC68" w14:textId="75BF251B" w:rsidR="006D6C80" w:rsidRPr="006D6C80" w:rsidRDefault="006D6C80" w:rsidP="006D6C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D6C80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056688E3" w14:textId="77777777" w:rsid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0C68A5" w14:textId="10C58AB2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C80">
        <w:rPr>
          <w:rFonts w:ascii="Times New Roman" w:hAnsi="Times New Roman" w:cs="Times New Roman"/>
          <w:sz w:val="24"/>
          <w:szCs w:val="24"/>
        </w:rPr>
        <w:t>• Recovery after spinal cord injury was experienced as ongoing daily work rather than a linear process.</w:t>
      </w:r>
    </w:p>
    <w:p w14:paraId="32176F90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FB743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C80">
        <w:rPr>
          <w:rFonts w:ascii="Times New Roman" w:hAnsi="Times New Roman" w:cs="Times New Roman"/>
          <w:sz w:val="24"/>
          <w:szCs w:val="24"/>
        </w:rPr>
        <w:t>• Small functional gains, such as standing and transferring, were used by participants to measure progress.</w:t>
      </w:r>
    </w:p>
    <w:p w14:paraId="03C657EA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2765ED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C80">
        <w:rPr>
          <w:rFonts w:ascii="Times New Roman" w:hAnsi="Times New Roman" w:cs="Times New Roman"/>
          <w:sz w:val="24"/>
          <w:szCs w:val="24"/>
        </w:rPr>
        <w:t>• Intimate care routines significantly influenced dignity, confidence, and participation in daily life.</w:t>
      </w:r>
    </w:p>
    <w:p w14:paraId="617E1E98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68A3D5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C80">
        <w:rPr>
          <w:rFonts w:ascii="Times New Roman" w:hAnsi="Times New Roman" w:cs="Times New Roman"/>
          <w:sz w:val="24"/>
          <w:szCs w:val="24"/>
        </w:rPr>
        <w:t>• Family members and live-in helpers played a central role in enabling functional recovery.</w:t>
      </w:r>
    </w:p>
    <w:p w14:paraId="4F61EA76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C80AA" w14:textId="77777777" w:rsidR="006D6C80" w:rsidRPr="006D6C80" w:rsidRDefault="006D6C80" w:rsidP="006D6C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C80">
        <w:rPr>
          <w:rFonts w:ascii="Times New Roman" w:hAnsi="Times New Roman" w:cs="Times New Roman"/>
          <w:sz w:val="24"/>
          <w:szCs w:val="24"/>
        </w:rPr>
        <w:t>• Financial, transport, and administrative barriers shaped how participants engaged with rehabilitation services.</w:t>
      </w:r>
    </w:p>
    <w:p w14:paraId="30E34DA0" w14:textId="77777777" w:rsidR="00CE0022" w:rsidRDefault="00CE0022"/>
    <w:sectPr w:rsidR="00CE0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559C1" w14:textId="77777777" w:rsidR="006D6C80" w:rsidRDefault="006D6C80" w:rsidP="006D6C80">
      <w:pPr>
        <w:spacing w:after="0" w:line="240" w:lineRule="auto"/>
      </w:pPr>
      <w:r>
        <w:separator/>
      </w:r>
    </w:p>
  </w:endnote>
  <w:endnote w:type="continuationSeparator" w:id="0">
    <w:p w14:paraId="7BED2A74" w14:textId="77777777" w:rsidR="006D6C80" w:rsidRDefault="006D6C80" w:rsidP="006D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822E" w14:textId="77777777" w:rsidR="006D6C80" w:rsidRDefault="006D6C80" w:rsidP="006D6C80">
      <w:pPr>
        <w:spacing w:after="0" w:line="240" w:lineRule="auto"/>
      </w:pPr>
      <w:r>
        <w:separator/>
      </w:r>
    </w:p>
  </w:footnote>
  <w:footnote w:type="continuationSeparator" w:id="0">
    <w:p w14:paraId="774C8CE5" w14:textId="77777777" w:rsidR="006D6C80" w:rsidRDefault="006D6C80" w:rsidP="006D6C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C80"/>
    <w:rsid w:val="004734B7"/>
    <w:rsid w:val="006D6C80"/>
    <w:rsid w:val="00901A84"/>
    <w:rsid w:val="009A3BCC"/>
    <w:rsid w:val="00C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5F26"/>
  <w15:chartTrackingRefBased/>
  <w15:docId w15:val="{3F7EC78B-87A3-4881-A83D-21D621F2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C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C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C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C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C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C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C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C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C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C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6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C80"/>
  </w:style>
  <w:style w:type="paragraph" w:styleId="Footer">
    <w:name w:val="footer"/>
    <w:basedOn w:val="Normal"/>
    <w:link w:val="FooterChar"/>
    <w:uiPriority w:val="99"/>
    <w:unhideWhenUsed/>
    <w:rsid w:val="006D6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Jaminah Ali (AH)</dc:creator>
  <cp:keywords/>
  <dc:description/>
  <cp:lastModifiedBy>Jaminah Ali (AH)</cp:lastModifiedBy>
  <cp:revision>1</cp:revision>
  <dcterms:created xsi:type="dcterms:W3CDTF">2026-06-23T05:04:00Z</dcterms:created>
  <dcterms:modified xsi:type="dcterms:W3CDTF">2026-06-23T05:06:00Z</dcterms:modified>
</cp:coreProperties>
</file>