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DABBD" w14:textId="77777777" w:rsidR="00BD4EB9" w:rsidRPr="00375C23" w:rsidRDefault="00BD4EB9" w:rsidP="00BD4EB9">
      <w:pPr>
        <w:pStyle w:val="a9"/>
        <w:jc w:val="center"/>
        <w:rPr>
          <w:rFonts w:ascii="Arial" w:hAnsi="Arial" w:cs="Arial"/>
          <w:b/>
          <w:bCs/>
          <w:sz w:val="36"/>
          <w:szCs w:val="36"/>
          <w:lang w:val="en-US"/>
        </w:rPr>
      </w:pPr>
    </w:p>
    <w:p w14:paraId="4D39AA91" w14:textId="77777777" w:rsidR="00E85E9D" w:rsidRPr="00375C23" w:rsidRDefault="00E85E9D" w:rsidP="00E85E9D">
      <w:pPr>
        <w:rPr>
          <w:rFonts w:ascii="Arial" w:hAnsi="Arial" w:cs="Arial"/>
          <w:lang w:val="en-US"/>
        </w:rPr>
      </w:pPr>
    </w:p>
    <w:p w14:paraId="26EECF68" w14:textId="77777777" w:rsidR="00E85E9D" w:rsidRPr="00375C23" w:rsidRDefault="00E85E9D" w:rsidP="00E85E9D">
      <w:pPr>
        <w:rPr>
          <w:rFonts w:ascii="Arial" w:hAnsi="Arial" w:cs="Arial"/>
          <w:lang w:val="en-US"/>
        </w:rPr>
      </w:pPr>
    </w:p>
    <w:p w14:paraId="7BDC7B3C" w14:textId="77777777" w:rsidR="00E85E9D" w:rsidRPr="00375C23" w:rsidRDefault="00E85E9D" w:rsidP="00E85E9D">
      <w:pPr>
        <w:rPr>
          <w:rFonts w:ascii="Arial" w:hAnsi="Arial" w:cs="Arial"/>
          <w:sz w:val="28"/>
          <w:szCs w:val="28"/>
          <w:lang w:val="en-US"/>
        </w:rPr>
      </w:pPr>
    </w:p>
    <w:p w14:paraId="52DFBF03" w14:textId="77777777" w:rsidR="00E85E9D" w:rsidRPr="00375C23" w:rsidRDefault="00E85E9D" w:rsidP="00E85E9D">
      <w:pPr>
        <w:rPr>
          <w:rFonts w:ascii="Arial" w:hAnsi="Arial" w:cs="Arial"/>
          <w:sz w:val="28"/>
          <w:szCs w:val="28"/>
          <w:lang w:val="en-US"/>
        </w:rPr>
      </w:pPr>
    </w:p>
    <w:p w14:paraId="6ABD5C01" w14:textId="224B3B79" w:rsidR="00BD4EB9" w:rsidRPr="00375C23" w:rsidRDefault="002E2FAE" w:rsidP="00E85E9D">
      <w:pPr>
        <w:pStyle w:val="a9"/>
        <w:spacing w:line="360" w:lineRule="auto"/>
        <w:jc w:val="center"/>
        <w:rPr>
          <w:rFonts w:ascii="Arial" w:hAnsi="Arial" w:cs="Arial"/>
          <w:b/>
          <w:bCs/>
          <w:sz w:val="40"/>
          <w:szCs w:val="40"/>
          <w:lang w:val="en-US"/>
        </w:rPr>
      </w:pPr>
      <w:r w:rsidRPr="00375C23">
        <w:rPr>
          <w:rFonts w:ascii="Arial" w:hAnsi="Arial" w:cs="Arial"/>
          <w:b/>
          <w:bCs/>
          <w:sz w:val="40"/>
          <w:szCs w:val="40"/>
          <w:lang w:val="en-US"/>
        </w:rPr>
        <w:t>Supplementary</w:t>
      </w:r>
      <w:r w:rsidR="00B74502" w:rsidRPr="00375C23">
        <w:rPr>
          <w:rFonts w:ascii="Arial" w:hAnsi="Arial" w:cs="Arial"/>
          <w:b/>
          <w:bCs/>
          <w:sz w:val="40"/>
          <w:szCs w:val="40"/>
          <w:lang w:val="en-US"/>
        </w:rPr>
        <w:t xml:space="preserve"> </w:t>
      </w:r>
      <w:r w:rsidR="00E85E9D" w:rsidRPr="00375C23">
        <w:rPr>
          <w:rFonts w:ascii="Arial" w:hAnsi="Arial" w:cs="Arial"/>
          <w:b/>
          <w:bCs/>
          <w:sz w:val="40"/>
          <w:szCs w:val="40"/>
          <w:lang w:val="en-US"/>
        </w:rPr>
        <w:t xml:space="preserve">File </w:t>
      </w:r>
    </w:p>
    <w:p w14:paraId="070D76CD" w14:textId="0E06F730" w:rsidR="00E85E9D" w:rsidRPr="00375C23" w:rsidRDefault="00E85E9D" w:rsidP="00E85E9D">
      <w:pPr>
        <w:pStyle w:val="a9"/>
        <w:spacing w:line="360" w:lineRule="auto"/>
        <w:jc w:val="center"/>
        <w:rPr>
          <w:rFonts w:ascii="Arial" w:hAnsi="Arial" w:cs="Arial"/>
          <w:b/>
          <w:bCs/>
          <w:sz w:val="40"/>
          <w:szCs w:val="40"/>
          <w:lang w:val="en-US"/>
        </w:rPr>
      </w:pPr>
      <w:r w:rsidRPr="00375C23">
        <w:rPr>
          <w:rFonts w:ascii="Arial" w:hAnsi="Arial" w:cs="Arial"/>
          <w:b/>
          <w:bCs/>
          <w:sz w:val="40"/>
          <w:szCs w:val="40"/>
          <w:lang w:val="en-US"/>
        </w:rPr>
        <w:t>For</w:t>
      </w:r>
    </w:p>
    <w:p w14:paraId="7D99FA5D" w14:textId="62DD8C7D" w:rsidR="00E85E9D" w:rsidRPr="00375C23" w:rsidRDefault="00254B42" w:rsidP="00E85E9D">
      <w:pPr>
        <w:spacing w:before="120" w:line="360" w:lineRule="auto"/>
        <w:jc w:val="center"/>
        <w:rPr>
          <w:rFonts w:ascii="Arial" w:eastAsia="宋体" w:hAnsi="Arial" w:cs="Arial"/>
          <w:bCs/>
          <w:kern w:val="2"/>
          <w:sz w:val="36"/>
          <w:szCs w:val="32"/>
          <w:lang w:val="en-US"/>
        </w:rPr>
      </w:pPr>
      <w:bookmarkStart w:id="0" w:name="OLE_LINK102"/>
      <w:r w:rsidRPr="00254B42">
        <w:rPr>
          <w:rFonts w:ascii="Arial" w:eastAsia="宋体" w:hAnsi="Arial" w:cs="Arial"/>
          <w:bCs/>
          <w:kern w:val="2"/>
          <w:sz w:val="36"/>
          <w:szCs w:val="32"/>
          <w:lang w:val="en-US"/>
        </w:rPr>
        <w:t>Atmospheric transport reshapes cross-administrative methane attribution from Shanxi coal basins to Beijing-Tianjin-Hebei</w:t>
      </w:r>
    </w:p>
    <w:bookmarkEnd w:id="0"/>
    <w:p w14:paraId="513C8A14" w14:textId="77777777" w:rsidR="00BD4EB9" w:rsidRPr="00375C23" w:rsidRDefault="00BD4EB9" w:rsidP="00E85E9D">
      <w:pPr>
        <w:spacing w:before="120" w:line="360" w:lineRule="auto"/>
        <w:rPr>
          <w:rFonts w:ascii="Arial" w:hAnsi="Arial" w:cs="Arial"/>
          <w:b/>
          <w:bCs/>
          <w:color w:val="000000" w:themeColor="text1"/>
          <w:sz w:val="26"/>
          <w:szCs w:val="26"/>
          <w:lang w:val="en-US"/>
        </w:rPr>
      </w:pPr>
    </w:p>
    <w:p w14:paraId="6326A98F" w14:textId="5CF9CAAB" w:rsidR="00FC4331" w:rsidRPr="00CA3C7D" w:rsidRDefault="00FC4331" w:rsidP="00CA3C7D">
      <w:pPr>
        <w:pStyle w:val="Affiliation"/>
        <w:spacing w:before="0" w:line="360" w:lineRule="auto"/>
        <w:jc w:val="center"/>
        <w:rPr>
          <w:rFonts w:ascii="Arial" w:eastAsiaTheme="minorEastAsia" w:hAnsi="Arial" w:cs="Arial"/>
          <w:color w:val="000000" w:themeColor="text1"/>
          <w:sz w:val="24"/>
          <w:lang w:eastAsia="zh-CN"/>
        </w:rPr>
      </w:pPr>
      <w:bookmarkStart w:id="1" w:name="OLE_LINK36"/>
      <w:r w:rsidRPr="00FC4331">
        <w:rPr>
          <w:rFonts w:ascii="Arial" w:eastAsiaTheme="minorEastAsia" w:hAnsi="Arial" w:cs="Arial"/>
          <w:color w:val="000000" w:themeColor="text1"/>
          <w:sz w:val="24"/>
          <w:lang w:eastAsia="zh-CN"/>
        </w:rPr>
        <w:t>Yanqiu Liu</w:t>
      </w:r>
      <w:r w:rsidRPr="00FC4331">
        <w:rPr>
          <w:rFonts w:ascii="Arial" w:eastAsiaTheme="minorEastAsia" w:hAnsi="Arial" w:cs="Arial"/>
          <w:color w:val="000000" w:themeColor="text1"/>
          <w:sz w:val="24"/>
          <w:vertAlign w:val="superscript"/>
          <w:lang w:eastAsia="zh-CN"/>
        </w:rPr>
        <w:t>1</w:t>
      </w:r>
      <w:r w:rsidRPr="00FC4331">
        <w:rPr>
          <w:rFonts w:ascii="Arial" w:eastAsiaTheme="minorEastAsia" w:hAnsi="Arial" w:cs="Arial"/>
          <w:color w:val="000000" w:themeColor="text1"/>
          <w:sz w:val="24"/>
          <w:lang w:eastAsia="zh-CN"/>
        </w:rPr>
        <w:t>, Jason Blake Cohen</w:t>
      </w:r>
      <w:r w:rsidRPr="00FC4331">
        <w:rPr>
          <w:rFonts w:ascii="Arial" w:eastAsiaTheme="minorEastAsia" w:hAnsi="Arial" w:cs="Arial"/>
          <w:color w:val="000000" w:themeColor="text1"/>
          <w:sz w:val="24"/>
          <w:vertAlign w:val="superscript"/>
          <w:lang w:eastAsia="zh-CN"/>
        </w:rPr>
        <w:t>1,2*</w:t>
      </w:r>
      <w:r w:rsidRPr="00FC4331">
        <w:rPr>
          <w:rFonts w:ascii="Arial" w:eastAsiaTheme="minorEastAsia" w:hAnsi="Arial" w:cs="Arial"/>
          <w:color w:val="000000" w:themeColor="text1"/>
          <w:sz w:val="24"/>
          <w:lang w:eastAsia="zh-CN"/>
        </w:rPr>
        <w:t>, Kai Qin</w:t>
      </w:r>
      <w:r w:rsidRPr="00FC4331">
        <w:rPr>
          <w:rFonts w:ascii="Arial" w:eastAsiaTheme="minorEastAsia" w:hAnsi="Arial" w:cs="Arial"/>
          <w:color w:val="000000" w:themeColor="text1"/>
          <w:sz w:val="24"/>
          <w:vertAlign w:val="superscript"/>
          <w:lang w:eastAsia="zh-CN"/>
        </w:rPr>
        <w:t>1,2*</w:t>
      </w:r>
      <w:r w:rsidRPr="00FC4331">
        <w:rPr>
          <w:rFonts w:ascii="Arial" w:eastAsiaTheme="minorEastAsia" w:hAnsi="Arial" w:cs="Arial"/>
          <w:color w:val="000000" w:themeColor="text1"/>
          <w:sz w:val="24"/>
          <w:lang w:eastAsia="zh-CN"/>
        </w:rPr>
        <w:t>, Wei Hu</w:t>
      </w:r>
      <w:r w:rsidRPr="00FC4331">
        <w:rPr>
          <w:rFonts w:ascii="Arial" w:eastAsiaTheme="minorEastAsia" w:hAnsi="Arial" w:cs="Arial"/>
          <w:color w:val="000000" w:themeColor="text1"/>
          <w:sz w:val="24"/>
          <w:vertAlign w:val="superscript"/>
          <w:lang w:eastAsia="zh-CN"/>
        </w:rPr>
        <w:t>1</w:t>
      </w:r>
      <w:r w:rsidRPr="00FC4331">
        <w:rPr>
          <w:rFonts w:ascii="Arial" w:eastAsiaTheme="minorEastAsia" w:hAnsi="Arial" w:cs="Arial"/>
          <w:color w:val="000000" w:themeColor="text1"/>
          <w:sz w:val="24"/>
          <w:lang w:eastAsia="zh-CN"/>
        </w:rPr>
        <w:t>, Ge Han</w:t>
      </w:r>
      <w:r w:rsidRPr="00FC4331">
        <w:rPr>
          <w:rFonts w:ascii="Arial" w:eastAsiaTheme="minorEastAsia" w:hAnsi="Arial" w:cs="Arial"/>
          <w:color w:val="000000" w:themeColor="text1"/>
          <w:sz w:val="24"/>
          <w:vertAlign w:val="superscript"/>
          <w:lang w:eastAsia="zh-CN"/>
        </w:rPr>
        <w:t>3</w:t>
      </w:r>
      <w:r w:rsidRPr="00FC4331">
        <w:rPr>
          <w:rFonts w:ascii="Arial" w:eastAsiaTheme="minorEastAsia" w:hAnsi="Arial" w:cs="Arial"/>
          <w:color w:val="000000" w:themeColor="text1"/>
          <w:sz w:val="24"/>
          <w:lang w:eastAsia="zh-CN"/>
        </w:rPr>
        <w:t>, Lu Shen</w:t>
      </w:r>
      <w:r w:rsidRPr="00FC4331">
        <w:rPr>
          <w:rFonts w:ascii="Arial" w:eastAsiaTheme="minorEastAsia" w:hAnsi="Arial" w:cs="Arial"/>
          <w:color w:val="000000" w:themeColor="text1"/>
          <w:sz w:val="24"/>
          <w:vertAlign w:val="superscript"/>
          <w:lang w:eastAsia="zh-CN"/>
        </w:rPr>
        <w:t>4</w:t>
      </w:r>
      <w:r w:rsidRPr="00FC4331">
        <w:rPr>
          <w:rFonts w:ascii="Arial" w:eastAsiaTheme="minorEastAsia" w:hAnsi="Arial" w:cs="Arial"/>
          <w:color w:val="000000" w:themeColor="text1"/>
          <w:sz w:val="24"/>
          <w:lang w:eastAsia="zh-CN"/>
        </w:rPr>
        <w:t>, Hengkang Wang</w:t>
      </w:r>
      <w:r w:rsidRPr="00FC4331">
        <w:rPr>
          <w:rFonts w:ascii="Arial" w:eastAsiaTheme="minorEastAsia" w:hAnsi="Arial" w:cs="Arial"/>
          <w:color w:val="000000" w:themeColor="text1"/>
          <w:sz w:val="24"/>
          <w:vertAlign w:val="superscript"/>
          <w:lang w:eastAsia="zh-CN"/>
        </w:rPr>
        <w:t>5</w:t>
      </w:r>
      <w:r w:rsidR="00DC3BD1" w:rsidRPr="00DC3BD1">
        <w:rPr>
          <w:rFonts w:ascii="Arial" w:eastAsiaTheme="minorEastAsia" w:hAnsi="Arial" w:cs="Arial"/>
          <w:color w:val="000000" w:themeColor="text1"/>
          <w:sz w:val="24"/>
          <w:lang w:eastAsia="zh-CN"/>
        </w:rPr>
        <w:t>, Kushal Tibrewal</w:t>
      </w:r>
      <w:r w:rsidR="00DC3BD1" w:rsidRPr="00DC3BD1">
        <w:rPr>
          <w:rFonts w:ascii="Arial" w:eastAsiaTheme="minorEastAsia" w:hAnsi="Arial" w:cs="Arial"/>
          <w:color w:val="000000" w:themeColor="text1"/>
          <w:sz w:val="24"/>
          <w:vertAlign w:val="superscript"/>
          <w:lang w:eastAsia="zh-CN"/>
        </w:rPr>
        <w:t>6</w:t>
      </w:r>
      <w:r w:rsidR="00DC3BD1" w:rsidRPr="00DC3BD1">
        <w:rPr>
          <w:rFonts w:ascii="Arial" w:eastAsiaTheme="minorEastAsia" w:hAnsi="Arial" w:cs="Arial"/>
          <w:color w:val="000000" w:themeColor="text1"/>
          <w:sz w:val="24"/>
          <w:lang w:eastAsia="zh-CN"/>
        </w:rPr>
        <w:t>, Robert A. Field</w:t>
      </w:r>
      <w:r w:rsidR="00DC3BD1" w:rsidRPr="00DC3BD1">
        <w:rPr>
          <w:rFonts w:ascii="Arial" w:eastAsiaTheme="minorEastAsia" w:hAnsi="Arial" w:cs="Arial"/>
          <w:color w:val="000000" w:themeColor="text1"/>
          <w:sz w:val="24"/>
          <w:vertAlign w:val="superscript"/>
          <w:lang w:eastAsia="zh-CN"/>
        </w:rPr>
        <w:t>6</w:t>
      </w:r>
    </w:p>
    <w:bookmarkEnd w:id="1"/>
    <w:p w14:paraId="0AA25673" w14:textId="77777777" w:rsidR="00E85E9D" w:rsidRPr="00A95DEE" w:rsidRDefault="00E85E9D" w:rsidP="00E85E9D">
      <w:pPr>
        <w:pStyle w:val="Affiliation"/>
        <w:spacing w:before="0" w:line="360" w:lineRule="auto"/>
        <w:ind w:left="154" w:hangingChars="64" w:hanging="154"/>
        <w:contextualSpacing w:val="0"/>
        <w:jc w:val="center"/>
        <w:rPr>
          <w:rFonts w:ascii="Arial" w:hAnsi="Arial" w:cs="Arial"/>
          <w:i/>
          <w:iCs/>
          <w:color w:val="000000" w:themeColor="text1"/>
          <w:sz w:val="24"/>
          <w:lang w:val="en-US"/>
        </w:rPr>
      </w:pPr>
    </w:p>
    <w:p w14:paraId="2B5CA939" w14:textId="092F80D3" w:rsidR="00E51D7E" w:rsidRPr="00E51D7E" w:rsidRDefault="00E51D7E" w:rsidP="00E51D7E">
      <w:pPr>
        <w:pStyle w:val="Affiliation"/>
        <w:spacing w:line="360" w:lineRule="auto"/>
        <w:ind w:left="154" w:hangingChars="64" w:hanging="154"/>
        <w:jc w:val="center"/>
        <w:rPr>
          <w:rFonts w:ascii="Arial" w:eastAsiaTheme="minorEastAsia" w:hAnsi="Arial" w:cs="Arial"/>
          <w:i/>
          <w:iCs/>
          <w:color w:val="000000" w:themeColor="text1"/>
          <w:sz w:val="24"/>
          <w:lang w:eastAsia="zh-CN"/>
        </w:rPr>
      </w:pPr>
      <w:bookmarkStart w:id="2" w:name="OLE_LINK58"/>
      <w:bookmarkStart w:id="3" w:name="OLE_LINK64"/>
      <w:bookmarkStart w:id="4" w:name="OLE_LINK94"/>
      <w:r w:rsidRPr="00E51D7E">
        <w:rPr>
          <w:rFonts w:ascii="Arial" w:eastAsiaTheme="minorEastAsia" w:hAnsi="Arial" w:cs="Arial"/>
          <w:i/>
          <w:iCs/>
          <w:color w:val="000000" w:themeColor="text1"/>
          <w:sz w:val="24"/>
          <w:vertAlign w:val="superscript"/>
          <w:lang w:val="en-US" w:eastAsia="zh-CN"/>
        </w:rPr>
        <w:t xml:space="preserve">1 </w:t>
      </w:r>
      <w:r w:rsidRPr="00E51D7E">
        <w:rPr>
          <w:rFonts w:ascii="Arial" w:eastAsiaTheme="minorEastAsia" w:hAnsi="Arial" w:cs="Arial"/>
          <w:i/>
          <w:iCs/>
          <w:color w:val="000000" w:themeColor="text1"/>
          <w:sz w:val="24"/>
          <w:lang w:eastAsia="zh-CN"/>
        </w:rPr>
        <w:t>School of Environment and Spatial Informatics, China University of Mining and Technology, Xuzhou.</w:t>
      </w:r>
    </w:p>
    <w:p w14:paraId="1CD4C8B9" w14:textId="4A7CEDC2" w:rsidR="00E51D7E" w:rsidRPr="00E51D7E" w:rsidRDefault="00E51D7E" w:rsidP="00E51D7E">
      <w:pPr>
        <w:pStyle w:val="Affiliation"/>
        <w:spacing w:line="360" w:lineRule="auto"/>
        <w:ind w:left="154" w:hangingChars="64" w:hanging="154"/>
        <w:jc w:val="center"/>
        <w:rPr>
          <w:rFonts w:ascii="Arial" w:eastAsiaTheme="minorEastAsia" w:hAnsi="Arial" w:cs="Arial"/>
          <w:i/>
          <w:iCs/>
          <w:color w:val="000000" w:themeColor="text1"/>
          <w:sz w:val="24"/>
          <w:lang w:eastAsia="zh-CN"/>
        </w:rPr>
      </w:pPr>
      <w:r w:rsidRPr="00E51D7E">
        <w:rPr>
          <w:rFonts w:ascii="Arial" w:eastAsiaTheme="minorEastAsia" w:hAnsi="Arial" w:cs="Arial"/>
          <w:i/>
          <w:iCs/>
          <w:color w:val="000000" w:themeColor="text1"/>
          <w:sz w:val="24"/>
          <w:vertAlign w:val="superscript"/>
          <w:lang w:val="en-US" w:eastAsia="zh-CN"/>
        </w:rPr>
        <w:t>2</w:t>
      </w:r>
      <w:r w:rsidRPr="00E51D7E">
        <w:rPr>
          <w:rFonts w:ascii="Arial" w:eastAsiaTheme="minorEastAsia" w:hAnsi="Arial" w:cs="Arial"/>
          <w:i/>
          <w:iCs/>
          <w:color w:val="000000" w:themeColor="text1"/>
          <w:sz w:val="24"/>
          <w:lang w:eastAsia="zh-CN"/>
        </w:rPr>
        <w:t xml:space="preserve"> Shanxi Key Laboratory of Environmental Remote Sensing Application, China University of Mining and Technology, Xuzhou.</w:t>
      </w:r>
    </w:p>
    <w:p w14:paraId="2A2532F5" w14:textId="5B28AA01" w:rsidR="00E51D7E" w:rsidRPr="00E51D7E" w:rsidRDefault="00E51D7E" w:rsidP="00E51D7E">
      <w:pPr>
        <w:pStyle w:val="Affiliation"/>
        <w:spacing w:line="360" w:lineRule="auto"/>
        <w:ind w:left="154" w:hangingChars="64" w:hanging="154"/>
        <w:jc w:val="center"/>
        <w:rPr>
          <w:rFonts w:ascii="Arial" w:eastAsiaTheme="minorEastAsia" w:hAnsi="Arial" w:cs="Arial"/>
          <w:i/>
          <w:iCs/>
          <w:color w:val="000000" w:themeColor="text1"/>
          <w:sz w:val="24"/>
          <w:lang w:eastAsia="zh-CN"/>
        </w:rPr>
      </w:pPr>
      <w:r w:rsidRPr="00E51D7E">
        <w:rPr>
          <w:rFonts w:ascii="Arial" w:eastAsiaTheme="minorEastAsia" w:hAnsi="Arial" w:cs="Arial"/>
          <w:i/>
          <w:iCs/>
          <w:color w:val="000000" w:themeColor="text1"/>
          <w:sz w:val="24"/>
          <w:vertAlign w:val="superscript"/>
          <w:lang w:val="en-US" w:eastAsia="zh-CN"/>
        </w:rPr>
        <w:t>3</w:t>
      </w:r>
      <w:r w:rsidRPr="00E51D7E">
        <w:rPr>
          <w:rFonts w:ascii="Arial" w:eastAsiaTheme="minorEastAsia" w:hAnsi="Arial" w:cs="Arial"/>
          <w:i/>
          <w:iCs/>
          <w:color w:val="000000" w:themeColor="text1"/>
          <w:sz w:val="24"/>
          <w:lang w:eastAsia="zh-CN"/>
        </w:rPr>
        <w:t xml:space="preserve"> Hubei Key Laboratory of Quantitative Remote Sensing of Land and Atmosphere, School of Remote Sensing and Information Engineering, Wuhan University, Wuhan.</w:t>
      </w:r>
    </w:p>
    <w:p w14:paraId="70209AFF" w14:textId="4B46110C" w:rsidR="00E51D7E" w:rsidRPr="00E51D7E" w:rsidRDefault="00E51D7E" w:rsidP="00E51D7E">
      <w:pPr>
        <w:pStyle w:val="Affiliation"/>
        <w:spacing w:line="360" w:lineRule="auto"/>
        <w:ind w:left="154" w:hangingChars="64" w:hanging="154"/>
        <w:jc w:val="center"/>
        <w:rPr>
          <w:rFonts w:ascii="Arial" w:eastAsiaTheme="minorEastAsia" w:hAnsi="Arial" w:cs="Arial"/>
          <w:i/>
          <w:iCs/>
          <w:color w:val="000000" w:themeColor="text1"/>
          <w:sz w:val="24"/>
          <w:lang w:eastAsia="zh-CN"/>
        </w:rPr>
      </w:pPr>
      <w:r w:rsidRPr="00E51D7E">
        <w:rPr>
          <w:rFonts w:ascii="Arial" w:eastAsiaTheme="minorEastAsia" w:hAnsi="Arial" w:cs="Arial"/>
          <w:i/>
          <w:iCs/>
          <w:color w:val="000000" w:themeColor="text1"/>
          <w:sz w:val="24"/>
          <w:vertAlign w:val="superscript"/>
          <w:lang w:val="en-US" w:eastAsia="zh-CN"/>
        </w:rPr>
        <w:t>4</w:t>
      </w:r>
      <w:r w:rsidRPr="00E51D7E">
        <w:rPr>
          <w:rFonts w:ascii="Arial" w:eastAsiaTheme="minorEastAsia" w:hAnsi="Arial" w:cs="Arial"/>
          <w:i/>
          <w:iCs/>
          <w:color w:val="000000" w:themeColor="text1"/>
          <w:sz w:val="24"/>
          <w:lang w:eastAsia="zh-CN"/>
        </w:rPr>
        <w:t xml:space="preserve"> Department of Atmospheric and Oceanic Sciences, School of Physics, Peking University, Beijing.</w:t>
      </w:r>
    </w:p>
    <w:p w14:paraId="5B746A58" w14:textId="57F47074" w:rsidR="00E51D7E" w:rsidRDefault="00E51D7E" w:rsidP="00E51D7E">
      <w:pPr>
        <w:pStyle w:val="Affiliation"/>
        <w:spacing w:before="0" w:line="360" w:lineRule="auto"/>
        <w:ind w:left="154" w:hangingChars="64" w:hanging="154"/>
        <w:contextualSpacing w:val="0"/>
        <w:jc w:val="center"/>
        <w:rPr>
          <w:rFonts w:ascii="Arial" w:eastAsiaTheme="minorEastAsia" w:hAnsi="Arial" w:cs="Arial"/>
          <w:i/>
          <w:iCs/>
          <w:color w:val="000000" w:themeColor="text1"/>
          <w:sz w:val="24"/>
          <w:lang w:eastAsia="zh-CN"/>
        </w:rPr>
      </w:pPr>
      <w:r w:rsidRPr="00E51D7E">
        <w:rPr>
          <w:rFonts w:ascii="Arial" w:eastAsiaTheme="minorEastAsia" w:hAnsi="Arial" w:cs="Arial"/>
          <w:i/>
          <w:iCs/>
          <w:color w:val="000000" w:themeColor="text1"/>
          <w:sz w:val="24"/>
          <w:vertAlign w:val="superscript"/>
          <w:lang w:val="en-US" w:eastAsia="zh-CN"/>
        </w:rPr>
        <w:t>5</w:t>
      </w:r>
      <w:r w:rsidRPr="00E51D7E">
        <w:rPr>
          <w:rFonts w:ascii="Arial" w:eastAsiaTheme="minorEastAsia" w:hAnsi="Arial" w:cs="Arial"/>
          <w:i/>
          <w:iCs/>
          <w:color w:val="000000" w:themeColor="text1"/>
          <w:sz w:val="24"/>
          <w:lang w:eastAsia="zh-CN"/>
        </w:rPr>
        <w:t xml:space="preserve"> Shanxi Academy of Eco-Environmental Planning and Technology, Taiyuan.</w:t>
      </w:r>
    </w:p>
    <w:p w14:paraId="4EB97A29" w14:textId="2F6B17E4" w:rsidR="00DC3BD1" w:rsidRPr="00E51D7E" w:rsidRDefault="00DC3BD1" w:rsidP="00E51D7E">
      <w:pPr>
        <w:pStyle w:val="Affiliation"/>
        <w:spacing w:before="0" w:line="360" w:lineRule="auto"/>
        <w:ind w:left="154" w:hangingChars="64" w:hanging="154"/>
        <w:contextualSpacing w:val="0"/>
        <w:jc w:val="center"/>
        <w:rPr>
          <w:rFonts w:ascii="Arial" w:eastAsiaTheme="minorEastAsia" w:hAnsi="Arial" w:cs="Arial"/>
          <w:i/>
          <w:iCs/>
          <w:color w:val="000000" w:themeColor="text1"/>
          <w:sz w:val="24"/>
          <w:lang w:eastAsia="zh-CN"/>
        </w:rPr>
      </w:pPr>
      <w:r w:rsidRPr="00DC3BD1">
        <w:rPr>
          <w:rFonts w:ascii="Arial" w:eastAsiaTheme="minorEastAsia" w:hAnsi="Arial" w:cs="Arial"/>
          <w:i/>
          <w:iCs/>
          <w:color w:val="000000" w:themeColor="text1"/>
          <w:sz w:val="24"/>
          <w:vertAlign w:val="superscript"/>
          <w:lang w:eastAsia="zh-CN"/>
        </w:rPr>
        <w:t>6</w:t>
      </w:r>
      <w:r>
        <w:rPr>
          <w:rFonts w:ascii="Arial" w:eastAsiaTheme="minorEastAsia" w:hAnsi="Arial" w:cs="Arial"/>
          <w:i/>
          <w:iCs/>
          <w:color w:val="000000" w:themeColor="text1"/>
          <w:sz w:val="24"/>
          <w:lang w:eastAsia="zh-CN"/>
        </w:rPr>
        <w:t xml:space="preserve"> </w:t>
      </w:r>
      <w:r w:rsidRPr="00DC3BD1">
        <w:rPr>
          <w:rFonts w:ascii="Arial" w:eastAsiaTheme="minorEastAsia" w:hAnsi="Arial" w:cs="Arial"/>
          <w:i/>
          <w:iCs/>
          <w:color w:val="000000" w:themeColor="text1"/>
          <w:sz w:val="24"/>
          <w:lang w:eastAsia="zh-CN"/>
        </w:rPr>
        <w:t>UNEP</w:t>
      </w:r>
      <w:r w:rsidR="00D60C02">
        <w:rPr>
          <w:rFonts w:ascii="Arial" w:eastAsiaTheme="minorEastAsia" w:hAnsi="Arial" w:cs="Arial"/>
          <w:i/>
          <w:iCs/>
          <w:color w:val="000000" w:themeColor="text1"/>
          <w:sz w:val="24"/>
          <w:lang w:eastAsia="zh-CN"/>
        </w:rPr>
        <w:t>’</w:t>
      </w:r>
      <w:r w:rsidRPr="00DC3BD1">
        <w:rPr>
          <w:rFonts w:ascii="Arial" w:eastAsiaTheme="minorEastAsia" w:hAnsi="Arial" w:cs="Arial"/>
          <w:i/>
          <w:iCs/>
          <w:color w:val="000000" w:themeColor="text1"/>
          <w:sz w:val="24"/>
          <w:lang w:eastAsia="zh-CN"/>
        </w:rPr>
        <w:t>s International Methane Emissions Observatory, Paris, France</w:t>
      </w:r>
    </w:p>
    <w:bookmarkEnd w:id="2"/>
    <w:bookmarkEnd w:id="3"/>
    <w:bookmarkEnd w:id="4"/>
    <w:p w14:paraId="7CF0651A" w14:textId="77777777" w:rsidR="00D55009" w:rsidRPr="00A95DEE" w:rsidRDefault="00D55009" w:rsidP="00A95DEE">
      <w:pPr>
        <w:pStyle w:val="Affiliation"/>
        <w:spacing w:before="0" w:line="360" w:lineRule="auto"/>
        <w:contextualSpacing w:val="0"/>
        <w:jc w:val="center"/>
        <w:rPr>
          <w:rFonts w:ascii="Arial" w:hAnsi="Arial" w:cs="Arial"/>
          <w:i/>
          <w:iCs/>
          <w:color w:val="000000" w:themeColor="text1"/>
          <w:sz w:val="24"/>
          <w:lang w:eastAsia="zh-CN"/>
        </w:rPr>
      </w:pPr>
    </w:p>
    <w:p w14:paraId="495FED74" w14:textId="6B4D9C46" w:rsidR="00E85E9D" w:rsidRDefault="00E85E9D" w:rsidP="00E85E9D">
      <w:pPr>
        <w:pStyle w:val="Affiliation"/>
        <w:spacing w:before="0" w:line="360" w:lineRule="auto"/>
        <w:contextualSpacing w:val="0"/>
        <w:jc w:val="center"/>
        <w:rPr>
          <w:rFonts w:ascii="Arial" w:eastAsiaTheme="minorEastAsia" w:hAnsi="Arial" w:cs="Arial"/>
          <w:color w:val="000000" w:themeColor="text1"/>
          <w:sz w:val="24"/>
          <w:lang w:eastAsia="zh-CN"/>
        </w:rPr>
      </w:pPr>
      <w:r w:rsidRPr="00375C23">
        <w:rPr>
          <w:rFonts w:ascii="Arial" w:hAnsi="Arial" w:cs="Arial"/>
          <w:color w:val="000000" w:themeColor="text1"/>
          <w:sz w:val="24"/>
        </w:rPr>
        <w:t xml:space="preserve">*Correspondence to: </w:t>
      </w:r>
      <w:bookmarkStart w:id="5" w:name="OLE_LINK6"/>
      <w:bookmarkStart w:id="6" w:name="OLE_LINK7"/>
      <w:r w:rsidRPr="00375C23">
        <w:rPr>
          <w:rFonts w:ascii="Arial" w:hAnsi="Arial" w:cs="Arial"/>
          <w:color w:val="000000" w:themeColor="text1"/>
          <w:sz w:val="24"/>
        </w:rPr>
        <w:t>Jason Blake Cohen</w:t>
      </w:r>
      <w:bookmarkEnd w:id="5"/>
      <w:bookmarkEnd w:id="6"/>
      <w:r w:rsidRPr="00375C23">
        <w:rPr>
          <w:rFonts w:ascii="Arial" w:hAnsi="Arial" w:cs="Arial"/>
          <w:color w:val="000000" w:themeColor="text1"/>
          <w:sz w:val="24"/>
        </w:rPr>
        <w:t xml:space="preserve"> (</w:t>
      </w:r>
      <w:hyperlink r:id="rId8" w:history="1">
        <w:r w:rsidR="00E51D7E" w:rsidRPr="00835E84">
          <w:rPr>
            <w:rStyle w:val="af"/>
            <w:rFonts w:ascii="Arial" w:eastAsiaTheme="minorEastAsia" w:hAnsi="Arial" w:cs="Arial"/>
            <w:sz w:val="24"/>
            <w:lang w:eastAsia="zh-CN"/>
          </w:rPr>
          <w:t>jasonbc@alum.mit.edu</w:t>
        </w:r>
      </w:hyperlink>
      <w:r w:rsidRPr="00375C23">
        <w:rPr>
          <w:rFonts w:ascii="Arial" w:hAnsi="Arial" w:cs="Arial"/>
          <w:color w:val="000000" w:themeColor="text1"/>
          <w:sz w:val="24"/>
        </w:rPr>
        <w:t>)</w:t>
      </w:r>
      <w:r w:rsidR="00E51D7E">
        <w:rPr>
          <w:rFonts w:ascii="Arial" w:eastAsiaTheme="minorEastAsia" w:hAnsi="Arial" w:cs="Arial" w:hint="eastAsia"/>
          <w:color w:val="000000" w:themeColor="text1"/>
          <w:sz w:val="24"/>
          <w:lang w:eastAsia="zh-CN"/>
        </w:rPr>
        <w:t xml:space="preserve"> </w:t>
      </w:r>
      <w:r w:rsidR="00E51D7E" w:rsidRPr="00E51D7E">
        <w:rPr>
          <w:rFonts w:ascii="Arial" w:eastAsiaTheme="minorEastAsia" w:hAnsi="Arial" w:cs="Arial"/>
          <w:color w:val="000000" w:themeColor="text1"/>
          <w:sz w:val="24"/>
          <w:lang w:eastAsia="zh-CN"/>
        </w:rPr>
        <w:t>and Kai Qin (</w:t>
      </w:r>
      <w:hyperlink r:id="rId9" w:history="1">
        <w:r w:rsidR="00E51D7E" w:rsidRPr="00835E84">
          <w:rPr>
            <w:rStyle w:val="af"/>
            <w:rFonts w:ascii="Arial" w:eastAsiaTheme="minorEastAsia" w:hAnsi="Arial" w:cs="Arial"/>
            <w:sz w:val="24"/>
            <w:lang w:eastAsia="zh-CN"/>
          </w:rPr>
          <w:t>qinkai@cumt.edu.cn</w:t>
        </w:r>
      </w:hyperlink>
      <w:r w:rsidR="00E51D7E" w:rsidRPr="00E51D7E">
        <w:rPr>
          <w:rFonts w:ascii="Arial" w:eastAsiaTheme="minorEastAsia" w:hAnsi="Arial" w:cs="Arial"/>
          <w:color w:val="000000" w:themeColor="text1"/>
          <w:sz w:val="24"/>
          <w:lang w:eastAsia="zh-CN"/>
        </w:rPr>
        <w:t>)</w:t>
      </w:r>
    </w:p>
    <w:p w14:paraId="4CA3A6FE" w14:textId="77777777" w:rsidR="00AE6361" w:rsidRPr="00AE6361" w:rsidRDefault="00AE6361" w:rsidP="00AE6361">
      <w:pPr>
        <w:pStyle w:val="Affiliation"/>
        <w:spacing w:before="0" w:line="360" w:lineRule="auto"/>
        <w:contextualSpacing w:val="0"/>
        <w:rPr>
          <w:rFonts w:ascii="Arial" w:eastAsiaTheme="minorEastAsia" w:hAnsi="Arial" w:cs="Arial"/>
          <w:color w:val="000000" w:themeColor="text1"/>
          <w:sz w:val="24"/>
          <w:lang w:eastAsia="zh-CN"/>
        </w:rPr>
      </w:pPr>
    </w:p>
    <w:p w14:paraId="373B36BF" w14:textId="77777777" w:rsidR="00712FDF" w:rsidRDefault="00712FDF" w:rsidP="00712FDF">
      <w:pPr>
        <w:pStyle w:val="ae"/>
        <w:outlineLvl w:val="0"/>
        <w:rPr>
          <w:rFonts w:ascii="Arial" w:hAnsi="Arial" w:cs="Arial"/>
          <w:b/>
          <w:bCs/>
          <w:sz w:val="22"/>
          <w:szCs w:val="22"/>
        </w:rPr>
        <w:sectPr w:rsidR="00712FDF" w:rsidSect="00712FDF">
          <w:footerReference w:type="default" r:id="rId10"/>
          <w:pgSz w:w="12240" w:h="15840"/>
          <w:pgMar w:top="1440" w:right="1440" w:bottom="1440" w:left="1440" w:header="708" w:footer="708" w:gutter="0"/>
          <w:cols w:space="708"/>
          <w:titlePg/>
          <w:docGrid w:linePitch="360"/>
        </w:sectPr>
      </w:pPr>
    </w:p>
    <w:p w14:paraId="2AA05117" w14:textId="4D82BAA3" w:rsidR="00E85E9D" w:rsidRPr="00D32D64" w:rsidRDefault="00E85E9D" w:rsidP="00712FDF">
      <w:pPr>
        <w:pStyle w:val="ae"/>
        <w:outlineLvl w:val="0"/>
        <w:rPr>
          <w:rFonts w:ascii="Arial" w:hAnsi="Arial" w:cs="Arial"/>
          <w:sz w:val="22"/>
          <w:szCs w:val="22"/>
        </w:rPr>
      </w:pPr>
      <w:r w:rsidRPr="00D32D64">
        <w:rPr>
          <w:rFonts w:ascii="Arial" w:hAnsi="Arial" w:cs="Arial"/>
          <w:b/>
          <w:bCs/>
          <w:sz w:val="22"/>
          <w:szCs w:val="22"/>
        </w:rPr>
        <w:lastRenderedPageBreak/>
        <w:t>Supplementary Note 1</w:t>
      </w:r>
    </w:p>
    <w:p w14:paraId="070EDB9E" w14:textId="75893127" w:rsidR="006138A5" w:rsidRDefault="006138A5" w:rsidP="006138A5">
      <w:pPr>
        <w:pStyle w:val="a3"/>
        <w:spacing w:line="360" w:lineRule="auto"/>
        <w:rPr>
          <w:rFonts w:ascii="Arial" w:hAnsi="Arial" w:cs="Arial"/>
          <w:color w:val="000000" w:themeColor="text1"/>
          <w:sz w:val="22"/>
          <w:szCs w:val="22"/>
          <w:lang w:val="en-GB"/>
        </w:rPr>
      </w:pPr>
      <w:r w:rsidRPr="006138A5">
        <w:rPr>
          <w:rFonts w:ascii="Arial" w:hAnsi="Arial" w:cs="Arial"/>
          <w:color w:val="000000" w:themeColor="text1"/>
          <w:sz w:val="22"/>
          <w:szCs w:val="22"/>
          <w:lang w:val="en-GB"/>
        </w:rPr>
        <w:t>Statistics of the anthropogenic prior methane inventory</w:t>
      </w:r>
    </w:p>
    <w:p w14:paraId="0004574F" w14:textId="3A829BA3" w:rsidR="00224CCA" w:rsidRPr="00844C41" w:rsidRDefault="00DB47CD" w:rsidP="00757012">
      <w:pPr>
        <w:spacing w:line="360" w:lineRule="auto"/>
        <w:rPr>
          <w:rFonts w:ascii="Arial" w:hAnsi="Arial" w:cs="Arial"/>
          <w:sz w:val="22"/>
          <w:szCs w:val="22"/>
        </w:rPr>
      </w:pPr>
      <w:r w:rsidRPr="00844C41">
        <w:rPr>
          <w:rFonts w:ascii="Arial" w:hAnsi="Arial" w:cs="Arial"/>
          <w:b/>
          <w:bCs/>
          <w:sz w:val="22"/>
          <w:szCs w:val="22"/>
        </w:rPr>
        <w:t>Simulation design.</w:t>
      </w:r>
      <w:r w:rsidRPr="00844C41">
        <w:rPr>
          <w:rFonts w:ascii="Arial" w:hAnsi="Arial" w:cs="Arial"/>
          <w:sz w:val="22"/>
          <w:szCs w:val="22"/>
        </w:rPr>
        <w:t xml:space="preserve"> Six WRF-GHG sensitivity simulations were conducted to support the attribution analysis (Supplementary Table S1). The baseline simulation (EDGAR) uses the standard EDGAR_2024_GHG anthropogenic inventory at </w:t>
      </w:r>
      <w:r w:rsidR="001F5883" w:rsidRPr="00844C41">
        <w:rPr>
          <w:rFonts w:ascii="Arial" w:hAnsi="Arial" w:cs="Arial"/>
          <w:sz w:val="22"/>
          <w:szCs w:val="22"/>
        </w:rPr>
        <w:t>0.1-degree</w:t>
      </w:r>
      <w:r w:rsidRPr="00844C41">
        <w:rPr>
          <w:rFonts w:ascii="Arial" w:hAnsi="Arial" w:cs="Arial"/>
          <w:sz w:val="22"/>
          <w:szCs w:val="22"/>
        </w:rPr>
        <w:t xml:space="preserve"> resolution. The refined simulation (Top-down) replaces coal mine methane emissions in Shanxi Province with the satellite-constrained inventory of Hu et al. (2024), while retaining EDGAR emissions elsewhere; this substitution affects 636 coal mine grid points within Shanxi. Two perturbation experiments (Perturb±10% and Perturb±50%) apply per-grid random scaling factors drawn from a uniform distribution over the respective intervals, using a fixed random seed</w:t>
      </w:r>
      <w:r w:rsidR="00844C41">
        <w:rPr>
          <w:rFonts w:ascii="Arial" w:hAnsi="Arial" w:cs="Arial" w:hint="eastAsia"/>
          <w:sz w:val="22"/>
          <w:szCs w:val="22"/>
        </w:rPr>
        <w:t xml:space="preserve"> </w:t>
      </w:r>
      <w:r w:rsidRPr="00844C41">
        <w:rPr>
          <w:rFonts w:ascii="Arial" w:hAnsi="Arial" w:cs="Arial"/>
          <w:sz w:val="22"/>
          <w:szCs w:val="22"/>
        </w:rPr>
        <w:t>to ensure reproducibility; these experiments quantify the sensitivity of downwind column anomalies to Shanxi inventory uncertainty. The BTH-50% and BJ-50% experiments apply a uniform 50% reduction to anthropogenic emissions within the BTH administrative domain and the Beijing municipality, respectively, to isolate local source contributions.</w:t>
      </w:r>
    </w:p>
    <w:p w14:paraId="4EC630C0" w14:textId="77777777" w:rsidR="00D140E4" w:rsidRPr="00757012" w:rsidRDefault="00D140E4" w:rsidP="00E9585B">
      <w:pPr>
        <w:pStyle w:val="a3"/>
        <w:widowControl w:val="0"/>
        <w:spacing w:beforeLines="50" w:before="120" w:after="0" w:line="276" w:lineRule="auto"/>
        <w:jc w:val="both"/>
        <w:outlineLvl w:val="1"/>
        <w:rPr>
          <w:rFonts w:asciiTheme="minorHAnsi" w:eastAsia="Times New Roman" w:hAnsiTheme="minorHAnsi" w:cstheme="minorHAnsi"/>
          <w:b/>
          <w:bCs/>
          <w:color w:val="000000" w:themeColor="text1"/>
          <w:kern w:val="2"/>
          <w:sz w:val="22"/>
          <w:szCs w:val="22"/>
          <w:lang w:val="en-US"/>
        </w:rPr>
      </w:pPr>
      <w:r w:rsidRPr="00757012">
        <w:rPr>
          <w:rFonts w:asciiTheme="minorHAnsi" w:eastAsia="Times New Roman" w:hAnsiTheme="minorHAnsi" w:cstheme="minorHAnsi"/>
          <w:b/>
          <w:bCs/>
          <w:color w:val="000000" w:themeColor="text1"/>
          <w:kern w:val="2"/>
          <w:sz w:val="22"/>
          <w:szCs w:val="22"/>
          <w:lang w:val="en-US"/>
        </w:rPr>
        <w:t>Supplementary</w:t>
      </w:r>
      <w:r w:rsidRPr="00757012">
        <w:rPr>
          <w:rFonts w:asciiTheme="minorHAnsi" w:eastAsia="Times New Roman" w:hAnsiTheme="minorHAnsi" w:cstheme="minorHAnsi" w:hint="eastAsia"/>
          <w:b/>
          <w:bCs/>
          <w:color w:val="000000" w:themeColor="text1"/>
          <w:kern w:val="2"/>
          <w:sz w:val="22"/>
          <w:szCs w:val="22"/>
          <w:lang w:val="en-US"/>
        </w:rPr>
        <w:t xml:space="preserve"> </w:t>
      </w:r>
      <w:r w:rsidRPr="00757012">
        <w:rPr>
          <w:rFonts w:asciiTheme="minorHAnsi" w:eastAsia="Times New Roman" w:hAnsiTheme="minorHAnsi" w:cstheme="minorHAnsi"/>
          <w:b/>
          <w:bCs/>
          <w:color w:val="000000" w:themeColor="text1"/>
          <w:kern w:val="2"/>
          <w:sz w:val="22"/>
          <w:szCs w:val="22"/>
          <w:lang w:val="en-US"/>
        </w:rPr>
        <w:t xml:space="preserve">Table </w:t>
      </w:r>
      <w:r w:rsidRPr="00757012">
        <w:rPr>
          <w:rFonts w:asciiTheme="minorHAnsi" w:eastAsia="Times New Roman" w:hAnsiTheme="minorHAnsi" w:cstheme="minorHAnsi" w:hint="eastAsia"/>
          <w:b/>
          <w:bCs/>
          <w:color w:val="000000" w:themeColor="text1"/>
          <w:kern w:val="2"/>
          <w:sz w:val="22"/>
          <w:szCs w:val="22"/>
          <w:lang w:val="en-US"/>
        </w:rPr>
        <w:t>S1</w:t>
      </w:r>
      <w:r w:rsidRPr="00757012">
        <w:rPr>
          <w:rFonts w:asciiTheme="minorHAnsi" w:eastAsia="Times New Roman" w:hAnsiTheme="minorHAnsi" w:cstheme="minorHAnsi"/>
          <w:b/>
          <w:bCs/>
          <w:color w:val="000000" w:themeColor="text1"/>
          <w:kern w:val="2"/>
          <w:sz w:val="22"/>
          <w:szCs w:val="22"/>
          <w:lang w:val="en-US"/>
        </w:rPr>
        <w:t xml:space="preserve">. </w:t>
      </w:r>
      <w:r w:rsidRPr="00757012">
        <w:rPr>
          <w:rFonts w:asciiTheme="minorHAnsi" w:eastAsia="Times New Roman" w:hAnsiTheme="minorHAnsi" w:cstheme="minorHAnsi"/>
          <w:color w:val="000000" w:themeColor="text1"/>
          <w:kern w:val="2"/>
          <w:sz w:val="22"/>
          <w:szCs w:val="22"/>
          <w:lang w:val="en-US"/>
        </w:rPr>
        <w:t>Summary of WRF-GHG sensitivity simulations used for attribution analysis</w:t>
      </w:r>
      <w:r w:rsidRPr="00757012">
        <w:rPr>
          <w:rFonts w:asciiTheme="minorHAnsi" w:eastAsia="Times New Roman" w:hAnsiTheme="minorHAnsi" w:cstheme="minorHAnsi" w:hint="eastAsia"/>
          <w:color w:val="000000" w:themeColor="text1"/>
          <w:kern w:val="2"/>
          <w:sz w:val="22"/>
          <w:szCs w:val="22"/>
          <w:lang w:val="en-US"/>
        </w:rPr>
        <w:t xml:space="preserve"> by using different </w:t>
      </w:r>
      <w:r w:rsidRPr="00757012">
        <w:rPr>
          <w:rFonts w:asciiTheme="minorHAnsi" w:eastAsia="Times New Roman" w:hAnsiTheme="minorHAnsi" w:cstheme="minorHAnsi"/>
          <w:color w:val="000000" w:themeColor="text1"/>
          <w:kern w:val="2"/>
          <w:sz w:val="22"/>
          <w:szCs w:val="22"/>
          <w:lang w:val="en-US"/>
        </w:rPr>
        <w:t>anthropogenic prior inventory.</w:t>
      </w:r>
    </w:p>
    <w:tbl>
      <w:tblPr>
        <w:tblStyle w:val="ad"/>
        <w:tblW w:w="911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3774"/>
        <w:gridCol w:w="1361"/>
        <w:gridCol w:w="2485"/>
      </w:tblGrid>
      <w:tr w:rsidR="00D140E4" w:rsidRPr="00195E3D" w14:paraId="48E694E2" w14:textId="77777777" w:rsidTr="00575611">
        <w:trPr>
          <w:jc w:val="center"/>
        </w:trPr>
        <w:tc>
          <w:tcPr>
            <w:tcW w:w="1494" w:type="dxa"/>
            <w:tcBorders>
              <w:top w:val="single" w:sz="12" w:space="0" w:color="auto"/>
              <w:bottom w:val="single" w:sz="4" w:space="0" w:color="auto"/>
            </w:tcBorders>
            <w:vAlign w:val="center"/>
          </w:tcPr>
          <w:p w14:paraId="24490A7F" w14:textId="77777777" w:rsidR="00D140E4" w:rsidRPr="00195E3D" w:rsidRDefault="00D140E4" w:rsidP="00575611">
            <w:pPr>
              <w:jc w:val="center"/>
              <w:rPr>
                <w:rFonts w:ascii="Arial" w:hAnsi="Arial" w:cs="Arial"/>
                <w:b/>
                <w:bCs/>
                <w:sz w:val="20"/>
                <w:szCs w:val="20"/>
                <w:lang w:val="en-GB"/>
              </w:rPr>
            </w:pPr>
            <w:r w:rsidRPr="00195E3D">
              <w:rPr>
                <w:rFonts w:ascii="Arial" w:hAnsi="Arial" w:cs="Arial"/>
                <w:b/>
                <w:bCs/>
                <w:sz w:val="20"/>
                <w:szCs w:val="20"/>
                <w:lang w:val="en-GB"/>
              </w:rPr>
              <w:t>Simulation</w:t>
            </w:r>
          </w:p>
        </w:tc>
        <w:tc>
          <w:tcPr>
            <w:tcW w:w="3774" w:type="dxa"/>
            <w:tcBorders>
              <w:top w:val="single" w:sz="12" w:space="0" w:color="auto"/>
              <w:bottom w:val="single" w:sz="4" w:space="0" w:color="auto"/>
            </w:tcBorders>
            <w:vAlign w:val="center"/>
          </w:tcPr>
          <w:p w14:paraId="21246E53" w14:textId="77777777" w:rsidR="00D140E4" w:rsidRPr="00195E3D" w:rsidRDefault="00D140E4" w:rsidP="00575611">
            <w:pPr>
              <w:jc w:val="center"/>
              <w:rPr>
                <w:rFonts w:ascii="Arial" w:hAnsi="Arial" w:cs="Arial"/>
                <w:b/>
                <w:bCs/>
                <w:sz w:val="20"/>
                <w:szCs w:val="20"/>
                <w:lang w:val="en-GB"/>
              </w:rPr>
            </w:pPr>
            <w:r w:rsidRPr="00195E3D">
              <w:rPr>
                <w:rFonts w:ascii="Arial" w:hAnsi="Arial" w:cs="Arial"/>
                <w:b/>
                <w:bCs/>
                <w:sz w:val="20"/>
                <w:szCs w:val="20"/>
                <w:lang w:val="en-GB"/>
              </w:rPr>
              <w:t>Anthropogenic Inventory</w:t>
            </w:r>
          </w:p>
        </w:tc>
        <w:tc>
          <w:tcPr>
            <w:tcW w:w="1361" w:type="dxa"/>
            <w:tcBorders>
              <w:top w:val="single" w:sz="12" w:space="0" w:color="auto"/>
              <w:bottom w:val="single" w:sz="4" w:space="0" w:color="auto"/>
            </w:tcBorders>
            <w:vAlign w:val="center"/>
          </w:tcPr>
          <w:p w14:paraId="0DA924DF" w14:textId="77777777" w:rsidR="00D140E4" w:rsidRPr="00195E3D" w:rsidRDefault="00D140E4" w:rsidP="00575611">
            <w:pPr>
              <w:jc w:val="center"/>
              <w:rPr>
                <w:rFonts w:ascii="Arial" w:hAnsi="Arial" w:cs="Arial"/>
                <w:b/>
                <w:bCs/>
                <w:sz w:val="20"/>
                <w:szCs w:val="20"/>
                <w:lang w:val="en-GB"/>
              </w:rPr>
            </w:pPr>
            <w:r w:rsidRPr="00195E3D">
              <w:rPr>
                <w:rFonts w:ascii="Arial" w:hAnsi="Arial" w:cs="Arial"/>
                <w:b/>
                <w:bCs/>
                <w:sz w:val="20"/>
                <w:szCs w:val="20"/>
                <w:lang w:val="en-GB"/>
              </w:rPr>
              <w:t>Resolution</w:t>
            </w:r>
          </w:p>
        </w:tc>
        <w:tc>
          <w:tcPr>
            <w:tcW w:w="2485" w:type="dxa"/>
            <w:tcBorders>
              <w:top w:val="single" w:sz="12" w:space="0" w:color="auto"/>
              <w:bottom w:val="single" w:sz="4" w:space="0" w:color="auto"/>
            </w:tcBorders>
            <w:vAlign w:val="center"/>
          </w:tcPr>
          <w:p w14:paraId="2CF833C3" w14:textId="77777777" w:rsidR="00D140E4" w:rsidRPr="00195E3D" w:rsidRDefault="00D140E4" w:rsidP="00575611">
            <w:pPr>
              <w:jc w:val="center"/>
              <w:rPr>
                <w:rFonts w:ascii="Arial" w:hAnsi="Arial" w:cs="Arial"/>
                <w:b/>
                <w:bCs/>
                <w:sz w:val="20"/>
                <w:szCs w:val="20"/>
                <w:lang w:val="en-GB"/>
              </w:rPr>
            </w:pPr>
            <w:r w:rsidRPr="00195E3D">
              <w:rPr>
                <w:rFonts w:ascii="Arial" w:hAnsi="Arial" w:cs="Arial"/>
                <w:b/>
                <w:bCs/>
                <w:sz w:val="20"/>
                <w:szCs w:val="20"/>
                <w:lang w:val="en-GB"/>
              </w:rPr>
              <w:t>Purpose</w:t>
            </w:r>
          </w:p>
        </w:tc>
      </w:tr>
      <w:tr w:rsidR="00D140E4" w:rsidRPr="00195E3D" w14:paraId="3C674914" w14:textId="77777777" w:rsidTr="00575611">
        <w:trPr>
          <w:jc w:val="center"/>
        </w:trPr>
        <w:tc>
          <w:tcPr>
            <w:tcW w:w="1494" w:type="dxa"/>
            <w:tcBorders>
              <w:top w:val="single" w:sz="4" w:space="0" w:color="auto"/>
            </w:tcBorders>
            <w:vAlign w:val="center"/>
          </w:tcPr>
          <w:p w14:paraId="50EA8229"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EDGAR</w:t>
            </w:r>
          </w:p>
        </w:tc>
        <w:tc>
          <w:tcPr>
            <w:tcW w:w="3774" w:type="dxa"/>
            <w:tcBorders>
              <w:top w:val="single" w:sz="4" w:space="0" w:color="auto"/>
            </w:tcBorders>
            <w:vAlign w:val="center"/>
          </w:tcPr>
          <w:p w14:paraId="4F90337D"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EDGAR_2024_GHG</w:t>
            </w:r>
          </w:p>
        </w:tc>
        <w:tc>
          <w:tcPr>
            <w:tcW w:w="1361" w:type="dxa"/>
            <w:tcBorders>
              <w:top w:val="single" w:sz="4" w:space="0" w:color="auto"/>
            </w:tcBorders>
            <w:vAlign w:val="center"/>
          </w:tcPr>
          <w:p w14:paraId="6A141F05"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1-hourly</w:t>
            </w:r>
          </w:p>
        </w:tc>
        <w:tc>
          <w:tcPr>
            <w:tcW w:w="2485" w:type="dxa"/>
            <w:tcBorders>
              <w:top w:val="single" w:sz="4" w:space="0" w:color="auto"/>
            </w:tcBorders>
            <w:vAlign w:val="center"/>
          </w:tcPr>
          <w:p w14:paraId="20F6F024"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Baseline</w:t>
            </w:r>
          </w:p>
        </w:tc>
      </w:tr>
      <w:tr w:rsidR="00D140E4" w:rsidRPr="00195E3D" w14:paraId="227A2916" w14:textId="77777777" w:rsidTr="00575611">
        <w:trPr>
          <w:jc w:val="center"/>
        </w:trPr>
        <w:tc>
          <w:tcPr>
            <w:tcW w:w="1494" w:type="dxa"/>
            <w:vAlign w:val="center"/>
          </w:tcPr>
          <w:p w14:paraId="616B605A"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Top-down</w:t>
            </w:r>
          </w:p>
        </w:tc>
        <w:tc>
          <w:tcPr>
            <w:tcW w:w="3774" w:type="dxa"/>
            <w:vAlign w:val="center"/>
          </w:tcPr>
          <w:p w14:paraId="6F5C3F99"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 xml:space="preserve">Hu et al. (2024) for Shanxi coal mines </w:t>
            </w:r>
          </w:p>
          <w:p w14:paraId="4100C7CB"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 EDGAR elsewhere</w:t>
            </w:r>
          </w:p>
        </w:tc>
        <w:tc>
          <w:tcPr>
            <w:tcW w:w="1361" w:type="dxa"/>
            <w:vAlign w:val="center"/>
          </w:tcPr>
          <w:p w14:paraId="55FD9049"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1-hourly</w:t>
            </w:r>
          </w:p>
        </w:tc>
        <w:tc>
          <w:tcPr>
            <w:tcW w:w="2485" w:type="dxa"/>
            <w:vAlign w:val="center"/>
          </w:tcPr>
          <w:p w14:paraId="7B951CAE"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Refined CMM source</w:t>
            </w:r>
          </w:p>
        </w:tc>
      </w:tr>
      <w:tr w:rsidR="00D140E4" w:rsidRPr="00195E3D" w14:paraId="4999EE7A" w14:textId="77777777" w:rsidTr="00575611">
        <w:trPr>
          <w:jc w:val="center"/>
        </w:trPr>
        <w:tc>
          <w:tcPr>
            <w:tcW w:w="1494" w:type="dxa"/>
            <w:vAlign w:val="center"/>
          </w:tcPr>
          <w:p w14:paraId="4386FDCB"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Perturb±</w:t>
            </w:r>
            <w:r>
              <w:rPr>
                <w:rFonts w:ascii="Arial" w:hAnsi="Arial" w:cs="Arial" w:hint="eastAsia"/>
                <w:sz w:val="20"/>
                <w:szCs w:val="20"/>
                <w:lang w:val="en-SG"/>
              </w:rPr>
              <w:t>1</w:t>
            </w:r>
            <w:r w:rsidRPr="00195E3D">
              <w:rPr>
                <w:rFonts w:ascii="Arial" w:hAnsi="Arial" w:cs="Arial"/>
                <w:sz w:val="20"/>
                <w:szCs w:val="20"/>
                <w:lang w:val="en-SG"/>
              </w:rPr>
              <w:t>0%</w:t>
            </w:r>
          </w:p>
        </w:tc>
        <w:tc>
          <w:tcPr>
            <w:tcW w:w="3774" w:type="dxa"/>
            <w:vAlign w:val="center"/>
          </w:tcPr>
          <w:p w14:paraId="2CC3358E" w14:textId="77777777" w:rsidR="00D140E4" w:rsidRPr="00195E3D" w:rsidRDefault="00D140E4" w:rsidP="00575611">
            <w:pPr>
              <w:jc w:val="center"/>
              <w:rPr>
                <w:rFonts w:ascii="Arial" w:hAnsi="Arial" w:cs="Arial"/>
                <w:sz w:val="20"/>
                <w:szCs w:val="20"/>
                <w:lang w:val="en-SG"/>
              </w:rPr>
            </w:pPr>
            <w:r w:rsidRPr="00195E3D">
              <w:rPr>
                <w:rFonts w:ascii="Arial" w:hAnsi="Arial" w:cs="Arial"/>
                <w:sz w:val="20"/>
                <w:szCs w:val="20"/>
                <w:lang w:val="en-SG"/>
              </w:rPr>
              <w:t xml:space="preserve">Top-down with Shanxi coal mines </w:t>
            </w:r>
          </w:p>
          <w:p w14:paraId="57EA5623"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w:t>
            </w:r>
            <w:r>
              <w:rPr>
                <w:rFonts w:ascii="Arial" w:hAnsi="Arial" w:cs="Arial" w:hint="eastAsia"/>
                <w:sz w:val="20"/>
                <w:szCs w:val="20"/>
                <w:lang w:val="en-SG"/>
              </w:rPr>
              <w:t>1</w:t>
            </w:r>
            <w:r w:rsidRPr="00195E3D">
              <w:rPr>
                <w:rFonts w:ascii="Arial" w:hAnsi="Arial" w:cs="Arial"/>
                <w:sz w:val="20"/>
                <w:szCs w:val="20"/>
                <w:lang w:val="en-SG"/>
              </w:rPr>
              <w:t>0% random perturbation</w:t>
            </w:r>
          </w:p>
        </w:tc>
        <w:tc>
          <w:tcPr>
            <w:tcW w:w="1361" w:type="dxa"/>
            <w:vAlign w:val="center"/>
          </w:tcPr>
          <w:p w14:paraId="53F7567A"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30-min</w:t>
            </w:r>
          </w:p>
        </w:tc>
        <w:tc>
          <w:tcPr>
            <w:tcW w:w="2485" w:type="dxa"/>
            <w:vAlign w:val="center"/>
          </w:tcPr>
          <w:p w14:paraId="52BD7763"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Uncertainty propagation</w:t>
            </w:r>
          </w:p>
        </w:tc>
      </w:tr>
      <w:tr w:rsidR="00D140E4" w:rsidRPr="00195E3D" w14:paraId="1EA11E02" w14:textId="77777777" w:rsidTr="00575611">
        <w:trPr>
          <w:jc w:val="center"/>
        </w:trPr>
        <w:tc>
          <w:tcPr>
            <w:tcW w:w="1494" w:type="dxa"/>
            <w:vAlign w:val="center"/>
          </w:tcPr>
          <w:p w14:paraId="315E8C2C" w14:textId="77777777" w:rsidR="00D140E4" w:rsidRPr="00195E3D" w:rsidRDefault="00D140E4" w:rsidP="00575611">
            <w:pPr>
              <w:jc w:val="center"/>
              <w:rPr>
                <w:rFonts w:ascii="Arial" w:hAnsi="Arial" w:cs="Arial"/>
                <w:sz w:val="20"/>
                <w:szCs w:val="20"/>
                <w:lang w:val="en-GB"/>
              </w:rPr>
            </w:pPr>
            <w:bookmarkStart w:id="7" w:name="_Hlk227759520"/>
            <w:r w:rsidRPr="00195E3D">
              <w:rPr>
                <w:rFonts w:ascii="Arial" w:hAnsi="Arial" w:cs="Arial"/>
                <w:sz w:val="20"/>
                <w:szCs w:val="20"/>
                <w:lang w:val="en-SG"/>
              </w:rPr>
              <w:t>Perturb±50%</w:t>
            </w:r>
          </w:p>
        </w:tc>
        <w:tc>
          <w:tcPr>
            <w:tcW w:w="3774" w:type="dxa"/>
            <w:vAlign w:val="center"/>
          </w:tcPr>
          <w:p w14:paraId="13344343" w14:textId="77777777" w:rsidR="00D140E4" w:rsidRPr="00195E3D" w:rsidRDefault="00D140E4" w:rsidP="00575611">
            <w:pPr>
              <w:jc w:val="center"/>
              <w:rPr>
                <w:rFonts w:ascii="Arial" w:hAnsi="Arial" w:cs="Arial"/>
                <w:sz w:val="20"/>
                <w:szCs w:val="20"/>
                <w:lang w:val="en-SG"/>
              </w:rPr>
            </w:pPr>
            <w:r w:rsidRPr="00195E3D">
              <w:rPr>
                <w:rFonts w:ascii="Arial" w:hAnsi="Arial" w:cs="Arial"/>
                <w:sz w:val="20"/>
                <w:szCs w:val="20"/>
                <w:lang w:val="en-SG"/>
              </w:rPr>
              <w:t xml:space="preserve">Top-down with Shanxi coal mines </w:t>
            </w:r>
          </w:p>
          <w:p w14:paraId="57051B8F"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±50% random perturbation</w:t>
            </w:r>
          </w:p>
        </w:tc>
        <w:tc>
          <w:tcPr>
            <w:tcW w:w="1361" w:type="dxa"/>
            <w:vAlign w:val="center"/>
          </w:tcPr>
          <w:p w14:paraId="79FF1BF5"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30-min</w:t>
            </w:r>
          </w:p>
        </w:tc>
        <w:tc>
          <w:tcPr>
            <w:tcW w:w="2485" w:type="dxa"/>
            <w:vAlign w:val="center"/>
          </w:tcPr>
          <w:p w14:paraId="4AE06C21"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Uncertainty propagation</w:t>
            </w:r>
          </w:p>
        </w:tc>
      </w:tr>
      <w:bookmarkEnd w:id="7"/>
      <w:tr w:rsidR="00D140E4" w:rsidRPr="00195E3D" w14:paraId="568540A7" w14:textId="77777777" w:rsidTr="00575611">
        <w:trPr>
          <w:jc w:val="center"/>
        </w:trPr>
        <w:tc>
          <w:tcPr>
            <w:tcW w:w="1494" w:type="dxa"/>
            <w:vAlign w:val="center"/>
          </w:tcPr>
          <w:p w14:paraId="2608FB69"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BTH-50%</w:t>
            </w:r>
          </w:p>
        </w:tc>
        <w:tc>
          <w:tcPr>
            <w:tcW w:w="3774" w:type="dxa"/>
            <w:vAlign w:val="center"/>
          </w:tcPr>
          <w:p w14:paraId="41A1A5F7"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Top-down with BTH emissions –50%</w:t>
            </w:r>
          </w:p>
        </w:tc>
        <w:tc>
          <w:tcPr>
            <w:tcW w:w="1361" w:type="dxa"/>
            <w:vAlign w:val="center"/>
          </w:tcPr>
          <w:p w14:paraId="7168BEC2"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30-min</w:t>
            </w:r>
          </w:p>
        </w:tc>
        <w:tc>
          <w:tcPr>
            <w:tcW w:w="2485" w:type="dxa"/>
            <w:vAlign w:val="center"/>
          </w:tcPr>
          <w:p w14:paraId="5A6B03FF"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BTH local contribution</w:t>
            </w:r>
          </w:p>
        </w:tc>
      </w:tr>
      <w:tr w:rsidR="00D140E4" w:rsidRPr="00195E3D" w14:paraId="14C2E984" w14:textId="77777777" w:rsidTr="00575611">
        <w:trPr>
          <w:jc w:val="center"/>
        </w:trPr>
        <w:tc>
          <w:tcPr>
            <w:tcW w:w="1494" w:type="dxa"/>
            <w:vAlign w:val="center"/>
          </w:tcPr>
          <w:p w14:paraId="510E198A"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BJ-50%</w:t>
            </w:r>
          </w:p>
        </w:tc>
        <w:tc>
          <w:tcPr>
            <w:tcW w:w="3774" w:type="dxa"/>
            <w:vAlign w:val="center"/>
          </w:tcPr>
          <w:p w14:paraId="24F698ED"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Top-down with Beijing emissions –50%</w:t>
            </w:r>
          </w:p>
        </w:tc>
        <w:tc>
          <w:tcPr>
            <w:tcW w:w="1361" w:type="dxa"/>
            <w:vAlign w:val="center"/>
          </w:tcPr>
          <w:p w14:paraId="2355951D"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GB"/>
              </w:rPr>
              <w:t>30-min</w:t>
            </w:r>
          </w:p>
        </w:tc>
        <w:tc>
          <w:tcPr>
            <w:tcW w:w="2485" w:type="dxa"/>
            <w:vAlign w:val="center"/>
          </w:tcPr>
          <w:p w14:paraId="25464B49" w14:textId="77777777" w:rsidR="00D140E4" w:rsidRPr="00195E3D" w:rsidRDefault="00D140E4" w:rsidP="00575611">
            <w:pPr>
              <w:jc w:val="center"/>
              <w:rPr>
                <w:rFonts w:ascii="Arial" w:hAnsi="Arial" w:cs="Arial"/>
                <w:sz w:val="20"/>
                <w:szCs w:val="20"/>
                <w:lang w:val="en-GB"/>
              </w:rPr>
            </w:pPr>
            <w:r w:rsidRPr="00195E3D">
              <w:rPr>
                <w:rFonts w:ascii="Arial" w:hAnsi="Arial" w:cs="Arial"/>
                <w:sz w:val="20"/>
                <w:szCs w:val="20"/>
                <w:lang w:val="en-SG"/>
              </w:rPr>
              <w:t>Beijing local contribution</w:t>
            </w:r>
          </w:p>
        </w:tc>
      </w:tr>
    </w:tbl>
    <w:p w14:paraId="5D91E641" w14:textId="2619EB82" w:rsidR="00D140E4" w:rsidRPr="00D140E4" w:rsidRDefault="00D140E4" w:rsidP="00757012">
      <w:pPr>
        <w:spacing w:before="200" w:line="360" w:lineRule="auto"/>
        <w:rPr>
          <w:rFonts w:ascii="Arial" w:hAnsi="Arial" w:cs="Arial"/>
          <w:sz w:val="22"/>
          <w:szCs w:val="22"/>
          <w:lang w:val="en-US"/>
        </w:rPr>
      </w:pPr>
      <w:r w:rsidRPr="00D140E4">
        <w:rPr>
          <w:rFonts w:ascii="Arial" w:hAnsi="Arial" w:cs="Arial"/>
          <w:b/>
          <w:bCs/>
          <w:sz w:val="22"/>
          <w:szCs w:val="22"/>
          <w:lang w:val="en-US"/>
        </w:rPr>
        <w:t>Spatial distribution of inventory differences.</w:t>
      </w:r>
      <w:r w:rsidRPr="00D140E4">
        <w:rPr>
          <w:rFonts w:ascii="Arial" w:hAnsi="Arial" w:cs="Arial"/>
          <w:sz w:val="22"/>
          <w:szCs w:val="22"/>
          <w:lang w:val="en-US"/>
        </w:rPr>
        <w:t xml:space="preserve"> Supplementary Fig. S1 illustrates the spatial structure of the anthropogenic methane inventory and its perturbations within the d02 domain. The WRF-GHG EDGAR and Top-down inventories show broadly similar spatial patterns across the domain (panels a and b), with high-emission clusters concentrated over Shanxi coal basins (Yangquan, Datong, Changzhi, and Jincheng) and along industrial corridors in the BTH Plain. The difference between Top-down and EDGAR (panel c) is confined exclusively to Shanxi coal mine grid points, where the satellite-constrained inventory yields systematically higher fluxes, with a mean grid-level increase of 2.46×10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9</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xml:space="preserve"> and a maximum increase of 1.23×10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7</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This spatial confinement confirms that the Top-down substitution introduces no artefacts in the BTH domain and that any downwind concentration anomaly (Δ</w:t>
      </w:r>
      <w:r w:rsidRPr="00D140E4">
        <w:rPr>
          <w:rFonts w:ascii="Arial" w:hAnsi="Arial" w:cs="Arial"/>
          <w:sz w:val="22"/>
          <w:szCs w:val="22"/>
          <w:vertAlign w:val="subscript"/>
          <w:lang w:val="en-US"/>
        </w:rPr>
        <w:t>inv</w:t>
      </w:r>
      <w:r w:rsidRPr="00D140E4">
        <w:rPr>
          <w:rFonts w:ascii="Arial" w:hAnsi="Arial" w:cs="Arial"/>
          <w:sz w:val="22"/>
          <w:szCs w:val="22"/>
          <w:lang w:val="en-US"/>
        </w:rPr>
        <w:t xml:space="preserve">) originates </w:t>
      </w:r>
      <w:r w:rsidRPr="00D140E4">
        <w:rPr>
          <w:rFonts w:ascii="Arial" w:hAnsi="Arial" w:cs="Arial"/>
          <w:sz w:val="22"/>
          <w:szCs w:val="22"/>
          <w:lang w:val="en-US"/>
        </w:rPr>
        <w:lastRenderedPageBreak/>
        <w:t>solely from Shanxi source modifications transported under the prevailing meteorological conditions.</w:t>
      </w:r>
    </w:p>
    <w:p w14:paraId="5992374F" w14:textId="3922AC9C" w:rsidR="005D73F4" w:rsidRPr="00844C41" w:rsidRDefault="00D140E4" w:rsidP="00950B88">
      <w:pPr>
        <w:spacing w:before="100" w:beforeAutospacing="1" w:after="100" w:afterAutospacing="1" w:line="360" w:lineRule="auto"/>
        <w:rPr>
          <w:rFonts w:ascii="Arial" w:hAnsi="Arial" w:cs="Arial"/>
          <w:sz w:val="22"/>
          <w:szCs w:val="22"/>
          <w:lang w:val="en-US"/>
        </w:rPr>
      </w:pPr>
      <w:r w:rsidRPr="00D140E4">
        <w:rPr>
          <w:rFonts w:ascii="Arial" w:hAnsi="Arial" w:cs="Arial"/>
          <w:sz w:val="22"/>
          <w:szCs w:val="22"/>
          <w:lang w:val="en-US"/>
        </w:rPr>
        <w:t>Panels d and e show the per-grid perturbation fields for the ±10% and ±50% experiments relative to Top-down within the Shanxi region. The perturbation factors are spatially uncorrelated across grid cells by design, producing a zero-mean random field whose standard deviation scales with the perturbation magnitude. The domain-mean difference is near zero in both cases, consistent with the random and symmetric nature of the perturbation scheme. Panel f shows the difference between BTH-50% and EDGAR, which is uniformly negative within the BTH administrative boundary and zero elsewhere, confirming that the BTH-50% experiment correctly isolates local emission reductions without affecting upstream Shanxi fluxes.</w:t>
      </w:r>
    </w:p>
    <w:p w14:paraId="379D0013" w14:textId="717BCAE1" w:rsidR="00A17673" w:rsidRPr="005D73F4" w:rsidRDefault="00A17673" w:rsidP="005D73F4">
      <w:pPr>
        <w:rPr>
          <w:b/>
          <w:bCs/>
          <w:lang w:val="en-US"/>
        </w:rPr>
      </w:pPr>
      <w:r>
        <w:rPr>
          <w:b/>
          <w:bCs/>
          <w:noProof/>
          <w:lang w:val="en-US"/>
        </w:rPr>
        <w:drawing>
          <wp:inline distT="0" distB="0" distL="0" distR="0" wp14:anchorId="3522FF91" wp14:editId="40E57BA4">
            <wp:extent cx="5943600" cy="3259455"/>
            <wp:effectExtent l="0" t="0" r="0" b="0"/>
            <wp:docPr id="15376788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8841" name="Picture 15376788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59455"/>
                    </a:xfrm>
                    <a:prstGeom prst="rect">
                      <a:avLst/>
                    </a:prstGeom>
                  </pic:spPr>
                </pic:pic>
              </a:graphicData>
            </a:graphic>
          </wp:inline>
        </w:drawing>
      </w:r>
    </w:p>
    <w:p w14:paraId="5960AF82" w14:textId="06EAD4ED" w:rsidR="005D73F4" w:rsidRPr="00757012" w:rsidRDefault="0074547A" w:rsidP="00E9585B">
      <w:pPr>
        <w:pStyle w:val="a3"/>
        <w:widowControl w:val="0"/>
        <w:spacing w:line="276" w:lineRule="auto"/>
        <w:jc w:val="both"/>
        <w:outlineLvl w:val="1"/>
        <w:rPr>
          <w:rFonts w:asciiTheme="minorHAnsi" w:eastAsia="Times New Roman" w:hAnsiTheme="minorHAnsi" w:cstheme="minorHAnsi"/>
          <w:b/>
          <w:bCs/>
          <w:color w:val="000000" w:themeColor="text1"/>
          <w:kern w:val="2"/>
          <w:sz w:val="22"/>
          <w:szCs w:val="22"/>
          <w:lang w:val="en-US"/>
        </w:rPr>
      </w:pPr>
      <w:r w:rsidRPr="00757012">
        <w:rPr>
          <w:rFonts w:asciiTheme="minorHAnsi" w:eastAsia="Times New Roman" w:hAnsiTheme="minorHAnsi" w:cstheme="minorHAnsi"/>
          <w:b/>
          <w:bCs/>
          <w:color w:val="000000" w:themeColor="text1"/>
          <w:kern w:val="2"/>
          <w:sz w:val="22"/>
          <w:szCs w:val="22"/>
          <w:lang w:val="en-US"/>
        </w:rPr>
        <w:t xml:space="preserve">Supplementary Fig. </w:t>
      </w:r>
      <w:r w:rsidR="00DB47CD" w:rsidRPr="00757012">
        <w:rPr>
          <w:rFonts w:asciiTheme="minorHAnsi" w:hAnsiTheme="minorHAnsi" w:cstheme="minorHAnsi"/>
          <w:b/>
          <w:bCs/>
          <w:color w:val="000000" w:themeColor="text1"/>
          <w:kern w:val="2"/>
          <w:sz w:val="22"/>
          <w:szCs w:val="22"/>
          <w:lang w:val="en-US"/>
        </w:rPr>
        <w:t>S</w:t>
      </w:r>
      <w:r w:rsidRPr="00757012">
        <w:rPr>
          <w:rFonts w:asciiTheme="minorHAnsi" w:hAnsiTheme="minorHAnsi" w:cstheme="minorHAnsi"/>
          <w:b/>
          <w:bCs/>
          <w:color w:val="000000" w:themeColor="text1"/>
          <w:kern w:val="2"/>
          <w:sz w:val="22"/>
          <w:szCs w:val="22"/>
          <w:lang w:val="en-US"/>
        </w:rPr>
        <w:t>1</w:t>
      </w:r>
      <w:r w:rsidRPr="00757012">
        <w:rPr>
          <w:rFonts w:asciiTheme="minorHAnsi" w:eastAsia="Times New Roman" w:hAnsiTheme="minorHAnsi" w:cstheme="minorHAnsi"/>
          <w:color w:val="000000" w:themeColor="text1"/>
          <w:kern w:val="2"/>
          <w:sz w:val="22"/>
          <w:szCs w:val="22"/>
          <w:lang w:val="en-US"/>
        </w:rPr>
        <w:t xml:space="preserve">. </w:t>
      </w:r>
      <w:r w:rsidR="005D73F4" w:rsidRPr="00AC13EB">
        <w:rPr>
          <w:rFonts w:asciiTheme="minorHAnsi" w:eastAsia="Times New Roman" w:hAnsiTheme="minorHAnsi" w:cstheme="minorHAnsi"/>
          <w:b/>
          <w:bCs/>
          <w:color w:val="000000" w:themeColor="text1"/>
          <w:kern w:val="2"/>
          <w:sz w:val="22"/>
          <w:szCs w:val="22"/>
          <w:lang w:val="en-US"/>
        </w:rPr>
        <w:t>Spatial distribution of the anthropogenic prior methane inventory and difference characteristics under perturbation scenarios (within d02 domain).</w:t>
      </w:r>
      <w:r w:rsidR="005D73F4" w:rsidRPr="00757012">
        <w:rPr>
          <w:rFonts w:asciiTheme="minorHAnsi" w:eastAsia="Times New Roman" w:hAnsiTheme="minorHAnsi" w:cstheme="minorHAnsi"/>
          <w:color w:val="000000" w:themeColor="text1"/>
          <w:kern w:val="2"/>
          <w:sz w:val="22"/>
          <w:szCs w:val="22"/>
          <w:lang w:val="en-US"/>
        </w:rPr>
        <w:t xml:space="preserve"> (a-b) Spatial distribution of WRF-GHG EDGAR and Top-down; (c) Difference between WRF-GHG Top-down and EDGAR;(d) Difference between Top-down (±10% perturb.) and Top-down (SX region); (e) Difference between Top-down (±50% perturb.) and Top-down (SX region); (f) Difference between Top-down (BTH-50%) and EDGAR.</w:t>
      </w:r>
    </w:p>
    <w:p w14:paraId="62BD88BC" w14:textId="5A8536B7" w:rsidR="00D140E4" w:rsidRPr="00D140E4" w:rsidRDefault="00D140E4" w:rsidP="00950B88">
      <w:pPr>
        <w:spacing w:before="100" w:beforeAutospacing="1" w:after="100" w:afterAutospacing="1" w:line="360" w:lineRule="auto"/>
        <w:rPr>
          <w:rFonts w:ascii="Arial" w:hAnsi="Arial" w:cs="Arial"/>
          <w:sz w:val="22"/>
          <w:szCs w:val="22"/>
          <w:lang w:val="en-US"/>
        </w:rPr>
      </w:pPr>
      <w:r w:rsidRPr="00D140E4">
        <w:rPr>
          <w:rFonts w:ascii="Arial" w:hAnsi="Arial" w:cs="Arial"/>
          <w:b/>
          <w:bCs/>
          <w:sz w:val="22"/>
          <w:szCs w:val="22"/>
          <w:lang w:val="en-US"/>
        </w:rPr>
        <w:t>Flux probability density functions.</w:t>
      </w:r>
      <w:r w:rsidRPr="00D140E4">
        <w:rPr>
          <w:rFonts w:ascii="Arial" w:hAnsi="Arial" w:cs="Arial"/>
          <w:sz w:val="22"/>
          <w:szCs w:val="22"/>
          <w:lang w:val="en-US"/>
        </w:rPr>
        <w:t xml:space="preserve"> Supplementary Fig. S2 summarizes the flux distributions for the Shanxi Province and BTH region in August 2022 at </w:t>
      </w:r>
      <w:r w:rsidR="00832E07" w:rsidRPr="00D140E4">
        <w:rPr>
          <w:rFonts w:ascii="Arial" w:hAnsi="Arial" w:cs="Arial"/>
          <w:sz w:val="22"/>
          <w:szCs w:val="22"/>
          <w:lang w:val="en-US"/>
        </w:rPr>
        <w:t>0.1-degree</w:t>
      </w:r>
      <w:r w:rsidRPr="00D140E4">
        <w:rPr>
          <w:rFonts w:ascii="Arial" w:hAnsi="Arial" w:cs="Arial"/>
          <w:sz w:val="22"/>
          <w:szCs w:val="22"/>
          <w:lang w:val="en-US"/>
        </w:rPr>
        <w:t xml:space="preserve"> resolution. In Shanxi (panel a), the EDGAR distribution has a mean flux of 1.57×10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9</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xml:space="preserve"> and a standard deviation of 5.67×10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9</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xml:space="preserve">, reflecting the highly skewed distribution typical of fossil fuel </w:t>
      </w:r>
      <w:r w:rsidRPr="00D140E4">
        <w:rPr>
          <w:rFonts w:ascii="Arial" w:hAnsi="Arial" w:cs="Arial"/>
          <w:sz w:val="22"/>
          <w:szCs w:val="22"/>
          <w:lang w:val="en-US"/>
        </w:rPr>
        <w:lastRenderedPageBreak/>
        <w:t>inventories in which a small number of high-emission grid cells dominate the total. The Top-down inventory shifts the distribution toward higher values, with a mean of 4.03×10</w:t>
      </w:r>
      <w:r w:rsidR="003A30A7" w:rsidRPr="003A30A7">
        <w:rPr>
          <w:rFonts w:ascii="Arial" w:hAnsi="Arial" w:cs="Arial"/>
          <w:sz w:val="22"/>
          <w:szCs w:val="22"/>
          <w:vertAlign w:val="superscript"/>
          <w:lang w:val="en-US"/>
        </w:rPr>
        <w:t>–</w:t>
      </w:r>
      <w:r w:rsidR="003A30A7">
        <w:rPr>
          <w:rFonts w:ascii="Arial" w:hAnsi="Arial" w:cs="Arial" w:hint="eastAsia"/>
          <w:sz w:val="22"/>
          <w:szCs w:val="22"/>
          <w:vertAlign w:val="superscript"/>
          <w:lang w:val="en-US"/>
        </w:rPr>
        <w:t>9</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xml:space="preserve"> and a standard deviation of 1.27×10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8</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corresponding to a 2.57-fold increase in the domain mean. The near-zero median in both cases (2.80×10</w:t>
      </w:r>
      <w:r w:rsidRPr="00D140E4">
        <w:rPr>
          <w:rFonts w:ascii="Arial" w:hAnsi="Arial" w:cs="Arial"/>
          <w:sz w:val="22"/>
          <w:szCs w:val="22"/>
          <w:vertAlign w:val="superscript"/>
          <w:lang w:val="en-US"/>
        </w:rPr>
        <w:t>-11</w:t>
      </w:r>
      <w:r w:rsidRPr="00D140E4">
        <w:rPr>
          <w:rFonts w:ascii="Arial" w:hAnsi="Arial" w:cs="Arial"/>
          <w:sz w:val="22"/>
          <w:szCs w:val="22"/>
          <w:lang w:val="en-US"/>
        </w:rPr>
        <w:t xml:space="preserve"> and 2.85×10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11</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respectively) confirms that the majority of Shanxi grid cells carry background-level emissions, with the enhancement concentrated at point-source coal mine locations. The Diff distribution (Top-down minus EDGAR) has a median of zero, confirming that the satellite-constrained revision increases emissions at specific coal mine grids without altering the broader non-coal emission field.</w:t>
      </w:r>
    </w:p>
    <w:p w14:paraId="6D39F7F3" w14:textId="61D4F42B" w:rsidR="005D73F4" w:rsidRPr="00844C41" w:rsidRDefault="00D140E4" w:rsidP="00757012">
      <w:pPr>
        <w:spacing w:line="360" w:lineRule="auto"/>
        <w:rPr>
          <w:rFonts w:ascii="Arial" w:hAnsi="Arial" w:cs="Arial"/>
          <w:sz w:val="22"/>
          <w:szCs w:val="22"/>
          <w:lang w:val="en-US"/>
        </w:rPr>
      </w:pPr>
      <w:r w:rsidRPr="00D140E4">
        <w:rPr>
          <w:rFonts w:ascii="Arial" w:hAnsi="Arial" w:cs="Arial"/>
          <w:sz w:val="22"/>
          <w:szCs w:val="22"/>
          <w:lang w:val="en-US"/>
        </w:rPr>
        <w:t>In the BTH region (panel b), the EDGAR and Top-down inventories are statistically identical (mean 5.42×10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10</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standard deviation 8.50×10</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9</w:t>
      </w:r>
      <w:r w:rsidRPr="00D140E4">
        <w:rPr>
          <w:rFonts w:ascii="Arial" w:hAnsi="Arial" w:cs="Arial"/>
          <w:sz w:val="22"/>
          <w:szCs w:val="22"/>
          <w:lang w:val="en-US"/>
        </w:rPr>
        <w:t xml:space="preserve"> kg m</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2</w:t>
      </w:r>
      <w:r w:rsidRPr="00D140E4">
        <w:rPr>
          <w:rFonts w:ascii="Arial" w:hAnsi="Arial" w:cs="Arial"/>
          <w:sz w:val="22"/>
          <w:szCs w:val="22"/>
          <w:lang w:val="en-US"/>
        </w:rPr>
        <w:t xml:space="preserve"> s</w:t>
      </w:r>
      <w:r w:rsidR="003A30A7" w:rsidRPr="003A30A7">
        <w:rPr>
          <w:rFonts w:ascii="Arial" w:hAnsi="Arial" w:cs="Arial"/>
          <w:sz w:val="22"/>
          <w:szCs w:val="22"/>
          <w:vertAlign w:val="superscript"/>
          <w:lang w:val="en-US"/>
        </w:rPr>
        <w:t>–</w:t>
      </w:r>
      <w:r w:rsidRPr="00D140E4">
        <w:rPr>
          <w:rFonts w:ascii="Arial" w:hAnsi="Arial" w:cs="Arial"/>
          <w:sz w:val="22"/>
          <w:szCs w:val="22"/>
          <w:vertAlign w:val="superscript"/>
          <w:lang w:val="en-US"/>
        </w:rPr>
        <w:t>1</w:t>
      </w:r>
      <w:r w:rsidRPr="00D140E4">
        <w:rPr>
          <w:rFonts w:ascii="Arial" w:hAnsi="Arial" w:cs="Arial"/>
          <w:sz w:val="22"/>
          <w:szCs w:val="22"/>
          <w:lang w:val="en-US"/>
        </w:rPr>
        <w:t xml:space="preserve"> in both cases), confirming that the Top-down substitution is confined to Shanxi and introduces no direct emission changes within the BTH domain. The BTH-50% experiment produces a difference distribution that is entirely negative within the BTH boundary, with its magnitude reflecting the local emission reduction applied. Together, these distributions establish the statistical independence of Shanxi source modifications from BTH local emissions, which is a prerequisite for the linear attribution decomposition described in the main text.</w:t>
      </w:r>
    </w:p>
    <w:p w14:paraId="17A093D8" w14:textId="1BACF88F" w:rsidR="00282C0B" w:rsidRPr="005D73F4" w:rsidRDefault="00A17673" w:rsidP="005D73F4">
      <w:pPr>
        <w:rPr>
          <w:b/>
          <w:bCs/>
          <w:lang w:val="en-US"/>
        </w:rPr>
      </w:pPr>
      <w:r>
        <w:rPr>
          <w:b/>
          <w:bCs/>
          <w:noProof/>
          <w:lang w:val="en-US"/>
        </w:rPr>
        <w:drawing>
          <wp:inline distT="0" distB="0" distL="0" distR="0" wp14:anchorId="61D9A865" wp14:editId="3BCB4647">
            <wp:extent cx="5943600" cy="1765935"/>
            <wp:effectExtent l="0" t="0" r="0" b="5715"/>
            <wp:docPr id="17635488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48878" name="Picture 17635488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65935"/>
                    </a:xfrm>
                    <a:prstGeom prst="rect">
                      <a:avLst/>
                    </a:prstGeom>
                  </pic:spPr>
                </pic:pic>
              </a:graphicData>
            </a:graphic>
          </wp:inline>
        </w:drawing>
      </w:r>
    </w:p>
    <w:p w14:paraId="63EA0A6E" w14:textId="79F73B45" w:rsidR="005D73F4" w:rsidRDefault="0074547A" w:rsidP="00E9585B">
      <w:pPr>
        <w:pStyle w:val="a3"/>
        <w:widowControl w:val="0"/>
        <w:spacing w:line="276" w:lineRule="auto"/>
        <w:jc w:val="both"/>
        <w:outlineLvl w:val="1"/>
        <w:rPr>
          <w:rFonts w:asciiTheme="minorHAnsi" w:eastAsia="Times New Roman" w:hAnsiTheme="minorHAnsi" w:cstheme="minorHAnsi"/>
          <w:color w:val="000000" w:themeColor="text1"/>
          <w:kern w:val="2"/>
          <w:sz w:val="22"/>
          <w:szCs w:val="22"/>
          <w:lang w:val="en-US"/>
        </w:rPr>
      </w:pPr>
      <w:r w:rsidRPr="00AC13EB">
        <w:rPr>
          <w:rFonts w:asciiTheme="minorHAnsi" w:eastAsia="Times New Roman" w:hAnsiTheme="minorHAnsi" w:cstheme="minorHAnsi"/>
          <w:b/>
          <w:bCs/>
          <w:color w:val="000000" w:themeColor="text1"/>
          <w:kern w:val="2"/>
          <w:sz w:val="22"/>
          <w:szCs w:val="22"/>
          <w:lang w:val="en-US"/>
        </w:rPr>
        <w:t xml:space="preserve">Supplementary Fig. </w:t>
      </w:r>
      <w:r w:rsidR="00DB47CD" w:rsidRPr="00AC13EB">
        <w:rPr>
          <w:rFonts w:asciiTheme="minorHAnsi" w:hAnsiTheme="minorHAnsi" w:cstheme="minorHAnsi"/>
          <w:b/>
          <w:bCs/>
          <w:color w:val="000000" w:themeColor="text1"/>
          <w:kern w:val="2"/>
          <w:sz w:val="22"/>
          <w:szCs w:val="22"/>
          <w:lang w:val="en-US"/>
        </w:rPr>
        <w:t>S</w:t>
      </w:r>
      <w:r w:rsidRPr="00AC13EB">
        <w:rPr>
          <w:rFonts w:asciiTheme="minorHAnsi" w:hAnsiTheme="minorHAnsi" w:cstheme="minorHAnsi"/>
          <w:b/>
          <w:bCs/>
          <w:color w:val="000000" w:themeColor="text1"/>
          <w:kern w:val="2"/>
          <w:sz w:val="22"/>
          <w:szCs w:val="22"/>
          <w:lang w:val="en-US"/>
        </w:rPr>
        <w:t>2</w:t>
      </w:r>
      <w:r w:rsidRPr="00AC13EB">
        <w:rPr>
          <w:rFonts w:asciiTheme="minorHAnsi" w:eastAsia="Times New Roman" w:hAnsiTheme="minorHAnsi" w:cstheme="minorHAnsi"/>
          <w:color w:val="000000" w:themeColor="text1"/>
          <w:kern w:val="2"/>
          <w:sz w:val="22"/>
          <w:szCs w:val="22"/>
          <w:lang w:val="en-US"/>
        </w:rPr>
        <w:t xml:space="preserve">. </w:t>
      </w:r>
      <w:r w:rsidR="005D73F4" w:rsidRPr="00AC13EB">
        <w:rPr>
          <w:rFonts w:asciiTheme="minorHAnsi" w:eastAsia="Times New Roman" w:hAnsiTheme="minorHAnsi" w:cstheme="minorHAnsi"/>
          <w:b/>
          <w:bCs/>
          <w:color w:val="000000" w:themeColor="text1"/>
          <w:kern w:val="2"/>
          <w:sz w:val="22"/>
          <w:szCs w:val="22"/>
          <w:lang w:val="en-US"/>
        </w:rPr>
        <w:t xml:space="preserve">Anthropogenic methane flux probability density functions (PDFs) and statistical summaries in SX and BTH region (August, 0.1° resolution). </w:t>
      </w:r>
      <w:r w:rsidR="005D73F4" w:rsidRPr="00AC13EB">
        <w:rPr>
          <w:rFonts w:asciiTheme="minorHAnsi" w:eastAsia="Times New Roman" w:hAnsiTheme="minorHAnsi" w:cstheme="minorHAnsi"/>
          <w:color w:val="000000" w:themeColor="text1"/>
          <w:kern w:val="2"/>
          <w:sz w:val="22"/>
          <w:szCs w:val="22"/>
          <w:lang w:val="en-US"/>
        </w:rPr>
        <w:t>(a) Shanxi Province: EDGAR vs.Top-down; (b) BTH region: EDGAR vs.Top-down (BTH-50%).</w:t>
      </w:r>
    </w:p>
    <w:p w14:paraId="321F6004" w14:textId="2760D692" w:rsidR="004C3807" w:rsidRPr="00D43746" w:rsidRDefault="00061E8D" w:rsidP="00B42F8E">
      <w:pPr>
        <w:pStyle w:val="ae"/>
        <w:outlineLvl w:val="0"/>
        <w:rPr>
          <w:rFonts w:ascii="Arial" w:hAnsi="Arial" w:cs="Arial"/>
          <w:sz w:val="22"/>
          <w:szCs w:val="22"/>
        </w:rPr>
      </w:pPr>
      <w:r w:rsidRPr="00A0325B">
        <w:rPr>
          <w:rFonts w:ascii="Arial" w:hAnsi="Arial" w:cs="Arial"/>
          <w:b/>
          <w:bCs/>
          <w:sz w:val="22"/>
          <w:szCs w:val="22"/>
          <w:lang w:val="en-SG"/>
        </w:rPr>
        <w:t>Validation against DaBuTou tower flux observations in the Shanxi source region.</w:t>
      </w:r>
      <w:r w:rsidRPr="00A0325B">
        <w:rPr>
          <w:rFonts w:ascii="Arial" w:hAnsi="Arial" w:cs="Arial"/>
          <w:sz w:val="22"/>
          <w:szCs w:val="22"/>
          <w:lang w:val="en-SG"/>
        </w:rPr>
        <w:t xml:space="preserve"> A LI-7700 Open Path CH</w:t>
      </w:r>
      <w:r w:rsidRPr="00A233DE">
        <w:rPr>
          <w:rFonts w:ascii="Arial" w:hAnsi="Arial" w:cs="Arial"/>
          <w:sz w:val="22"/>
          <w:szCs w:val="22"/>
          <w:vertAlign w:val="subscript"/>
          <w:lang w:val="en-SG"/>
        </w:rPr>
        <w:t>4</w:t>
      </w:r>
      <w:r w:rsidRPr="00A0325B">
        <w:rPr>
          <w:rFonts w:ascii="Arial" w:hAnsi="Arial" w:cs="Arial"/>
          <w:sz w:val="22"/>
          <w:szCs w:val="22"/>
          <w:lang w:val="en-SG"/>
        </w:rPr>
        <w:t xml:space="preserve"> Gas Analyzer mounted at </w:t>
      </w:r>
      <w:r w:rsidR="00275180">
        <w:rPr>
          <w:rFonts w:ascii="Arial" w:hAnsi="Arial" w:cs="Arial"/>
          <w:sz w:val="22"/>
          <w:szCs w:val="22"/>
          <w:lang w:val="en-SG"/>
        </w:rPr>
        <w:t>10</w:t>
      </w:r>
      <w:r w:rsidRPr="00A0325B">
        <w:rPr>
          <w:rFonts w:ascii="Arial" w:hAnsi="Arial" w:cs="Arial"/>
          <w:sz w:val="22"/>
          <w:szCs w:val="22"/>
          <w:lang w:val="en-SG"/>
        </w:rPr>
        <w:t>-m height and IRGASON combined CO</w:t>
      </w:r>
      <w:r w:rsidRPr="00A233DE">
        <w:rPr>
          <w:rFonts w:ascii="Arial" w:hAnsi="Arial" w:cs="Arial"/>
          <w:sz w:val="22"/>
          <w:szCs w:val="22"/>
          <w:vertAlign w:val="subscript"/>
          <w:lang w:val="en-SG"/>
        </w:rPr>
        <w:t>2</w:t>
      </w:r>
      <w:r w:rsidRPr="00A0325B">
        <w:rPr>
          <w:rFonts w:ascii="Arial" w:hAnsi="Arial" w:cs="Arial"/>
          <w:sz w:val="22"/>
          <w:szCs w:val="22"/>
          <w:lang w:val="en-SG"/>
        </w:rPr>
        <w:t>/H</w:t>
      </w:r>
      <w:r w:rsidRPr="00967CA0">
        <w:rPr>
          <w:rFonts w:ascii="Arial" w:hAnsi="Arial" w:cs="Arial"/>
          <w:sz w:val="22"/>
          <w:szCs w:val="22"/>
          <w:vertAlign w:val="subscript"/>
          <w:lang w:val="en-SG"/>
        </w:rPr>
        <w:t>2</w:t>
      </w:r>
      <w:r w:rsidRPr="00A0325B">
        <w:rPr>
          <w:rFonts w:ascii="Arial" w:hAnsi="Arial" w:cs="Arial"/>
          <w:sz w:val="22"/>
          <w:szCs w:val="22"/>
          <w:lang w:val="en-SG"/>
        </w:rPr>
        <w:t xml:space="preserve">O Open-Path Gas Analyzer and 3D Sonic Anemometer measured high-frequency raw data of three-dimensional wind and methane density. Turbulent fluxes were calculated over 30-min averaging intervals using eddy covariance. Data quality was applied: first using the Relative Signal Strength Indicator (data below 20% were excluded to eliminate bias from precipitation, cloud, and aerosol); second screening for spikes and statistical outliers (Vickers and Mahrt 1997); and third a </w:t>
      </w:r>
      <w:r w:rsidR="004C3807" w:rsidRPr="004C3807">
        <w:rPr>
          <w:rFonts w:ascii="Arial" w:hAnsi="Arial" w:cs="Arial"/>
          <w:sz w:val="22"/>
          <w:szCs w:val="22"/>
          <w:lang w:val="en-SG"/>
        </w:rPr>
        <w:t>Webb-Pearman-Leuning</w:t>
      </w:r>
      <w:r w:rsidR="004C3807">
        <w:rPr>
          <w:rFonts w:ascii="Arial" w:hAnsi="Arial" w:cs="Arial"/>
          <w:sz w:val="22"/>
          <w:szCs w:val="22"/>
          <w:lang w:val="en-SG"/>
        </w:rPr>
        <w:t xml:space="preserve"> (</w:t>
      </w:r>
      <w:r w:rsidRPr="00A0325B">
        <w:rPr>
          <w:rFonts w:ascii="Arial" w:hAnsi="Arial" w:cs="Arial"/>
          <w:sz w:val="22"/>
          <w:szCs w:val="22"/>
          <w:lang w:val="en-SG"/>
        </w:rPr>
        <w:t>WPL</w:t>
      </w:r>
      <w:r w:rsidR="004C3807">
        <w:rPr>
          <w:rFonts w:ascii="Arial" w:hAnsi="Arial" w:cs="Arial"/>
          <w:sz w:val="22"/>
          <w:szCs w:val="22"/>
          <w:lang w:val="en-SG"/>
        </w:rPr>
        <w:t>)</w:t>
      </w:r>
      <w:r w:rsidRPr="00A0325B">
        <w:rPr>
          <w:rFonts w:ascii="Arial" w:hAnsi="Arial" w:cs="Arial"/>
          <w:sz w:val="22"/>
          <w:szCs w:val="22"/>
          <w:lang w:val="en-SG"/>
        </w:rPr>
        <w:t xml:space="preserve"> and spectroscopic correction were applied.</w:t>
      </w:r>
      <w:r w:rsidR="00B42F8E">
        <w:rPr>
          <w:rFonts w:ascii="Arial" w:hAnsi="Arial" w:cs="Arial"/>
          <w:sz w:val="22"/>
          <w:szCs w:val="22"/>
          <w:lang w:val="en-SG"/>
        </w:rPr>
        <w:t xml:space="preserve"> </w:t>
      </w:r>
      <w:r w:rsidR="00B42F8E" w:rsidRPr="00B42F8E">
        <w:rPr>
          <w:rFonts w:ascii="Arial" w:hAnsi="Arial" w:cs="Arial"/>
          <w:sz w:val="22"/>
          <w:szCs w:val="22"/>
          <w:lang w:val="en-SG"/>
        </w:rPr>
        <w:lastRenderedPageBreak/>
        <w:t>This</w:t>
      </w:r>
      <w:r w:rsidR="00B42F8E">
        <w:rPr>
          <w:rFonts w:ascii="Arial" w:hAnsi="Arial" w:cs="Arial"/>
          <w:sz w:val="22"/>
          <w:szCs w:val="22"/>
          <w:lang w:val="en-SG"/>
        </w:rPr>
        <w:t xml:space="preserve"> </w:t>
      </w:r>
      <w:r w:rsidR="00B42F8E" w:rsidRPr="00B42F8E">
        <w:rPr>
          <w:rFonts w:ascii="Arial" w:hAnsi="Arial" w:cs="Arial"/>
          <w:sz w:val="22"/>
          <w:szCs w:val="22"/>
          <w:lang w:val="en-SG"/>
        </w:rPr>
        <w:t>yielded 136 valid 30-minute intervals during the simulated period (August</w:t>
      </w:r>
      <w:r w:rsidR="00B42F8E">
        <w:rPr>
          <w:rFonts w:ascii="Arial" w:hAnsi="Arial" w:cs="Arial"/>
          <w:sz w:val="22"/>
          <w:szCs w:val="22"/>
          <w:lang w:val="en-SG"/>
        </w:rPr>
        <w:t xml:space="preserve"> </w:t>
      </w:r>
      <w:r w:rsidR="00B42F8E" w:rsidRPr="00B42F8E">
        <w:rPr>
          <w:rFonts w:ascii="Arial" w:hAnsi="Arial" w:cs="Arial"/>
          <w:sz w:val="22"/>
          <w:szCs w:val="22"/>
          <w:lang w:val="en-SG"/>
        </w:rPr>
        <w:t>2022). Because the WPL-corrected flux density is footprint-independent, it is</w:t>
      </w:r>
      <w:r w:rsidR="00B42F8E">
        <w:rPr>
          <w:rFonts w:ascii="Arial" w:hAnsi="Arial" w:cs="Arial"/>
          <w:sz w:val="22"/>
          <w:szCs w:val="22"/>
          <w:lang w:val="en-SG"/>
        </w:rPr>
        <w:t xml:space="preserve"> </w:t>
      </w:r>
      <w:r w:rsidR="00B42F8E" w:rsidRPr="00B42F8E">
        <w:rPr>
          <w:rFonts w:ascii="Arial" w:hAnsi="Arial" w:cs="Arial"/>
          <w:sz w:val="22"/>
          <w:szCs w:val="22"/>
          <w:lang w:val="en-SG"/>
        </w:rPr>
        <w:t>compared directly with the 3 km WRF-GHG prior emission density, avoiding the</w:t>
      </w:r>
      <w:r w:rsidR="00B42F8E">
        <w:rPr>
          <w:rFonts w:ascii="Arial" w:hAnsi="Arial" w:cs="Arial"/>
          <w:sz w:val="22"/>
          <w:szCs w:val="22"/>
          <w:lang w:val="en-SG"/>
        </w:rPr>
        <w:t xml:space="preserve"> </w:t>
      </w:r>
      <w:r w:rsidR="00B42F8E" w:rsidRPr="00B42F8E">
        <w:rPr>
          <w:rFonts w:ascii="Arial" w:hAnsi="Arial" w:cs="Arial"/>
          <w:sz w:val="22"/>
          <w:szCs w:val="22"/>
          <w:lang w:val="en-SG"/>
        </w:rPr>
        <w:t>representativeness error that limits a point-versus-grid concentration</w:t>
      </w:r>
      <w:r w:rsidR="00B42F8E">
        <w:rPr>
          <w:rFonts w:ascii="Arial" w:hAnsi="Arial" w:cs="Arial"/>
          <w:sz w:val="22"/>
          <w:szCs w:val="22"/>
          <w:lang w:val="en-SG"/>
        </w:rPr>
        <w:t xml:space="preserve"> </w:t>
      </w:r>
      <w:r w:rsidR="00B42F8E" w:rsidRPr="00B42F8E">
        <w:rPr>
          <w:rFonts w:ascii="Arial" w:hAnsi="Arial" w:cs="Arial"/>
          <w:sz w:val="22"/>
          <w:szCs w:val="22"/>
          <w:lang w:val="en-SG"/>
        </w:rPr>
        <w:t>comparison.</w:t>
      </w:r>
    </w:p>
    <w:p w14:paraId="36225B64" w14:textId="3ED27882" w:rsidR="00B42F8E" w:rsidRDefault="00B42F8E" w:rsidP="00B42F8E">
      <w:pPr>
        <w:pStyle w:val="ae"/>
        <w:outlineLvl w:val="0"/>
        <w:rPr>
          <w:rFonts w:ascii="Arial" w:hAnsi="Arial" w:cs="Arial"/>
          <w:sz w:val="22"/>
          <w:szCs w:val="22"/>
        </w:rPr>
      </w:pPr>
      <w:r w:rsidRPr="00B42F8E">
        <w:rPr>
          <w:rFonts w:ascii="Arial" w:hAnsi="Arial" w:cs="Arial"/>
          <w:sz w:val="22"/>
          <w:szCs w:val="22"/>
        </w:rPr>
        <w:t>We isolate the intervals for which the wind arrived from the dominant source</w:t>
      </w:r>
      <w:r>
        <w:rPr>
          <w:rFonts w:ascii="Arial" w:hAnsi="Arial" w:cs="Arial"/>
          <w:sz w:val="22"/>
          <w:szCs w:val="22"/>
        </w:rPr>
        <w:t xml:space="preserve"> </w:t>
      </w:r>
      <w:r w:rsidRPr="00B42F8E">
        <w:rPr>
          <w:rFonts w:ascii="Arial" w:hAnsi="Arial" w:cs="Arial"/>
          <w:sz w:val="22"/>
          <w:szCs w:val="22"/>
        </w:rPr>
        <w:t xml:space="preserve">sector (south-west, 215 </w:t>
      </w:r>
      <w:r w:rsidRPr="00275180">
        <w:rPr>
          <w:rFonts w:ascii="Arial" w:hAnsi="Arial" w:cs="Arial"/>
          <w:sz w:val="22"/>
          <w:szCs w:val="22"/>
        </w:rPr>
        <w:t>±</w:t>
      </w:r>
      <w:r w:rsidRPr="00B42F8E">
        <w:rPr>
          <w:rFonts w:ascii="Arial" w:hAnsi="Arial" w:cs="Arial"/>
          <w:sz w:val="22"/>
          <w:szCs w:val="22"/>
        </w:rPr>
        <w:t xml:space="preserve"> 45 deg</w:t>
      </w:r>
      <w:r>
        <w:rPr>
          <w:rFonts w:ascii="Arial" w:hAnsi="Arial" w:cs="Arial" w:hint="eastAsia"/>
          <w:sz w:val="22"/>
          <w:szCs w:val="22"/>
        </w:rPr>
        <w:t>ree</w:t>
      </w:r>
      <w:r w:rsidRPr="00B42F8E">
        <w:rPr>
          <w:rFonts w:ascii="Arial" w:hAnsi="Arial" w:cs="Arial"/>
          <w:sz w:val="22"/>
          <w:szCs w:val="22"/>
        </w:rPr>
        <w:t xml:space="preserve">), </w:t>
      </w:r>
      <w:r w:rsidR="00176B28" w:rsidRPr="00B42F8E">
        <w:rPr>
          <w:rFonts w:ascii="Arial" w:hAnsi="Arial" w:cs="Arial"/>
          <w:sz w:val="22"/>
          <w:szCs w:val="22"/>
        </w:rPr>
        <w:t>i.e.,</w:t>
      </w:r>
      <w:r w:rsidRPr="00B42F8E">
        <w:rPr>
          <w:rFonts w:ascii="Arial" w:hAnsi="Arial" w:cs="Arial"/>
          <w:sz w:val="22"/>
          <w:szCs w:val="22"/>
        </w:rPr>
        <w:t xml:space="preserve"> when the tower sampled the upwind</w:t>
      </w:r>
      <w:r>
        <w:rPr>
          <w:rFonts w:ascii="Arial" w:hAnsi="Arial" w:cs="Arial"/>
          <w:sz w:val="22"/>
          <w:szCs w:val="22"/>
        </w:rPr>
        <w:t xml:space="preserve"> </w:t>
      </w:r>
      <w:r w:rsidRPr="00B42F8E">
        <w:rPr>
          <w:rFonts w:ascii="Arial" w:hAnsi="Arial" w:cs="Arial"/>
          <w:sz w:val="22"/>
          <w:szCs w:val="22"/>
        </w:rPr>
        <w:t xml:space="preserve">coal-mine source. The source-direction flux has a median of 134 </w:t>
      </w:r>
      <w:r w:rsidRPr="00275180">
        <w:rPr>
          <w:rFonts w:ascii="Arial" w:hAnsi="Arial" w:cs="Arial"/>
          <w:sz w:val="22"/>
          <w:szCs w:val="22"/>
          <w:lang w:val="en-SG"/>
        </w:rPr>
        <w:t>ug m</w:t>
      </w:r>
      <w:r w:rsidRPr="002B6EF0">
        <w:rPr>
          <w:rFonts w:ascii="Arial" w:hAnsi="Arial" w:cs="Arial"/>
          <w:sz w:val="22"/>
          <w:szCs w:val="22"/>
          <w:vertAlign w:val="superscript"/>
          <w:lang w:val="en-SG"/>
        </w:rPr>
        <w:t>–2</w:t>
      </w:r>
      <w:r w:rsidRPr="00275180">
        <w:rPr>
          <w:rFonts w:ascii="Arial" w:hAnsi="Arial" w:cs="Arial"/>
          <w:sz w:val="22"/>
          <w:szCs w:val="22"/>
          <w:lang w:val="en-SG"/>
        </w:rPr>
        <w:t xml:space="preserve"> s</w:t>
      </w:r>
      <w:r w:rsidRPr="002B6EF0">
        <w:rPr>
          <w:rFonts w:ascii="Arial" w:hAnsi="Arial" w:cs="Arial"/>
          <w:sz w:val="22"/>
          <w:szCs w:val="22"/>
          <w:vertAlign w:val="superscript"/>
          <w:lang w:val="en-SG"/>
        </w:rPr>
        <w:t>–1</w:t>
      </w:r>
      <w:r>
        <w:rPr>
          <w:rFonts w:ascii="Arial" w:hAnsi="Arial" w:cs="Arial"/>
          <w:sz w:val="22"/>
          <w:szCs w:val="22"/>
        </w:rPr>
        <w:t xml:space="preserve"> </w:t>
      </w:r>
      <w:r w:rsidRPr="00B42F8E">
        <w:rPr>
          <w:rFonts w:ascii="Arial" w:hAnsi="Arial" w:cs="Arial"/>
          <w:sz w:val="22"/>
          <w:szCs w:val="22"/>
        </w:rPr>
        <w:t>(5th-95th percentile 43</w:t>
      </w:r>
      <w:r w:rsidRPr="00275180">
        <w:rPr>
          <w:rFonts w:ascii="Arial" w:hAnsi="Arial" w:cs="Arial"/>
          <w:sz w:val="22"/>
          <w:szCs w:val="22"/>
        </w:rPr>
        <w:t>–</w:t>
      </w:r>
      <w:r w:rsidRPr="00B42F8E">
        <w:rPr>
          <w:rFonts w:ascii="Arial" w:hAnsi="Arial" w:cs="Arial"/>
          <w:sz w:val="22"/>
          <w:szCs w:val="22"/>
        </w:rPr>
        <w:t>402; maximum 464), confirming a strong, localized</w:t>
      </w:r>
      <w:r>
        <w:rPr>
          <w:rFonts w:ascii="Arial" w:hAnsi="Arial" w:cs="Arial"/>
          <w:sz w:val="22"/>
          <w:szCs w:val="22"/>
        </w:rPr>
        <w:t xml:space="preserve"> </w:t>
      </w:r>
      <w:r w:rsidRPr="00B42F8E">
        <w:rPr>
          <w:rFonts w:ascii="Arial" w:hAnsi="Arial" w:cs="Arial"/>
          <w:sz w:val="22"/>
          <w:szCs w:val="22"/>
        </w:rPr>
        <w:t>coal-mine source. This magnitude is reproduced by the satellite-constrained</w:t>
      </w:r>
      <w:r>
        <w:rPr>
          <w:rFonts w:ascii="Arial" w:hAnsi="Arial" w:cs="Arial"/>
          <w:sz w:val="22"/>
          <w:szCs w:val="22"/>
        </w:rPr>
        <w:t xml:space="preserve"> </w:t>
      </w:r>
      <w:r w:rsidRPr="00B42F8E">
        <w:rPr>
          <w:rFonts w:ascii="Arial" w:hAnsi="Arial" w:cs="Arial"/>
          <w:sz w:val="22"/>
          <w:szCs w:val="22"/>
        </w:rPr>
        <w:t xml:space="preserve">Top-down inventory, whose resolved coal-mine cell reaches ~53 </w:t>
      </w:r>
      <w:r w:rsidRPr="00275180">
        <w:rPr>
          <w:rFonts w:ascii="Arial" w:hAnsi="Arial" w:cs="Arial"/>
          <w:sz w:val="22"/>
          <w:szCs w:val="22"/>
          <w:lang w:val="en-SG"/>
        </w:rPr>
        <w:t>ug m</w:t>
      </w:r>
      <w:r w:rsidRPr="002B6EF0">
        <w:rPr>
          <w:rFonts w:ascii="Arial" w:hAnsi="Arial" w:cs="Arial"/>
          <w:sz w:val="22"/>
          <w:szCs w:val="22"/>
          <w:vertAlign w:val="superscript"/>
          <w:lang w:val="en-SG"/>
        </w:rPr>
        <w:t>–2</w:t>
      </w:r>
      <w:r w:rsidRPr="00275180">
        <w:rPr>
          <w:rFonts w:ascii="Arial" w:hAnsi="Arial" w:cs="Arial"/>
          <w:sz w:val="22"/>
          <w:szCs w:val="22"/>
          <w:lang w:val="en-SG"/>
        </w:rPr>
        <w:t xml:space="preserve"> s</w:t>
      </w:r>
      <w:r w:rsidRPr="002B6EF0">
        <w:rPr>
          <w:rFonts w:ascii="Arial" w:hAnsi="Arial" w:cs="Arial"/>
          <w:sz w:val="22"/>
          <w:szCs w:val="22"/>
          <w:vertAlign w:val="superscript"/>
          <w:lang w:val="en-SG"/>
        </w:rPr>
        <w:t>–1</w:t>
      </w:r>
      <w:r w:rsidRPr="00B42F8E">
        <w:rPr>
          <w:rFonts w:ascii="Arial" w:hAnsi="Arial" w:cs="Arial"/>
          <w:sz w:val="22"/>
          <w:szCs w:val="22"/>
        </w:rPr>
        <w:t xml:space="preserve"> and</w:t>
      </w:r>
      <w:r>
        <w:rPr>
          <w:rFonts w:ascii="Arial" w:hAnsi="Arial" w:cs="Arial"/>
          <w:sz w:val="22"/>
          <w:szCs w:val="22"/>
        </w:rPr>
        <w:t xml:space="preserve"> </w:t>
      </w:r>
      <w:r w:rsidRPr="00B42F8E">
        <w:rPr>
          <w:rFonts w:ascii="Arial" w:hAnsi="Arial" w:cs="Arial"/>
          <w:sz w:val="22"/>
          <w:szCs w:val="22"/>
        </w:rPr>
        <w:t xml:space="preserve">remains within the observed range under the </w:t>
      </w:r>
      <w:r w:rsidRPr="00275180">
        <w:rPr>
          <w:rFonts w:ascii="Arial" w:hAnsi="Arial" w:cs="Arial"/>
          <w:sz w:val="22"/>
          <w:szCs w:val="22"/>
        </w:rPr>
        <w:t>±</w:t>
      </w:r>
      <w:r w:rsidRPr="00B42F8E">
        <w:rPr>
          <w:rFonts w:ascii="Arial" w:hAnsi="Arial" w:cs="Arial"/>
          <w:sz w:val="22"/>
          <w:szCs w:val="22"/>
        </w:rPr>
        <w:t xml:space="preserve">50% perturbation (~46 </w:t>
      </w:r>
      <w:r w:rsidRPr="00275180">
        <w:rPr>
          <w:rFonts w:ascii="Arial" w:hAnsi="Arial" w:cs="Arial"/>
          <w:sz w:val="22"/>
          <w:szCs w:val="22"/>
          <w:lang w:val="en-SG"/>
        </w:rPr>
        <w:t>ug m</w:t>
      </w:r>
      <w:r w:rsidRPr="002B6EF0">
        <w:rPr>
          <w:rFonts w:ascii="Arial" w:hAnsi="Arial" w:cs="Arial"/>
          <w:sz w:val="22"/>
          <w:szCs w:val="22"/>
          <w:vertAlign w:val="superscript"/>
          <w:lang w:val="en-SG"/>
        </w:rPr>
        <w:t>–2</w:t>
      </w:r>
      <w:r w:rsidRPr="00275180">
        <w:rPr>
          <w:rFonts w:ascii="Arial" w:hAnsi="Arial" w:cs="Arial"/>
          <w:sz w:val="22"/>
          <w:szCs w:val="22"/>
          <w:lang w:val="en-SG"/>
        </w:rPr>
        <w:t xml:space="preserve"> s</w:t>
      </w:r>
      <w:r w:rsidRPr="002B6EF0">
        <w:rPr>
          <w:rFonts w:ascii="Arial" w:hAnsi="Arial" w:cs="Arial"/>
          <w:sz w:val="22"/>
          <w:szCs w:val="22"/>
          <w:vertAlign w:val="superscript"/>
          <w:lang w:val="en-SG"/>
        </w:rPr>
        <w:t>–1</w:t>
      </w:r>
      <w:r w:rsidRPr="00B42F8E">
        <w:rPr>
          <w:rFonts w:ascii="Arial" w:hAnsi="Arial" w:cs="Arial"/>
          <w:sz w:val="22"/>
          <w:szCs w:val="22"/>
        </w:rPr>
        <w:t>), whereas the corresponding EDGAR coal-mine density is an order of magnitude</w:t>
      </w:r>
      <w:r>
        <w:rPr>
          <w:rFonts w:ascii="Arial" w:hAnsi="Arial" w:cs="Arial"/>
          <w:sz w:val="22"/>
          <w:szCs w:val="22"/>
        </w:rPr>
        <w:t xml:space="preserve"> </w:t>
      </w:r>
      <w:r w:rsidRPr="00B42F8E">
        <w:rPr>
          <w:rFonts w:ascii="Arial" w:hAnsi="Arial" w:cs="Arial"/>
          <w:sz w:val="22"/>
          <w:szCs w:val="22"/>
        </w:rPr>
        <w:t xml:space="preserve">lower (~5 </w:t>
      </w:r>
      <w:r w:rsidRPr="00275180">
        <w:rPr>
          <w:rFonts w:ascii="Arial" w:hAnsi="Arial" w:cs="Arial"/>
          <w:sz w:val="22"/>
          <w:szCs w:val="22"/>
          <w:lang w:val="en-SG"/>
        </w:rPr>
        <w:t>ug m</w:t>
      </w:r>
      <w:r w:rsidRPr="002B6EF0">
        <w:rPr>
          <w:rFonts w:ascii="Arial" w:hAnsi="Arial" w:cs="Arial"/>
          <w:sz w:val="22"/>
          <w:szCs w:val="22"/>
          <w:vertAlign w:val="superscript"/>
          <w:lang w:val="en-SG"/>
        </w:rPr>
        <w:t>–2</w:t>
      </w:r>
      <w:r w:rsidRPr="00275180">
        <w:rPr>
          <w:rFonts w:ascii="Arial" w:hAnsi="Arial" w:cs="Arial"/>
          <w:sz w:val="22"/>
          <w:szCs w:val="22"/>
          <w:lang w:val="en-SG"/>
        </w:rPr>
        <w:t xml:space="preserve"> s</w:t>
      </w:r>
      <w:r w:rsidRPr="002B6EF0">
        <w:rPr>
          <w:rFonts w:ascii="Arial" w:hAnsi="Arial" w:cs="Arial"/>
          <w:sz w:val="22"/>
          <w:szCs w:val="22"/>
          <w:vertAlign w:val="superscript"/>
          <w:lang w:val="en-SG"/>
        </w:rPr>
        <w:t>–1</w:t>
      </w:r>
      <w:r w:rsidRPr="00B42F8E">
        <w:rPr>
          <w:rFonts w:ascii="Arial" w:hAnsi="Arial" w:cs="Arial"/>
          <w:sz w:val="22"/>
          <w:szCs w:val="22"/>
        </w:rPr>
        <w:t>) and falls well below the observed source magnitude. The</w:t>
      </w:r>
      <w:r>
        <w:rPr>
          <w:rFonts w:ascii="Arial" w:hAnsi="Arial" w:cs="Arial"/>
          <w:sz w:val="22"/>
          <w:szCs w:val="22"/>
        </w:rPr>
        <w:t xml:space="preserve"> </w:t>
      </w:r>
      <w:r w:rsidRPr="00B42F8E">
        <w:rPr>
          <w:rFonts w:ascii="Arial" w:hAnsi="Arial" w:cs="Arial"/>
          <w:sz w:val="22"/>
          <w:szCs w:val="22"/>
        </w:rPr>
        <w:t xml:space="preserve">tower thus provides an independent, </w:t>
      </w:r>
      <w:r w:rsidR="00EE2B56" w:rsidRPr="00EE2B56">
        <w:rPr>
          <w:rFonts w:ascii="Arial" w:hAnsi="Arial" w:cs="Arial"/>
          <w:sz w:val="22"/>
          <w:szCs w:val="22"/>
        </w:rPr>
        <w:t>order-of-magnitude consistency check</w:t>
      </w:r>
      <w:r w:rsidRPr="00B42F8E">
        <w:rPr>
          <w:rFonts w:ascii="Arial" w:hAnsi="Arial" w:cs="Arial"/>
          <w:sz w:val="22"/>
          <w:szCs w:val="22"/>
        </w:rPr>
        <w:t xml:space="preserve"> that the Top-down</w:t>
      </w:r>
      <w:r>
        <w:rPr>
          <w:rFonts w:ascii="Arial" w:hAnsi="Arial" w:cs="Arial"/>
          <w:sz w:val="22"/>
          <w:szCs w:val="22"/>
        </w:rPr>
        <w:t xml:space="preserve"> </w:t>
      </w:r>
      <w:r w:rsidRPr="00B42F8E">
        <w:rPr>
          <w:rFonts w:ascii="Arial" w:hAnsi="Arial" w:cs="Arial"/>
          <w:sz w:val="22"/>
          <w:szCs w:val="22"/>
        </w:rPr>
        <w:t>inventory captures a realistic Shanxi coal-mine source magnitude that EDGAR</w:t>
      </w:r>
      <w:r>
        <w:rPr>
          <w:rFonts w:ascii="Arial" w:hAnsi="Arial" w:cs="Arial"/>
          <w:sz w:val="22"/>
          <w:szCs w:val="22"/>
        </w:rPr>
        <w:t xml:space="preserve"> </w:t>
      </w:r>
      <w:r w:rsidRPr="00B42F8E">
        <w:rPr>
          <w:rFonts w:ascii="Arial" w:hAnsi="Arial" w:cs="Arial"/>
          <w:sz w:val="22"/>
          <w:szCs w:val="22"/>
        </w:rPr>
        <w:t>underestimates, supporting the inventory-refinement signal (Δ</w:t>
      </w:r>
      <w:r w:rsidRPr="00C51257">
        <w:rPr>
          <w:rFonts w:ascii="Arial" w:hAnsi="Arial" w:cs="Arial"/>
          <w:sz w:val="22"/>
          <w:szCs w:val="22"/>
          <w:vertAlign w:val="subscript"/>
        </w:rPr>
        <w:t>inv</w:t>
      </w:r>
      <w:r w:rsidRPr="00B42F8E">
        <w:rPr>
          <w:rFonts w:ascii="Arial" w:hAnsi="Arial" w:cs="Arial"/>
          <w:sz w:val="22"/>
          <w:szCs w:val="22"/>
        </w:rPr>
        <w:t>) and the</w:t>
      </w:r>
      <w:r>
        <w:rPr>
          <w:rFonts w:ascii="Arial" w:hAnsi="Arial" w:cs="Arial"/>
          <w:sz w:val="22"/>
          <w:szCs w:val="22"/>
        </w:rPr>
        <w:t xml:space="preserve"> </w:t>
      </w:r>
      <w:r w:rsidRPr="00B42F8E">
        <w:rPr>
          <w:rFonts w:ascii="Arial" w:hAnsi="Arial" w:cs="Arial"/>
          <w:sz w:val="22"/>
          <w:szCs w:val="22"/>
        </w:rPr>
        <w:t>Δ</w:t>
      </w:r>
      <w:r w:rsidRPr="00C51257">
        <w:rPr>
          <w:rFonts w:ascii="Arial" w:hAnsi="Arial" w:cs="Arial"/>
          <w:sz w:val="22"/>
          <w:szCs w:val="22"/>
          <w:vertAlign w:val="subscript"/>
        </w:rPr>
        <w:t>SX</w:t>
      </w:r>
      <w:r w:rsidRPr="00B42F8E">
        <w:rPr>
          <w:rFonts w:ascii="Arial" w:hAnsi="Arial" w:cs="Arial"/>
          <w:sz w:val="22"/>
          <w:szCs w:val="22"/>
        </w:rPr>
        <w:t xml:space="preserve"> uncertainty range (Supplementary Fig. S3).</w:t>
      </w:r>
    </w:p>
    <w:p w14:paraId="11A8E218" w14:textId="0DE48B8D" w:rsidR="00061E8D" w:rsidRPr="00967CA0" w:rsidRDefault="00A4207E" w:rsidP="00061E8D">
      <w:pPr>
        <w:pStyle w:val="ae"/>
        <w:spacing w:before="0" w:beforeAutospacing="0" w:after="0" w:afterAutospacing="0"/>
        <w:rPr>
          <w:rFonts w:ascii="Arial" w:hAnsi="Arial" w:cs="Arial"/>
          <w:sz w:val="22"/>
          <w:szCs w:val="22"/>
        </w:rPr>
      </w:pPr>
      <w:r>
        <w:rPr>
          <w:rFonts w:ascii="Arial" w:hAnsi="Arial" w:cs="Arial"/>
          <w:noProof/>
          <w:sz w:val="22"/>
          <w:szCs w:val="22"/>
        </w:rPr>
        <w:drawing>
          <wp:inline distT="0" distB="0" distL="0" distR="0" wp14:anchorId="125E0778" wp14:editId="13CA48B0">
            <wp:extent cx="5943600" cy="4242435"/>
            <wp:effectExtent l="0" t="0" r="0" b="0"/>
            <wp:docPr id="66073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36313" name="图片 660736313"/>
                    <pic:cNvPicPr/>
                  </pic:nvPicPr>
                  <pic:blipFill>
                    <a:blip r:embed="rId13"/>
                    <a:stretch>
                      <a:fillRect/>
                    </a:stretch>
                  </pic:blipFill>
                  <pic:spPr>
                    <a:xfrm>
                      <a:off x="0" y="0"/>
                      <a:ext cx="5943600" cy="4242435"/>
                    </a:xfrm>
                    <a:prstGeom prst="rect">
                      <a:avLst/>
                    </a:prstGeom>
                  </pic:spPr>
                </pic:pic>
              </a:graphicData>
            </a:graphic>
          </wp:inline>
        </w:drawing>
      </w:r>
    </w:p>
    <w:p w14:paraId="16F65C4F" w14:textId="6FD57E0D" w:rsidR="00061E8D" w:rsidRDefault="00B42F8E" w:rsidP="00B42F8E">
      <w:pPr>
        <w:pStyle w:val="a3"/>
        <w:widowControl w:val="0"/>
        <w:spacing w:line="276" w:lineRule="auto"/>
        <w:jc w:val="both"/>
        <w:outlineLvl w:val="1"/>
        <w:rPr>
          <w:rFonts w:asciiTheme="minorHAnsi" w:hAnsiTheme="minorHAnsi" w:cstheme="minorHAnsi"/>
          <w:color w:val="000000" w:themeColor="text1"/>
          <w:kern w:val="2"/>
          <w:sz w:val="22"/>
          <w:szCs w:val="22"/>
        </w:rPr>
      </w:pPr>
      <w:r w:rsidRPr="00C51257">
        <w:rPr>
          <w:rFonts w:asciiTheme="minorHAnsi" w:hAnsiTheme="minorHAnsi" w:cstheme="minorHAnsi"/>
          <w:b/>
          <w:bCs/>
          <w:color w:val="000000" w:themeColor="text1"/>
          <w:kern w:val="2"/>
          <w:sz w:val="22"/>
          <w:szCs w:val="22"/>
        </w:rPr>
        <w:t>Supplementary Fig. S3. Source-direction WPL-corrected eddy-covariance CH4 flux at the DaBuTou tower (</w:t>
      </w:r>
      <w:r w:rsidR="00974C08" w:rsidRPr="00974C08">
        <w:rPr>
          <w:rFonts w:asciiTheme="minorHAnsi" w:hAnsiTheme="minorHAnsi" w:cstheme="minorHAnsi"/>
          <w:b/>
          <w:bCs/>
          <w:color w:val="000000" w:themeColor="text1"/>
          <w:kern w:val="2"/>
          <w:sz w:val="22"/>
          <w:szCs w:val="22"/>
        </w:rPr>
        <w:t>10 m a.g.l.;</w:t>
      </w:r>
      <w:r w:rsidR="00974C08">
        <w:rPr>
          <w:rFonts w:asciiTheme="minorHAnsi" w:hAnsiTheme="minorHAnsi" w:cstheme="minorHAnsi"/>
          <w:b/>
          <w:bCs/>
          <w:color w:val="000000" w:themeColor="text1"/>
          <w:kern w:val="2"/>
          <w:sz w:val="22"/>
          <w:szCs w:val="22"/>
        </w:rPr>
        <w:t xml:space="preserve"> </w:t>
      </w:r>
      <w:r w:rsidRPr="00C51257">
        <w:rPr>
          <w:rFonts w:asciiTheme="minorHAnsi" w:hAnsiTheme="minorHAnsi" w:cstheme="minorHAnsi"/>
          <w:b/>
          <w:bCs/>
          <w:color w:val="000000" w:themeColor="text1"/>
          <w:kern w:val="2"/>
          <w:sz w:val="22"/>
          <w:szCs w:val="22"/>
        </w:rPr>
        <w:t xml:space="preserve">wind from 215 </w:t>
      </w:r>
      <w:r w:rsidRPr="00B42F8E">
        <w:rPr>
          <w:rFonts w:asciiTheme="minorHAnsi" w:hAnsiTheme="minorHAnsi" w:cstheme="minorHAnsi"/>
          <w:b/>
          <w:bCs/>
          <w:color w:val="000000" w:themeColor="text1"/>
          <w:kern w:val="2"/>
          <w:sz w:val="22"/>
          <w:szCs w:val="22"/>
        </w:rPr>
        <w:t>±</w:t>
      </w:r>
      <w:r w:rsidRPr="00C51257">
        <w:rPr>
          <w:rFonts w:asciiTheme="minorHAnsi" w:hAnsiTheme="minorHAnsi" w:cstheme="minorHAnsi"/>
          <w:b/>
          <w:bCs/>
          <w:color w:val="000000" w:themeColor="text1"/>
          <w:kern w:val="2"/>
          <w:sz w:val="22"/>
          <w:szCs w:val="22"/>
        </w:rPr>
        <w:t xml:space="preserve"> 45 deg</w:t>
      </w:r>
      <w:r w:rsidR="00222632">
        <w:rPr>
          <w:rFonts w:asciiTheme="minorHAnsi" w:hAnsiTheme="minorHAnsi" w:cstheme="minorHAnsi" w:hint="eastAsia"/>
          <w:b/>
          <w:bCs/>
          <w:color w:val="000000" w:themeColor="text1"/>
          <w:kern w:val="2"/>
          <w:sz w:val="22"/>
          <w:szCs w:val="22"/>
        </w:rPr>
        <w:t>ree</w:t>
      </w:r>
      <w:r w:rsidRPr="00C51257">
        <w:rPr>
          <w:rFonts w:asciiTheme="minorHAnsi" w:hAnsiTheme="minorHAnsi" w:cstheme="minorHAnsi"/>
          <w:b/>
          <w:bCs/>
          <w:color w:val="000000" w:themeColor="text1"/>
          <w:kern w:val="2"/>
          <w:sz w:val="22"/>
          <w:szCs w:val="22"/>
        </w:rPr>
        <w:t>, south-west; n = 36 source-capturing intervals), August 2022.</w:t>
      </w:r>
      <w:r w:rsidRPr="00B42F8E">
        <w:rPr>
          <w:rFonts w:asciiTheme="minorHAnsi" w:hAnsiTheme="minorHAnsi" w:cstheme="minorHAnsi"/>
          <w:color w:val="000000" w:themeColor="text1"/>
          <w:kern w:val="2"/>
          <w:sz w:val="22"/>
          <w:szCs w:val="22"/>
        </w:rPr>
        <w:t xml:space="preserve"> (a) Probability density (histogram and</w:t>
      </w:r>
      <w:r>
        <w:rPr>
          <w:rFonts w:asciiTheme="minorHAnsi" w:hAnsiTheme="minorHAnsi" w:cstheme="minorHAnsi"/>
          <w:color w:val="000000" w:themeColor="text1"/>
          <w:kern w:val="2"/>
          <w:sz w:val="22"/>
          <w:szCs w:val="22"/>
        </w:rPr>
        <w:t xml:space="preserve"> </w:t>
      </w:r>
      <w:r w:rsidRPr="00B42F8E">
        <w:rPr>
          <w:rFonts w:asciiTheme="minorHAnsi" w:hAnsiTheme="minorHAnsi" w:cstheme="minorHAnsi"/>
          <w:color w:val="000000" w:themeColor="text1"/>
          <w:kern w:val="2"/>
          <w:sz w:val="22"/>
          <w:szCs w:val="22"/>
        </w:rPr>
        <w:t>kernel-density estimate); (b) percentile summary of the same data (min, 5th,</w:t>
      </w:r>
      <w:r>
        <w:rPr>
          <w:rFonts w:asciiTheme="minorHAnsi" w:hAnsiTheme="minorHAnsi" w:cstheme="minorHAnsi"/>
          <w:color w:val="000000" w:themeColor="text1"/>
          <w:kern w:val="2"/>
          <w:sz w:val="22"/>
          <w:szCs w:val="22"/>
        </w:rPr>
        <w:t xml:space="preserve"> </w:t>
      </w:r>
      <w:r w:rsidRPr="00B42F8E">
        <w:rPr>
          <w:rFonts w:asciiTheme="minorHAnsi" w:hAnsiTheme="minorHAnsi" w:cstheme="minorHAnsi"/>
          <w:color w:val="000000" w:themeColor="text1"/>
          <w:kern w:val="2"/>
          <w:sz w:val="22"/>
          <w:szCs w:val="22"/>
        </w:rPr>
        <w:t xml:space="preserve">15th, 50th, 75th, 95th percentiles and maximum, in </w:t>
      </w:r>
      <w:r w:rsidRPr="00D9088E">
        <w:rPr>
          <w:rFonts w:asciiTheme="minorHAnsi" w:hAnsiTheme="minorHAnsi" w:cstheme="minorHAnsi"/>
          <w:color w:val="000000" w:themeColor="text1"/>
          <w:kern w:val="2"/>
          <w:sz w:val="22"/>
          <w:szCs w:val="22"/>
        </w:rPr>
        <w:t>ug m</w:t>
      </w:r>
      <w:r w:rsidRPr="00E83A9F">
        <w:rPr>
          <w:rFonts w:asciiTheme="minorHAnsi" w:hAnsiTheme="minorHAnsi" w:cstheme="minorHAnsi"/>
          <w:color w:val="000000" w:themeColor="text1"/>
          <w:kern w:val="2"/>
          <w:sz w:val="22"/>
          <w:szCs w:val="22"/>
          <w:vertAlign w:val="superscript"/>
        </w:rPr>
        <w:t>–</w:t>
      </w:r>
      <w:r w:rsidRPr="00D9088E">
        <w:rPr>
          <w:rFonts w:asciiTheme="minorHAnsi" w:hAnsiTheme="minorHAnsi" w:cstheme="minorHAnsi"/>
          <w:color w:val="000000" w:themeColor="text1"/>
          <w:kern w:val="2"/>
          <w:sz w:val="22"/>
          <w:szCs w:val="22"/>
          <w:vertAlign w:val="superscript"/>
        </w:rPr>
        <w:t>2</w:t>
      </w:r>
      <w:r w:rsidRPr="00D9088E">
        <w:rPr>
          <w:rFonts w:asciiTheme="minorHAnsi" w:hAnsiTheme="minorHAnsi" w:cstheme="minorHAnsi"/>
          <w:color w:val="000000" w:themeColor="text1"/>
          <w:kern w:val="2"/>
          <w:sz w:val="22"/>
          <w:szCs w:val="22"/>
        </w:rPr>
        <w:t xml:space="preserve"> s</w:t>
      </w:r>
      <w:r w:rsidRPr="00E83A9F">
        <w:rPr>
          <w:rFonts w:asciiTheme="minorHAnsi" w:hAnsiTheme="minorHAnsi" w:cstheme="minorHAnsi"/>
          <w:color w:val="000000" w:themeColor="text1"/>
          <w:kern w:val="2"/>
          <w:sz w:val="22"/>
          <w:szCs w:val="22"/>
          <w:vertAlign w:val="superscript"/>
        </w:rPr>
        <w:t>–</w:t>
      </w:r>
      <w:r w:rsidRPr="00D9088E">
        <w:rPr>
          <w:rFonts w:asciiTheme="minorHAnsi" w:hAnsiTheme="minorHAnsi" w:cstheme="minorHAnsi"/>
          <w:color w:val="000000" w:themeColor="text1"/>
          <w:kern w:val="2"/>
          <w:sz w:val="22"/>
          <w:szCs w:val="22"/>
          <w:vertAlign w:val="superscript"/>
        </w:rPr>
        <w:t>1</w:t>
      </w:r>
      <w:r w:rsidRPr="00B42F8E">
        <w:rPr>
          <w:rFonts w:asciiTheme="minorHAnsi" w:hAnsiTheme="minorHAnsi" w:cstheme="minorHAnsi"/>
          <w:color w:val="000000" w:themeColor="text1"/>
          <w:kern w:val="2"/>
          <w:sz w:val="22"/>
          <w:szCs w:val="22"/>
        </w:rPr>
        <w:t>). Vertical lines</w:t>
      </w:r>
      <w:r>
        <w:rPr>
          <w:rFonts w:asciiTheme="minorHAnsi" w:hAnsiTheme="minorHAnsi" w:cstheme="minorHAnsi"/>
          <w:color w:val="000000" w:themeColor="text1"/>
          <w:kern w:val="2"/>
          <w:sz w:val="22"/>
          <w:szCs w:val="22"/>
        </w:rPr>
        <w:t xml:space="preserve"> </w:t>
      </w:r>
      <w:r w:rsidRPr="00B42F8E">
        <w:rPr>
          <w:rFonts w:asciiTheme="minorHAnsi" w:hAnsiTheme="minorHAnsi" w:cstheme="minorHAnsi"/>
          <w:color w:val="000000" w:themeColor="text1"/>
          <w:kern w:val="2"/>
          <w:sz w:val="22"/>
          <w:szCs w:val="22"/>
        </w:rPr>
        <w:t>mark the d03 (3 km) WRF-GHG prior emission density for EDGAR (</w:t>
      </w:r>
      <w:r w:rsidR="00C60C64" w:rsidRPr="00C60C64">
        <w:rPr>
          <w:rFonts w:asciiTheme="minorHAnsi" w:hAnsiTheme="minorHAnsi" w:cstheme="minorHAnsi"/>
          <w:color w:val="000000" w:themeColor="text1"/>
          <w:kern w:val="2"/>
          <w:sz w:val="22"/>
          <w:szCs w:val="22"/>
        </w:rPr>
        <w:t>orange</w:t>
      </w:r>
      <w:r w:rsidRPr="00B42F8E">
        <w:rPr>
          <w:rFonts w:asciiTheme="minorHAnsi" w:hAnsiTheme="minorHAnsi" w:cstheme="minorHAnsi"/>
          <w:color w:val="000000" w:themeColor="text1"/>
          <w:kern w:val="2"/>
          <w:sz w:val="22"/>
          <w:szCs w:val="22"/>
        </w:rPr>
        <w:t>), Top-down</w:t>
      </w:r>
      <w:r>
        <w:rPr>
          <w:rFonts w:asciiTheme="minorHAnsi" w:hAnsiTheme="minorHAnsi" w:cstheme="minorHAnsi"/>
          <w:color w:val="000000" w:themeColor="text1"/>
          <w:kern w:val="2"/>
          <w:sz w:val="22"/>
          <w:szCs w:val="22"/>
        </w:rPr>
        <w:t xml:space="preserve"> </w:t>
      </w:r>
      <w:r w:rsidRPr="00B42F8E">
        <w:rPr>
          <w:rFonts w:asciiTheme="minorHAnsi" w:hAnsiTheme="minorHAnsi" w:cstheme="minorHAnsi"/>
          <w:color w:val="000000" w:themeColor="text1"/>
          <w:kern w:val="2"/>
          <w:sz w:val="22"/>
          <w:szCs w:val="22"/>
        </w:rPr>
        <w:t>(</w:t>
      </w:r>
      <w:r w:rsidR="00C60C64">
        <w:rPr>
          <w:rFonts w:asciiTheme="minorHAnsi" w:hAnsiTheme="minorHAnsi" w:cstheme="minorHAnsi"/>
          <w:color w:val="000000" w:themeColor="text1"/>
          <w:kern w:val="2"/>
          <w:sz w:val="22"/>
          <w:szCs w:val="22"/>
        </w:rPr>
        <w:t>dark blue</w:t>
      </w:r>
      <w:r w:rsidRPr="00B42F8E">
        <w:rPr>
          <w:rFonts w:asciiTheme="minorHAnsi" w:hAnsiTheme="minorHAnsi" w:cstheme="minorHAnsi"/>
          <w:color w:val="000000" w:themeColor="text1"/>
          <w:kern w:val="2"/>
          <w:sz w:val="22"/>
          <w:szCs w:val="22"/>
        </w:rPr>
        <w:t>) and the ±50% perturbation (</w:t>
      </w:r>
      <w:r w:rsidR="00C60C64">
        <w:rPr>
          <w:rFonts w:asciiTheme="minorHAnsi" w:hAnsiTheme="minorHAnsi" w:cstheme="minorHAnsi"/>
          <w:color w:val="000000" w:themeColor="text1"/>
          <w:kern w:val="2"/>
          <w:sz w:val="22"/>
          <w:szCs w:val="22"/>
        </w:rPr>
        <w:t>light blue</w:t>
      </w:r>
      <w:r w:rsidRPr="00B42F8E">
        <w:rPr>
          <w:rFonts w:asciiTheme="minorHAnsi" w:hAnsiTheme="minorHAnsi" w:cstheme="minorHAnsi"/>
          <w:color w:val="000000" w:themeColor="text1"/>
          <w:kern w:val="2"/>
          <w:sz w:val="22"/>
          <w:szCs w:val="22"/>
        </w:rPr>
        <w:t>), at the resolved coal-mine cell (solid) and in the source-direction near-field (dashed).</w:t>
      </w:r>
    </w:p>
    <w:p w14:paraId="14316605" w14:textId="77777777" w:rsidR="00092127" w:rsidRPr="00D32D64" w:rsidRDefault="00092127" w:rsidP="00E9585B">
      <w:pPr>
        <w:pStyle w:val="ae"/>
        <w:outlineLvl w:val="0"/>
        <w:rPr>
          <w:rFonts w:ascii="Arial" w:hAnsi="Arial" w:cs="Arial"/>
          <w:sz w:val="22"/>
          <w:szCs w:val="22"/>
        </w:rPr>
      </w:pPr>
      <w:r w:rsidRPr="00D32D64">
        <w:rPr>
          <w:rFonts w:ascii="Arial" w:hAnsi="Arial" w:cs="Arial"/>
          <w:b/>
          <w:bCs/>
          <w:sz w:val="22"/>
          <w:szCs w:val="22"/>
        </w:rPr>
        <w:lastRenderedPageBreak/>
        <w:t xml:space="preserve">Supplementary Note </w:t>
      </w:r>
      <w:r>
        <w:rPr>
          <w:rFonts w:ascii="Arial" w:hAnsi="Arial" w:cs="Arial" w:hint="eastAsia"/>
          <w:b/>
          <w:bCs/>
          <w:sz w:val="22"/>
          <w:szCs w:val="22"/>
        </w:rPr>
        <w:t>2</w:t>
      </w:r>
    </w:p>
    <w:p w14:paraId="4623888F" w14:textId="3AA000F5" w:rsidR="00092127" w:rsidRDefault="001A5B53" w:rsidP="00092127">
      <w:pPr>
        <w:pStyle w:val="a3"/>
        <w:spacing w:line="360" w:lineRule="auto"/>
        <w:rPr>
          <w:rFonts w:ascii="Arial" w:hAnsi="Arial" w:cs="Arial"/>
          <w:color w:val="000000" w:themeColor="text1"/>
          <w:sz w:val="22"/>
          <w:szCs w:val="22"/>
          <w:lang w:val="en-GB"/>
        </w:rPr>
      </w:pPr>
      <w:r w:rsidRPr="001A5B53">
        <w:rPr>
          <w:rFonts w:ascii="Arial" w:hAnsi="Arial" w:cs="Arial"/>
          <w:color w:val="000000" w:themeColor="text1"/>
          <w:sz w:val="22"/>
          <w:szCs w:val="22"/>
          <w:lang w:val="en-GB"/>
        </w:rPr>
        <w:t>Statistical validation of EOF mode selection and PC1-PC3 lag structure.</w:t>
      </w:r>
    </w:p>
    <w:p w14:paraId="30574902" w14:textId="3226B7D5" w:rsidR="001A5B53" w:rsidRPr="00844C41" w:rsidRDefault="001A5B53" w:rsidP="00950B88">
      <w:pPr>
        <w:spacing w:before="100" w:beforeAutospacing="1" w:after="100" w:afterAutospacing="1" w:line="360" w:lineRule="auto"/>
        <w:rPr>
          <w:rFonts w:ascii="Arial" w:hAnsi="Arial" w:cs="Arial"/>
          <w:sz w:val="22"/>
          <w:szCs w:val="22"/>
          <w:lang w:val="en-GB"/>
        </w:rPr>
      </w:pPr>
      <w:r w:rsidRPr="00844C41">
        <w:rPr>
          <w:rFonts w:ascii="Arial" w:hAnsi="Arial" w:cs="Arial"/>
          <w:b/>
          <w:bCs/>
          <w:sz w:val="22"/>
          <w:szCs w:val="22"/>
          <w:lang w:val="en-GB"/>
        </w:rPr>
        <w:t>EOF mode selection and degeneracy test.</w:t>
      </w:r>
      <w:r w:rsidRPr="00844C41">
        <w:rPr>
          <w:rFonts w:ascii="Arial" w:hAnsi="Arial" w:cs="Arial"/>
          <w:sz w:val="22"/>
          <w:szCs w:val="22"/>
          <w:lang w:val="en-GB"/>
        </w:rPr>
        <w:t xml:space="preserve"> </w:t>
      </w:r>
      <w:r w:rsidR="003A49B8" w:rsidRPr="003A49B8">
        <w:rPr>
          <w:rFonts w:ascii="Arial" w:hAnsi="Arial" w:cs="Arial" w:hint="eastAsia"/>
          <w:sz w:val="22"/>
          <w:szCs w:val="22"/>
          <w:lang w:val="en-GB"/>
        </w:rPr>
        <w:t xml:space="preserve">To justify the selection of EOF1 and EOF3 for the transboundary transport attribution, we applied the North et al. (1982) sampling-error criterion to the six leading EOF modes, estimating the eigenvalue uncertainty as </w:t>
      </w:r>
      <m:oMath>
        <m:sSub>
          <m:sSubPr>
            <m:ctrlPr>
              <w:rPr>
                <w:rFonts w:ascii="Cambria Math" w:hAnsi="Cambria Math" w:cs="Arial"/>
                <w:i/>
                <w:sz w:val="22"/>
                <w:szCs w:val="22"/>
              </w:rPr>
            </m:ctrlPr>
          </m:sSubPr>
          <m:e>
            <m:r>
              <w:rPr>
                <w:rFonts w:ascii="Cambria Math" w:hAnsi="Cambria Math" w:cs="Arial" w:hint="eastAsia"/>
                <w:sz w:val="22"/>
                <w:szCs w:val="22"/>
              </w:rPr>
              <m:t>δλ</m:t>
            </m:r>
          </m:e>
          <m:sub>
            <m:r>
              <w:rPr>
                <w:rFonts w:ascii="Cambria Math" w:hAnsi="Cambria Math" w:cs="Arial"/>
                <w:sz w:val="22"/>
                <w:szCs w:val="22"/>
              </w:rPr>
              <m:t>n</m:t>
            </m:r>
          </m:sub>
        </m:sSub>
        <m:r>
          <w:rPr>
            <w:rFonts w:ascii="Cambria Math" w:hAnsi="Cambria Math" w:cs="Arial" w:hint="eastAsia"/>
            <w:sz w:val="22"/>
            <w:szCs w:val="22"/>
          </w:rPr>
          <m:t>=</m:t>
        </m:r>
        <m:sSub>
          <m:sSubPr>
            <m:ctrlPr>
              <w:rPr>
                <w:rFonts w:ascii="Cambria Math" w:hAnsi="Cambria Math" w:cs="Arial"/>
                <w:i/>
                <w:sz w:val="22"/>
                <w:szCs w:val="22"/>
              </w:rPr>
            </m:ctrlPr>
          </m:sSubPr>
          <m:e>
            <m:r>
              <w:rPr>
                <w:rFonts w:ascii="Cambria Math" w:hAnsi="Cambria Math" w:cs="Arial" w:hint="eastAsia"/>
                <w:sz w:val="22"/>
                <w:szCs w:val="22"/>
              </w:rPr>
              <m:t>λ</m:t>
            </m:r>
          </m:e>
          <m:sub>
            <m:r>
              <w:rPr>
                <w:rFonts w:ascii="Cambria Math" w:hAnsi="Cambria Math" w:cs="Arial"/>
                <w:sz w:val="22"/>
                <w:szCs w:val="22"/>
              </w:rPr>
              <m:t>n</m:t>
            </m:r>
          </m:sub>
        </m:sSub>
        <m:r>
          <w:rPr>
            <w:rFonts w:ascii="Cambria Math" w:hAnsi="Cambria Math" w:cs="Arial" w:hint="eastAsia"/>
            <w:sz w:val="22"/>
            <w:szCs w:val="22"/>
          </w:rPr>
          <m:t xml:space="preserve"> </m:t>
        </m:r>
        <m:rad>
          <m:radPr>
            <m:degHide m:val="1"/>
            <m:ctrlPr>
              <w:rPr>
                <w:rFonts w:ascii="Cambria Math" w:hAnsi="Cambria Math" w:cs="Arial"/>
                <w:i/>
                <w:sz w:val="22"/>
                <w:szCs w:val="22"/>
              </w:rPr>
            </m:ctrlPr>
          </m:radPr>
          <m:deg/>
          <m:e>
            <m:r>
              <w:rPr>
                <w:rFonts w:ascii="Cambria Math" w:hAnsi="Cambria Math" w:cs="Arial"/>
                <w:sz w:val="22"/>
                <w:szCs w:val="22"/>
              </w:rPr>
              <m:t>2/</m:t>
            </m:r>
            <m:sSub>
              <m:sSubPr>
                <m:ctrlPr>
                  <w:rPr>
                    <w:rFonts w:ascii="Cambria Math" w:hAnsi="Cambria Math" w:cs="Arial"/>
                    <w:i/>
                    <w:sz w:val="22"/>
                    <w:szCs w:val="22"/>
                  </w:rPr>
                </m:ctrlPr>
              </m:sSubPr>
              <m:e>
                <m:r>
                  <w:rPr>
                    <w:rFonts w:ascii="Cambria Math" w:hAnsi="Cambria Math" w:cs="Arial"/>
                    <w:sz w:val="22"/>
                    <w:szCs w:val="22"/>
                  </w:rPr>
                  <m:t>N</m:t>
                </m:r>
              </m:e>
              <m:sub>
                <m:r>
                  <m:rPr>
                    <m:sty m:val="p"/>
                  </m:rPr>
                  <w:rPr>
                    <w:rFonts w:ascii="Cambria Math" w:hAnsi="Cambria Math" w:cs="Arial"/>
                    <w:sz w:val="22"/>
                    <w:szCs w:val="22"/>
                  </w:rPr>
                  <m:t>eff</m:t>
                </m:r>
              </m:sub>
            </m:sSub>
          </m:e>
        </m:rad>
      </m:oMath>
      <w:r w:rsidR="003A49B8" w:rsidRPr="003A49B8">
        <w:rPr>
          <w:rFonts w:ascii="Arial" w:hAnsi="Arial" w:cs="Arial" w:hint="eastAsia"/>
          <w:sz w:val="22"/>
          <w:szCs w:val="22"/>
          <w:lang w:val="en-GB"/>
        </w:rPr>
        <w:t xml:space="preserve">, where </w:t>
      </w:r>
      <m:oMath>
        <m:sSub>
          <m:sSubPr>
            <m:ctrlPr>
              <w:rPr>
                <w:rFonts w:ascii="Cambria Math" w:hAnsi="Cambria Math" w:cs="Arial"/>
                <w:i/>
                <w:sz w:val="22"/>
                <w:szCs w:val="22"/>
              </w:rPr>
            </m:ctrlPr>
          </m:sSubPr>
          <m:e>
            <m:r>
              <w:rPr>
                <w:rFonts w:ascii="Cambria Math" w:hAnsi="Cambria Math" w:cs="Arial"/>
                <w:sz w:val="22"/>
                <w:szCs w:val="22"/>
              </w:rPr>
              <m:t>N</m:t>
            </m:r>
          </m:e>
          <m:sub>
            <m:r>
              <m:rPr>
                <m:sty m:val="p"/>
              </m:rPr>
              <w:rPr>
                <w:rFonts w:ascii="Cambria Math" w:hAnsi="Cambria Math" w:cs="Arial"/>
                <w:sz w:val="22"/>
                <w:szCs w:val="22"/>
              </w:rPr>
              <m:t>eff</m:t>
            </m:r>
          </m:sub>
        </m:sSub>
        <m:r>
          <w:rPr>
            <w:rFonts w:ascii="Cambria Math" w:hAnsi="Cambria Math" w:cs="Arial"/>
            <w:sz w:val="22"/>
            <w:szCs w:val="22"/>
          </w:rPr>
          <m:t>=N(1-</m:t>
        </m:r>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r>
          <w:rPr>
            <w:rFonts w:ascii="Cambria Math" w:hAnsi="Cambria Math" w:cs="Arial"/>
            <w:sz w:val="22"/>
            <w:szCs w:val="22"/>
          </w:rPr>
          <m:t>)</m:t>
        </m:r>
      </m:oMath>
      <w:r w:rsidR="003A49B8" w:rsidRPr="00CC742E">
        <w:rPr>
          <w:rFonts w:ascii="Arial" w:hAnsi="Arial" w:cs="Arial"/>
          <w:sz w:val="22"/>
          <w:szCs w:val="22"/>
          <w:lang w:val="en-GB"/>
        </w:rPr>
        <w:t xml:space="preserve"> </w:t>
      </w:r>
      <w:r w:rsidR="003A49B8" w:rsidRPr="003A49B8">
        <w:rPr>
          <w:rFonts w:ascii="Arial" w:hAnsi="Arial" w:cs="Arial"/>
          <w:sz w:val="22"/>
          <w:szCs w:val="22"/>
          <w:lang w:val="en-GB"/>
        </w:rPr>
        <w:t xml:space="preserve">is the effective sample size. With </w:t>
      </w:r>
      <m:oMath>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oMath>
      <w:r w:rsidR="003A49B8" w:rsidRPr="003A49B8">
        <w:rPr>
          <w:rFonts w:ascii="Arial" w:hAnsi="Arial" w:cs="Arial"/>
          <w:sz w:val="22"/>
          <w:szCs w:val="22"/>
          <w:lang w:val="en-GB"/>
        </w:rPr>
        <w:t xml:space="preserve">= 0.99 (the lag-1 autocorrelation of PC1) and N = 1645 hourly steps, the strong synoptic-scale persistence of </w:t>
      </w:r>
      <w:r w:rsidR="003A49B8" w:rsidRPr="00CC742E">
        <w:rPr>
          <w:rFonts w:ascii="Arial" w:hAnsi="Arial" w:cs="Arial"/>
          <w:sz w:val="22"/>
          <w:szCs w:val="22"/>
          <w:lang w:val="en-GB"/>
        </w:rPr>
        <w:t>XCH</w:t>
      </w:r>
      <w:r w:rsidR="003A49B8" w:rsidRPr="00CC742E">
        <w:rPr>
          <w:rFonts w:ascii="Arial" w:hAnsi="Arial" w:cs="Arial"/>
          <w:sz w:val="22"/>
          <w:szCs w:val="22"/>
          <w:vertAlign w:val="subscript"/>
          <w:lang w:val="en-GB"/>
        </w:rPr>
        <w:t>4</w:t>
      </w:r>
      <w:r w:rsidR="003A49B8" w:rsidRPr="003A49B8">
        <w:rPr>
          <w:rFonts w:ascii="Arial" w:hAnsi="Arial" w:cs="Arial"/>
          <w:sz w:val="22"/>
          <w:szCs w:val="22"/>
          <w:lang w:val="en-GB"/>
        </w:rPr>
        <w:t xml:space="preserve"> reduces </w:t>
      </w:r>
      <m:oMath>
        <m:sSub>
          <m:sSubPr>
            <m:ctrlPr>
              <w:rPr>
                <w:rFonts w:ascii="Cambria Math" w:hAnsi="Cambria Math" w:cs="Arial"/>
                <w:i/>
                <w:sz w:val="22"/>
                <w:szCs w:val="22"/>
              </w:rPr>
            </m:ctrlPr>
          </m:sSubPr>
          <m:e>
            <m:r>
              <w:rPr>
                <w:rFonts w:ascii="Cambria Math" w:hAnsi="Cambria Math" w:cs="Arial"/>
                <w:sz w:val="22"/>
                <w:szCs w:val="22"/>
              </w:rPr>
              <m:t>N</m:t>
            </m:r>
          </m:e>
          <m:sub>
            <m:r>
              <m:rPr>
                <m:sty m:val="p"/>
              </m:rPr>
              <w:rPr>
                <w:rFonts w:ascii="Cambria Math" w:hAnsi="Cambria Math" w:cs="Arial"/>
                <w:sz w:val="22"/>
                <w:szCs w:val="22"/>
              </w:rPr>
              <m:t>eff</m:t>
            </m:r>
          </m:sub>
        </m:sSub>
      </m:oMath>
      <w:r w:rsidR="003A49B8" w:rsidRPr="003A49B8">
        <w:rPr>
          <w:rFonts w:ascii="Arial" w:hAnsi="Arial" w:cs="Arial"/>
          <w:sz w:val="22"/>
          <w:szCs w:val="22"/>
          <w:lang w:val="en-GB"/>
        </w:rPr>
        <w:t xml:space="preserve"> to approximately 8. Under this effective sample size, the leading modes (EOF1–EOF4) fall within a regime in which adjacent eigenvalue error bars overlap (Supplementary Fig. S4b), so the modes cannot be separated by eigenvalue spacing alone. Mode retention is therefore grounded in the physical interpretability of the spatial patterns rather than in formal eigenvalue separability.</w:t>
      </w:r>
    </w:p>
    <w:p w14:paraId="140BD89B" w14:textId="77777777" w:rsidR="003A49B8" w:rsidRPr="003A49B8" w:rsidRDefault="003A49B8" w:rsidP="003A49B8">
      <w:pPr>
        <w:spacing w:line="360" w:lineRule="auto"/>
        <w:rPr>
          <w:rFonts w:ascii="Arial" w:hAnsi="Arial" w:cs="Arial"/>
          <w:sz w:val="22"/>
          <w:szCs w:val="22"/>
          <w:lang w:val="en-US"/>
        </w:rPr>
      </w:pPr>
      <w:r w:rsidRPr="003A49B8">
        <w:rPr>
          <w:rFonts w:ascii="Arial" w:hAnsi="Arial" w:cs="Arial"/>
          <w:sz w:val="22"/>
          <w:szCs w:val="22"/>
          <w:lang w:val="en-US"/>
        </w:rPr>
        <w:t>On this basis, EOF1 (25.2%) is retained because it captures the large-scale southwesterly advection that mirrors the background-methane footprint, and EOF3 (8.65%) is retained because its loadings concentrate along the southeastern Shanxi–southern Hebei terrain-channeled corridor, directly tracing the pathway through which coal mine methane from the Changzhi and Jincheng basins reaches the BTH receptor region (Supplementary Fig. S4a and main text Fig. 3b). EOF2 (14.2%) is excluded despite its higher explained variance because it exhibits a north–south dipole confined to Inner Mongolia and the Bohai Sea, with negligible loadings over the Shanxi–BTH corridor, reflecting synoptic variability in the meridional background gradient rather than transboundary source–receptor exchange; EOF4 (5.96%) is excluded as its spatial pattern does not correspond to a physically interpretable transport pathway relevant to this study.</w:t>
      </w:r>
    </w:p>
    <w:p w14:paraId="1DE0D87A" w14:textId="06FC04F3" w:rsidR="003A49B8" w:rsidRPr="003A49B8" w:rsidRDefault="003A49B8" w:rsidP="003A49B8">
      <w:pPr>
        <w:spacing w:line="360" w:lineRule="auto"/>
        <w:rPr>
          <w:rFonts w:ascii="Arial" w:hAnsi="Arial" w:cs="Arial"/>
          <w:sz w:val="22"/>
          <w:szCs w:val="22"/>
          <w:lang w:val="en-US"/>
        </w:rPr>
      </w:pPr>
      <w:r w:rsidRPr="003A49B8">
        <w:rPr>
          <w:rFonts w:ascii="Arial" w:hAnsi="Arial" w:cs="Arial"/>
          <w:sz w:val="22"/>
          <w:szCs w:val="22"/>
          <w:lang w:val="en-US"/>
        </w:rPr>
        <w:t>The strong temporal autocorrelation of the PC time series (</w:t>
      </w:r>
      <m:oMath>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oMath>
      <w:r w:rsidRPr="003A49B8">
        <w:rPr>
          <w:rFonts w:ascii="Arial" w:hAnsi="Arial" w:cs="Arial"/>
          <w:sz w:val="22"/>
          <w:szCs w:val="22"/>
          <w:lang w:val="en-US"/>
        </w:rPr>
        <w:t xml:space="preserve">= 0.99) reflects the slow synoptic evolution of </w:t>
      </w:r>
      <w:r w:rsidRPr="00844C41">
        <w:rPr>
          <w:rFonts w:ascii="Arial" w:hAnsi="Arial" w:cs="Arial"/>
          <w:sz w:val="22"/>
          <w:szCs w:val="22"/>
          <w:lang w:val="en-GB"/>
        </w:rPr>
        <w:t>XCH</w:t>
      </w:r>
      <w:r w:rsidRPr="00844C41">
        <w:rPr>
          <w:rFonts w:ascii="Arial" w:hAnsi="Arial" w:cs="Arial"/>
          <w:sz w:val="22"/>
          <w:szCs w:val="22"/>
          <w:vertAlign w:val="subscript"/>
          <w:lang w:val="en-GB"/>
        </w:rPr>
        <w:t>4</w:t>
      </w:r>
      <w:r w:rsidRPr="003A49B8">
        <w:rPr>
          <w:rFonts w:ascii="Arial" w:hAnsi="Arial" w:cs="Arial"/>
          <w:sz w:val="22"/>
          <w:szCs w:val="22"/>
          <w:lang w:val="en-US"/>
        </w:rPr>
        <w:t xml:space="preserve"> at hourly resolution and is a physical property of the data rather than a methodological limitation; the resulting </w:t>
      </w:r>
      <m:oMath>
        <m:sSub>
          <m:sSubPr>
            <m:ctrlPr>
              <w:rPr>
                <w:rFonts w:ascii="Cambria Math" w:hAnsi="Cambria Math" w:cs="Arial"/>
                <w:i/>
                <w:sz w:val="22"/>
                <w:szCs w:val="22"/>
              </w:rPr>
            </m:ctrlPr>
          </m:sSubPr>
          <m:e>
            <m:r>
              <w:rPr>
                <w:rFonts w:ascii="Cambria Math" w:hAnsi="Cambria Math" w:cs="Arial"/>
                <w:sz w:val="22"/>
                <w:szCs w:val="22"/>
              </w:rPr>
              <m:t>N</m:t>
            </m:r>
          </m:e>
          <m:sub>
            <m:r>
              <m:rPr>
                <m:sty m:val="p"/>
              </m:rPr>
              <w:rPr>
                <w:rFonts w:ascii="Cambria Math" w:hAnsi="Cambria Math" w:cs="Arial"/>
                <w:sz w:val="22"/>
                <w:szCs w:val="22"/>
              </w:rPr>
              <m:t>eff</m:t>
            </m:r>
          </m:sub>
        </m:sSub>
      </m:oMath>
      <w:r w:rsidRPr="003A49B8">
        <w:rPr>
          <w:rFonts w:ascii="Arial" w:hAnsi="Arial" w:cs="Arial"/>
          <w:sz w:val="22"/>
          <w:szCs w:val="22"/>
          <w:lang w:val="en-US"/>
        </w:rPr>
        <w:t xml:space="preserve"> </w:t>
      </w:r>
      <w:r w:rsidRPr="003A49B8">
        <w:rPr>
          <w:rFonts w:ascii="Arial" w:hAnsi="Arial" w:cs="Arial" w:hint="eastAsia"/>
          <w:sz w:val="22"/>
          <w:szCs w:val="22"/>
          <w:lang w:val="en-US"/>
        </w:rPr>
        <w:t>≈</w:t>
      </w:r>
      <w:r w:rsidRPr="003A49B8">
        <w:rPr>
          <w:rFonts w:ascii="Arial" w:hAnsi="Arial" w:cs="Arial"/>
          <w:sz w:val="22"/>
          <w:szCs w:val="22"/>
          <w:lang w:val="en-US"/>
        </w:rPr>
        <w:t xml:space="preserve"> 8 also governs the 95% threshold of the PC1–PC3 cross-correlation, consistent with the event-scale (rather than climatological) interpretation of the 1–2-day lag throughout.</w:t>
      </w:r>
    </w:p>
    <w:p w14:paraId="6348A03E" w14:textId="25593C48" w:rsidR="001A5B53" w:rsidRPr="00844C41" w:rsidRDefault="001A5B53" w:rsidP="00950B88">
      <w:pPr>
        <w:spacing w:before="100" w:beforeAutospacing="1" w:after="100" w:afterAutospacing="1" w:line="360" w:lineRule="auto"/>
        <w:rPr>
          <w:rFonts w:ascii="Arial" w:hAnsi="Arial" w:cs="Arial"/>
          <w:sz w:val="22"/>
          <w:szCs w:val="22"/>
          <w:lang w:val="en-GB"/>
        </w:rPr>
      </w:pPr>
      <w:r w:rsidRPr="00844C41">
        <w:rPr>
          <w:rFonts w:ascii="Arial" w:hAnsi="Arial" w:cs="Arial"/>
          <w:b/>
          <w:bCs/>
          <w:sz w:val="22"/>
          <w:szCs w:val="22"/>
          <w:lang w:val="en-GB"/>
        </w:rPr>
        <w:t>PC1-PC3 lag structure.</w:t>
      </w:r>
      <w:r w:rsidRPr="00844C41">
        <w:rPr>
          <w:rFonts w:ascii="Arial" w:hAnsi="Arial" w:cs="Arial"/>
          <w:sz w:val="22"/>
          <w:szCs w:val="22"/>
          <w:lang w:val="en-GB"/>
        </w:rPr>
        <w:t xml:space="preserve"> To assess the sequential transport mechanism proposed in the main text, we computed the cross-correlation function between PC1 and PC3 over the full simulation period from 10 July to 15 September 2022 (Supplementary Fig. </w:t>
      </w:r>
      <w:r w:rsidR="008B27CB" w:rsidRPr="00844C41">
        <w:rPr>
          <w:rFonts w:ascii="Arial" w:hAnsi="Arial" w:cs="Arial"/>
          <w:sz w:val="22"/>
          <w:szCs w:val="22"/>
          <w:lang w:val="en-GB"/>
        </w:rPr>
        <w:t>S</w:t>
      </w:r>
      <w:r w:rsidR="00D412CD">
        <w:rPr>
          <w:rFonts w:ascii="Arial" w:hAnsi="Arial" w:cs="Arial"/>
          <w:sz w:val="22"/>
          <w:szCs w:val="22"/>
          <w:lang w:val="en-GB"/>
        </w:rPr>
        <w:t>4</w:t>
      </w:r>
      <w:r w:rsidR="008B27CB" w:rsidRPr="00844C41">
        <w:rPr>
          <w:rFonts w:ascii="Arial" w:hAnsi="Arial" w:cs="Arial"/>
          <w:sz w:val="22"/>
          <w:szCs w:val="22"/>
          <w:lang w:val="en-GB"/>
        </w:rPr>
        <w:t>c</w:t>
      </w:r>
      <w:r w:rsidRPr="00844C41">
        <w:rPr>
          <w:rFonts w:ascii="Arial" w:hAnsi="Arial" w:cs="Arial"/>
          <w:sz w:val="22"/>
          <w:szCs w:val="22"/>
          <w:lang w:val="en-GB"/>
        </w:rPr>
        <w:t xml:space="preserve">). A positive lag indicates that PC3 follows PC1. The cross-correlation peaks at a lag of 28 hours (r = 0.47), with PC3 </w:t>
      </w:r>
      <w:r w:rsidRPr="00844C41">
        <w:rPr>
          <w:rFonts w:ascii="Arial" w:hAnsi="Arial" w:cs="Arial"/>
          <w:sz w:val="22"/>
          <w:szCs w:val="22"/>
          <w:lang w:val="en-GB"/>
        </w:rPr>
        <w:lastRenderedPageBreak/>
        <w:t>following PC1, consistent with the direction of the proposed preconditioning sequence in which large-scale synoptic circulation establishes a favorable transport window before terrain-</w:t>
      </w:r>
      <w:r w:rsidR="00E66FF6" w:rsidRPr="00844C41">
        <w:rPr>
          <w:rFonts w:ascii="Arial" w:hAnsi="Arial" w:cs="Arial"/>
          <w:sz w:val="22"/>
          <w:szCs w:val="22"/>
          <w:lang w:val="en-GB"/>
        </w:rPr>
        <w:t>channelled</w:t>
      </w:r>
      <w:r w:rsidRPr="00844C41">
        <w:rPr>
          <w:rFonts w:ascii="Arial" w:hAnsi="Arial" w:cs="Arial"/>
          <w:sz w:val="22"/>
          <w:szCs w:val="22"/>
          <w:lang w:val="en-GB"/>
        </w:rPr>
        <w:t xml:space="preserve"> emission flushing delivers concentrated coal mine methane to the BTH receptor.</w:t>
      </w:r>
    </w:p>
    <w:p w14:paraId="7BBC07D7" w14:textId="395D4E41" w:rsidR="001A5B53" w:rsidRPr="00844C41" w:rsidRDefault="001A5B53" w:rsidP="00844C41">
      <w:pPr>
        <w:spacing w:line="360" w:lineRule="auto"/>
        <w:rPr>
          <w:rFonts w:ascii="Arial" w:hAnsi="Arial" w:cs="Arial"/>
          <w:sz w:val="22"/>
          <w:szCs w:val="22"/>
          <w:lang w:val="en-GB"/>
        </w:rPr>
      </w:pPr>
      <w:r w:rsidRPr="00844C41">
        <w:rPr>
          <w:rFonts w:ascii="Arial" w:hAnsi="Arial" w:cs="Arial"/>
          <w:sz w:val="22"/>
          <w:szCs w:val="22"/>
          <w:lang w:val="en-GB"/>
        </w:rPr>
        <w:t xml:space="preserve">The peak correlation of r = 0.47 does not exceed the 95% confidence threshold of r = 0.69, which is computed under the assumption of independent samples with </w:t>
      </w:r>
      <m:oMath>
        <m:sSub>
          <m:sSubPr>
            <m:ctrlPr>
              <w:rPr>
                <w:rFonts w:ascii="Cambria Math" w:hAnsi="Cambria Math" w:cs="Arial"/>
                <w:i/>
                <w:sz w:val="22"/>
                <w:szCs w:val="22"/>
              </w:rPr>
            </m:ctrlPr>
          </m:sSubPr>
          <m:e>
            <m:r>
              <w:rPr>
                <w:rFonts w:ascii="Cambria Math" w:hAnsi="Cambria Math" w:cs="Arial"/>
                <w:sz w:val="22"/>
                <w:szCs w:val="22"/>
              </w:rPr>
              <m:t>N</m:t>
            </m:r>
          </m:e>
          <m:sub>
            <m:r>
              <m:rPr>
                <m:sty m:val="p"/>
              </m:rPr>
              <w:rPr>
                <w:rFonts w:ascii="Cambria Math" w:hAnsi="Cambria Math" w:cs="Arial"/>
                <w:sz w:val="22"/>
                <w:szCs w:val="22"/>
              </w:rPr>
              <m:t>eff</m:t>
            </m:r>
          </m:sub>
        </m:sSub>
      </m:oMath>
      <w:r w:rsidR="00D6006D" w:rsidRPr="00844C41">
        <w:rPr>
          <w:rFonts w:ascii="Arial" w:hAnsi="Arial" w:cs="Arial"/>
          <w:sz w:val="22"/>
          <w:szCs w:val="22"/>
        </w:rPr>
        <w:t xml:space="preserve"> </w:t>
      </w:r>
      <w:r w:rsidRPr="00844C41">
        <w:rPr>
          <w:rFonts w:ascii="Arial" w:hAnsi="Arial" w:cs="Arial"/>
          <w:sz w:val="22"/>
          <w:szCs w:val="22"/>
          <w:lang w:val="en-GB"/>
        </w:rPr>
        <w:t xml:space="preserve">= 8 estimated from the lag-1 autocorrelation of the PC1 time series. This outcome reflects the limited statistical power available from a two-month record with strongly autocorrelated time series, and should not be interpreted as evidence against the proposed lag structure. The 28-hour peak lag falls within the </w:t>
      </w:r>
      <w:r w:rsidR="00E66FF6" w:rsidRPr="00844C41">
        <w:rPr>
          <w:rFonts w:ascii="Arial" w:hAnsi="Arial" w:cs="Arial"/>
          <w:sz w:val="22"/>
          <w:szCs w:val="22"/>
          <w:lang w:val="en-GB"/>
        </w:rPr>
        <w:t>1-to-2-day</w:t>
      </w:r>
      <w:r w:rsidRPr="00844C41">
        <w:rPr>
          <w:rFonts w:ascii="Arial" w:hAnsi="Arial" w:cs="Arial"/>
          <w:sz w:val="22"/>
          <w:szCs w:val="22"/>
          <w:lang w:val="en-GB"/>
        </w:rPr>
        <w:t xml:space="preserve"> window identified from individual extreme events, including the early August episode at TCCON Xianghe. The </w:t>
      </w:r>
      <w:r w:rsidR="00E66FF6" w:rsidRPr="00844C41">
        <w:rPr>
          <w:rFonts w:ascii="Arial" w:hAnsi="Arial" w:cs="Arial"/>
          <w:sz w:val="22"/>
          <w:szCs w:val="22"/>
          <w:lang w:val="en-GB"/>
        </w:rPr>
        <w:t>1-to-2-day</w:t>
      </w:r>
      <w:r w:rsidRPr="00844C41">
        <w:rPr>
          <w:rFonts w:ascii="Arial" w:hAnsi="Arial" w:cs="Arial"/>
          <w:sz w:val="22"/>
          <w:szCs w:val="22"/>
          <w:lang w:val="en-GB"/>
        </w:rPr>
        <w:t xml:space="preserve"> preconditioning estimate therefore represents a physically grounded characterization derived from event-scale analysis, and its confirmation as a statistically robust climatological feature requires verification with multi-year simulation records.</w:t>
      </w:r>
    </w:p>
    <w:p w14:paraId="261C1DF9" w14:textId="0A381FDD" w:rsidR="00E84886" w:rsidRPr="00E84886" w:rsidRDefault="009E3C7B" w:rsidP="00E84886">
      <w:pPr>
        <w:rPr>
          <w:lang w:val="en-GB"/>
        </w:rPr>
      </w:pPr>
      <w:r>
        <w:rPr>
          <w:noProof/>
          <w:lang w:val="en-GB"/>
        </w:rPr>
        <w:drawing>
          <wp:inline distT="0" distB="0" distL="0" distR="0" wp14:anchorId="086B0BBC" wp14:editId="262B0C12">
            <wp:extent cx="5943600" cy="4656455"/>
            <wp:effectExtent l="0" t="0" r="0" b="4445"/>
            <wp:docPr id="458649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49657" name="图片 1"/>
                    <pic:cNvPicPr/>
                  </pic:nvPicPr>
                  <pic:blipFill>
                    <a:blip r:embed="rId14"/>
                    <a:stretch>
                      <a:fillRect/>
                    </a:stretch>
                  </pic:blipFill>
                  <pic:spPr>
                    <a:xfrm>
                      <a:off x="0" y="0"/>
                      <a:ext cx="5943600" cy="4656455"/>
                    </a:xfrm>
                    <a:prstGeom prst="rect">
                      <a:avLst/>
                    </a:prstGeom>
                  </pic:spPr>
                </pic:pic>
              </a:graphicData>
            </a:graphic>
          </wp:inline>
        </w:drawing>
      </w:r>
    </w:p>
    <w:p w14:paraId="1349E05F" w14:textId="3C226013" w:rsidR="00092127" w:rsidRPr="00A84972" w:rsidRDefault="005843B7" w:rsidP="00E9585B">
      <w:pPr>
        <w:pStyle w:val="a3"/>
        <w:widowControl w:val="0"/>
        <w:spacing w:line="276" w:lineRule="auto"/>
        <w:jc w:val="both"/>
        <w:outlineLvl w:val="1"/>
        <w:rPr>
          <w:rFonts w:asciiTheme="minorHAnsi" w:hAnsiTheme="minorHAnsi" w:cstheme="minorHAnsi"/>
          <w:b/>
          <w:bCs/>
          <w:color w:val="000000" w:themeColor="text1"/>
          <w:kern w:val="2"/>
          <w:sz w:val="22"/>
          <w:szCs w:val="22"/>
          <w:lang w:val="en-US"/>
        </w:rPr>
      </w:pPr>
      <w:r w:rsidRPr="00A84972">
        <w:rPr>
          <w:rFonts w:asciiTheme="minorHAnsi" w:hAnsiTheme="minorHAnsi" w:cstheme="minorHAnsi"/>
          <w:b/>
          <w:bCs/>
          <w:color w:val="000000" w:themeColor="text1"/>
          <w:kern w:val="2"/>
          <w:sz w:val="22"/>
          <w:szCs w:val="22"/>
        </w:rPr>
        <w:t>Supplementary Fig.</w:t>
      </w:r>
      <w:r w:rsidR="00FB17E6" w:rsidRPr="00A84972">
        <w:rPr>
          <w:rFonts w:asciiTheme="minorHAnsi" w:hAnsiTheme="minorHAnsi" w:cstheme="minorHAnsi"/>
          <w:b/>
          <w:bCs/>
          <w:color w:val="000000" w:themeColor="text1"/>
          <w:kern w:val="2"/>
          <w:sz w:val="22"/>
          <w:szCs w:val="22"/>
        </w:rPr>
        <w:t xml:space="preserve"> </w:t>
      </w:r>
      <w:r w:rsidR="008B27CB" w:rsidRPr="00A84972">
        <w:rPr>
          <w:rFonts w:asciiTheme="minorHAnsi" w:hAnsiTheme="minorHAnsi" w:cstheme="minorHAnsi"/>
          <w:b/>
          <w:bCs/>
          <w:color w:val="000000" w:themeColor="text1"/>
          <w:kern w:val="2"/>
          <w:sz w:val="22"/>
          <w:szCs w:val="22"/>
        </w:rPr>
        <w:t>S</w:t>
      </w:r>
      <w:r w:rsidR="00D412CD">
        <w:rPr>
          <w:rFonts w:asciiTheme="minorHAnsi" w:hAnsiTheme="minorHAnsi" w:cstheme="minorHAnsi"/>
          <w:b/>
          <w:bCs/>
          <w:color w:val="000000" w:themeColor="text1"/>
          <w:kern w:val="2"/>
          <w:sz w:val="22"/>
          <w:szCs w:val="22"/>
        </w:rPr>
        <w:t>4</w:t>
      </w:r>
      <w:r w:rsidRPr="00A84972">
        <w:rPr>
          <w:rFonts w:asciiTheme="minorHAnsi" w:hAnsiTheme="minorHAnsi" w:cstheme="minorHAnsi"/>
          <w:b/>
          <w:bCs/>
          <w:color w:val="000000" w:themeColor="text1"/>
          <w:kern w:val="2"/>
          <w:sz w:val="22"/>
          <w:szCs w:val="22"/>
        </w:rPr>
        <w:t>. Statistical validation of EOF mode selection.</w:t>
      </w:r>
      <w:r w:rsidRPr="00A84972">
        <w:rPr>
          <w:rFonts w:asciiTheme="minorHAnsi" w:hAnsiTheme="minorHAnsi" w:cstheme="minorHAnsi"/>
          <w:color w:val="000000" w:themeColor="text1"/>
          <w:kern w:val="2"/>
          <w:sz w:val="22"/>
          <w:szCs w:val="22"/>
        </w:rPr>
        <w:t xml:space="preserve"> (a) Spatial pattern of EOF2 (explained </w:t>
      </w:r>
      <w:r w:rsidRPr="00A84972">
        <w:rPr>
          <w:rFonts w:asciiTheme="minorHAnsi" w:hAnsiTheme="minorHAnsi" w:cstheme="minorHAnsi"/>
          <w:color w:val="000000" w:themeColor="text1"/>
          <w:kern w:val="2"/>
          <w:sz w:val="22"/>
          <w:szCs w:val="22"/>
        </w:rPr>
        <w:lastRenderedPageBreak/>
        <w:t xml:space="preserve">variance: 14.2%), showing a north-south dipole confined to Inner Mongolia and the Bohai Sea with negligible loadings along the Shanxi-BTH transport corridor. (b) </w:t>
      </w:r>
      <w:r w:rsidR="00CC742E" w:rsidRPr="00CC742E">
        <w:rPr>
          <w:rFonts w:asciiTheme="minorHAnsi" w:hAnsiTheme="minorHAnsi" w:cstheme="minorHAnsi" w:hint="eastAsia"/>
          <w:color w:val="000000" w:themeColor="text1"/>
          <w:kern w:val="2"/>
          <w:sz w:val="22"/>
          <w:szCs w:val="22"/>
        </w:rPr>
        <w:t xml:space="preserve">North et al. (1982) degeneracy test for the six leading EOF modes; with </w:t>
      </w:r>
      <m:oMath>
        <m:sSub>
          <m:sSubPr>
            <m:ctrlPr>
              <w:rPr>
                <w:rFonts w:ascii="Cambria Math" w:hAnsi="Cambria Math" w:cstheme="minorHAnsi"/>
                <w:i/>
                <w:color w:val="000000" w:themeColor="text1"/>
                <w:kern w:val="2"/>
                <w:sz w:val="22"/>
                <w:szCs w:val="22"/>
              </w:rPr>
            </m:ctrlPr>
          </m:sSubPr>
          <m:e>
            <m:r>
              <w:rPr>
                <w:rFonts w:ascii="Cambria Math" w:hAnsi="Cambria Math" w:cstheme="minorHAnsi"/>
                <w:color w:val="000000" w:themeColor="text1"/>
                <w:kern w:val="2"/>
                <w:sz w:val="22"/>
                <w:szCs w:val="22"/>
              </w:rPr>
              <m:t>N</m:t>
            </m:r>
          </m:e>
          <m:sub>
            <m:r>
              <m:rPr>
                <m:sty m:val="p"/>
              </m:rPr>
              <w:rPr>
                <w:rFonts w:ascii="Cambria Math" w:hAnsi="Cambria Math" w:cstheme="minorHAnsi"/>
                <w:color w:val="000000" w:themeColor="text1"/>
                <w:kern w:val="2"/>
                <w:sz w:val="22"/>
                <w:szCs w:val="22"/>
              </w:rPr>
              <m:t>eff</m:t>
            </m:r>
          </m:sub>
        </m:sSub>
      </m:oMath>
      <w:r w:rsidR="00CC742E" w:rsidRPr="00CC742E">
        <w:rPr>
          <w:rFonts w:asciiTheme="minorHAnsi" w:hAnsiTheme="minorHAnsi" w:cstheme="minorHAnsi" w:hint="eastAsia"/>
          <w:color w:val="000000" w:themeColor="text1"/>
          <w:kern w:val="2"/>
          <w:sz w:val="22"/>
          <w:szCs w:val="22"/>
        </w:rPr>
        <w:t xml:space="preserve"> </w:t>
      </w:r>
      <w:r w:rsidR="00CC742E" w:rsidRPr="00CC742E">
        <w:rPr>
          <w:rFonts w:asciiTheme="minorHAnsi" w:hAnsiTheme="minorHAnsi" w:cstheme="minorHAnsi" w:hint="eastAsia"/>
          <w:color w:val="000000" w:themeColor="text1"/>
          <w:kern w:val="2"/>
          <w:sz w:val="22"/>
          <w:szCs w:val="22"/>
        </w:rPr>
        <w:t>≈</w:t>
      </w:r>
      <w:r w:rsidR="00CC742E" w:rsidRPr="00CC742E">
        <w:rPr>
          <w:rFonts w:asciiTheme="minorHAnsi" w:hAnsiTheme="minorHAnsi" w:cstheme="minorHAnsi" w:hint="eastAsia"/>
          <w:color w:val="000000" w:themeColor="text1"/>
          <w:kern w:val="2"/>
          <w:sz w:val="22"/>
          <w:szCs w:val="22"/>
        </w:rPr>
        <w:t xml:space="preserve"> 8 the leading modes fall within a regime where adjacent eigenvalue error bars overlap, so modes are retained on the basis of physical interpretability rather than eigenvalue se</w:t>
      </w:r>
      <w:r w:rsidR="00CC742E" w:rsidRPr="00CC742E">
        <w:rPr>
          <w:rFonts w:asciiTheme="minorHAnsi" w:hAnsiTheme="minorHAnsi" w:cstheme="minorHAnsi"/>
          <w:color w:val="000000" w:themeColor="text1"/>
          <w:kern w:val="2"/>
          <w:sz w:val="22"/>
          <w:szCs w:val="22"/>
        </w:rPr>
        <w:t>parability. EOF3 is retained because its spatial pattern directly traces the southeastern Shanxi–southern Hebei transboundary transport corridor.</w:t>
      </w:r>
      <w:r w:rsidRPr="00A84972">
        <w:rPr>
          <w:rFonts w:asciiTheme="minorHAnsi" w:hAnsiTheme="minorHAnsi" w:cstheme="minorHAnsi"/>
          <w:color w:val="000000" w:themeColor="text1"/>
          <w:kern w:val="2"/>
          <w:sz w:val="22"/>
          <w:szCs w:val="22"/>
        </w:rPr>
        <w:t xml:space="preserve"> (c) PC1-PC3 cross-correlation function over the full simulation period; the peak positive-lag correlation of r = 0.47 occurs at 28 hours, consistent with the 1 to 2 day preconditioning sequence identified from individual peak events. The wide 95% confidence bounds reflect the strong temporal autocorrelation of both PC time series at hourly resolution and the two-month record length.</w:t>
      </w:r>
    </w:p>
    <w:p w14:paraId="50616028" w14:textId="175A80AA" w:rsidR="0083375E" w:rsidRPr="00D32D64" w:rsidRDefault="0083375E" w:rsidP="00E9585B">
      <w:pPr>
        <w:pStyle w:val="ae"/>
        <w:outlineLvl w:val="0"/>
        <w:rPr>
          <w:rFonts w:ascii="Arial" w:hAnsi="Arial" w:cs="Arial"/>
          <w:sz w:val="22"/>
          <w:szCs w:val="22"/>
        </w:rPr>
      </w:pPr>
      <w:r w:rsidRPr="00D32D64">
        <w:rPr>
          <w:rFonts w:ascii="Arial" w:hAnsi="Arial" w:cs="Arial"/>
          <w:b/>
          <w:bCs/>
          <w:sz w:val="22"/>
          <w:szCs w:val="22"/>
        </w:rPr>
        <w:t xml:space="preserve">Supplementary Note </w:t>
      </w:r>
      <w:r w:rsidR="00092127">
        <w:rPr>
          <w:rFonts w:ascii="Arial" w:hAnsi="Arial" w:cs="Arial" w:hint="eastAsia"/>
          <w:b/>
          <w:bCs/>
          <w:sz w:val="22"/>
          <w:szCs w:val="22"/>
        </w:rPr>
        <w:t>3</w:t>
      </w:r>
    </w:p>
    <w:p w14:paraId="034D87DA" w14:textId="3D87203D" w:rsidR="0083375E" w:rsidRDefault="008832C4" w:rsidP="0083375E">
      <w:pPr>
        <w:pStyle w:val="a3"/>
        <w:spacing w:line="360" w:lineRule="auto"/>
        <w:rPr>
          <w:rFonts w:ascii="Arial" w:hAnsi="Arial" w:cs="Arial"/>
          <w:color w:val="000000" w:themeColor="text1"/>
          <w:sz w:val="22"/>
          <w:szCs w:val="22"/>
          <w:lang w:val="en-GB"/>
        </w:rPr>
      </w:pPr>
      <w:r w:rsidRPr="008832C4">
        <w:rPr>
          <w:rFonts w:ascii="Arial" w:hAnsi="Arial" w:cs="Arial"/>
          <w:color w:val="000000" w:themeColor="text1"/>
          <w:sz w:val="22"/>
          <w:szCs w:val="22"/>
          <w:lang w:val="en-GB"/>
        </w:rPr>
        <w:t>Detailed information of simulation results at TCCON Xianghe station.</w:t>
      </w:r>
    </w:p>
    <w:p w14:paraId="1F0111F4" w14:textId="73F0E773" w:rsidR="00FC3B5D" w:rsidRDefault="00FC3B5D" w:rsidP="00FF7AD6">
      <w:pPr>
        <w:spacing w:line="360" w:lineRule="auto"/>
        <w:rPr>
          <w:rFonts w:ascii="Arial" w:hAnsi="Arial" w:cs="Arial"/>
          <w:sz w:val="22"/>
          <w:szCs w:val="22"/>
          <w:lang w:val="en-US"/>
        </w:rPr>
      </w:pPr>
      <w:r w:rsidRPr="00FC3B5D">
        <w:rPr>
          <w:rFonts w:ascii="Arial" w:hAnsi="Arial" w:cs="Arial"/>
          <w:b/>
          <w:bCs/>
          <w:sz w:val="22"/>
          <w:szCs w:val="22"/>
          <w:lang w:val="en-US"/>
        </w:rPr>
        <w:t>Overview of simulation performance.</w:t>
      </w:r>
      <w:r w:rsidRPr="00FC3B5D">
        <w:rPr>
          <w:rFonts w:ascii="Arial" w:hAnsi="Arial" w:cs="Arial"/>
          <w:sz w:val="22"/>
          <w:szCs w:val="22"/>
          <w:lang w:val="en-US"/>
        </w:rPr>
        <w:t xml:space="preserve"> The WRF-GHG simulations are evaluated against hourly XCH</w:t>
      </w:r>
      <w:r w:rsidRPr="00FC3B5D">
        <w:rPr>
          <w:rFonts w:ascii="Arial" w:hAnsi="Arial" w:cs="Arial"/>
          <w:sz w:val="22"/>
          <w:szCs w:val="22"/>
          <w:vertAlign w:val="subscript"/>
          <w:lang w:val="en-US"/>
        </w:rPr>
        <w:t>4</w:t>
      </w:r>
      <w:r w:rsidRPr="00FC3B5D">
        <w:rPr>
          <w:rFonts w:ascii="Arial" w:hAnsi="Arial" w:cs="Arial"/>
          <w:sz w:val="22"/>
          <w:szCs w:val="22"/>
          <w:lang w:val="en-US"/>
        </w:rPr>
        <w:t xml:space="preserve"> retrievals from the TCCON Xianghe station (39.80 N, 116.96 E) over the full simulation period from 10 July to 15 September 2022. Five simulation scenarios are compared: the EDGAR baseline, the satellite-constrained Top-down inventory, two stochastic Shanxi emission perturbation experiments (±10% and ±50%), and a BTH regional reduction scenario (BTH-50%). Supplementary Fig. </w:t>
      </w:r>
      <w:r w:rsidR="008B27CB" w:rsidRPr="00FC3B5D">
        <w:rPr>
          <w:rFonts w:ascii="Arial" w:hAnsi="Arial" w:cs="Arial"/>
          <w:sz w:val="22"/>
          <w:szCs w:val="22"/>
          <w:lang w:val="en-US"/>
        </w:rPr>
        <w:t>S</w:t>
      </w:r>
      <w:r w:rsidR="00D412CD">
        <w:rPr>
          <w:rFonts w:ascii="Arial" w:hAnsi="Arial" w:cs="Arial"/>
          <w:sz w:val="22"/>
          <w:szCs w:val="22"/>
          <w:lang w:val="en-US"/>
        </w:rPr>
        <w:t>5</w:t>
      </w:r>
      <w:r w:rsidR="008B27CB" w:rsidRPr="00FC3B5D">
        <w:rPr>
          <w:rFonts w:ascii="Arial" w:hAnsi="Arial" w:cs="Arial"/>
          <w:sz w:val="22"/>
          <w:szCs w:val="22"/>
          <w:lang w:val="en-US"/>
        </w:rPr>
        <w:t xml:space="preserve"> </w:t>
      </w:r>
      <w:r w:rsidRPr="00FC3B5D">
        <w:rPr>
          <w:rFonts w:ascii="Arial" w:hAnsi="Arial" w:cs="Arial"/>
          <w:sz w:val="22"/>
          <w:szCs w:val="22"/>
          <w:lang w:val="en-US"/>
        </w:rPr>
        <w:t>shows the simulation-observation error time series for all five scenarios across the full simulation period, and Fig. 7b in the main text presents the corresponding scatter plots with statistical metrics.</w:t>
      </w:r>
    </w:p>
    <w:p w14:paraId="337BA2A9" w14:textId="77777777" w:rsidR="00FC3B5D" w:rsidRPr="00FC3B5D" w:rsidRDefault="00FC3B5D" w:rsidP="00950B88">
      <w:pPr>
        <w:spacing w:before="100" w:beforeAutospacing="1" w:after="100" w:afterAutospacing="1" w:line="360" w:lineRule="auto"/>
        <w:rPr>
          <w:rFonts w:ascii="Arial" w:hAnsi="Arial" w:cs="Arial"/>
          <w:sz w:val="22"/>
          <w:szCs w:val="22"/>
          <w:lang w:val="en-US"/>
        </w:rPr>
      </w:pPr>
      <w:r w:rsidRPr="00FC3B5D">
        <w:rPr>
          <w:rFonts w:ascii="Arial" w:hAnsi="Arial" w:cs="Arial"/>
          <w:sz w:val="22"/>
          <w:szCs w:val="22"/>
          <w:lang w:val="en-US"/>
        </w:rPr>
        <w:t>The EDGAR simulation produces a mean bias of 12.39 ppbv, RMSE of 22.76 ppbv, and MAE of 16.77 ppbv, reflecting a systematic positive offset driven by the underrepresentation of Shanxi coal mine emission variability. The Top-down simulation yields a larger mean bias of 21.16 ppbv, RMSE of 31.74 ppbv, and MAE of 23.86 ppbv. This apparent increase relative to EDGAR does not represent a degradation of model performance; rather, it reflects the correct inclusion of the full Shanxi source contribution to the BTH column burden. The smaller EDGAR bias is a consequence of error cancellation, where systematic source underestimation fortuitously offsets other positive biases, producing a deceptively small mean error while failing to reproduce transport-driven concentration extremes. Both the EDGAR and Top-down simulations yield identical correlation coefficients of R = 0.464 with TCCON observations, confirming that the difference in bias reflects source-magnitude accuracy rather than any change in the temporal structure of simulated transport.</w:t>
      </w:r>
    </w:p>
    <w:p w14:paraId="3F0CF243" w14:textId="291C0224" w:rsidR="00FC3B5D" w:rsidRPr="008832C4" w:rsidRDefault="00FC3B5D" w:rsidP="00CB47A1">
      <w:pPr>
        <w:spacing w:before="100" w:beforeAutospacing="1" w:after="100" w:afterAutospacing="1" w:line="360" w:lineRule="auto"/>
        <w:rPr>
          <w:rFonts w:ascii="Arial" w:hAnsi="Arial" w:cs="Arial"/>
          <w:sz w:val="22"/>
          <w:szCs w:val="22"/>
          <w:lang w:val="en-US"/>
        </w:rPr>
      </w:pPr>
      <w:r w:rsidRPr="00FC3B5D">
        <w:rPr>
          <w:rFonts w:ascii="Arial" w:hAnsi="Arial" w:cs="Arial"/>
          <w:sz w:val="22"/>
          <w:szCs w:val="22"/>
          <w:lang w:val="en-US"/>
        </w:rPr>
        <w:lastRenderedPageBreak/>
        <w:t>The ±10% and ±50% perturbation scenarios yield mean biases of approximately 21.47 ppbv and 21.38 ppbv respectively, remaining comparable to the Top-down baseline and confirming that stochastic Shanxi emission perturbations do not introduce systematic bias into the mean transport signal. The ±50% scenario achieves R = 0.483, a modest improvement over Top-down (R = 0.464), and RMSE of 32.16 ppbv with MAE of 24.57 ppbv. The BTH-50% scenario reduces the mean bias to 6.12 ppbv (a reduction of 50.6% relative to EDGAR), RMSE to 20.46 ppbv (a reduction of 10.1%), and MAE to 14.43 ppbv, with a correlation coefficient of R = 0.418. The modest RMSE reduction relative to the substantial bias reduction indicates that BTH local emissions primarily affect the mean state rather than the temporal variability of simulated XCH</w:t>
      </w:r>
      <w:r w:rsidRPr="00FC3B5D">
        <w:rPr>
          <w:rFonts w:ascii="Arial" w:hAnsi="Arial" w:cs="Arial"/>
          <w:sz w:val="22"/>
          <w:szCs w:val="22"/>
          <w:vertAlign w:val="subscript"/>
          <w:lang w:val="en-US"/>
        </w:rPr>
        <w:t>4</w:t>
      </w:r>
      <w:r w:rsidRPr="00FC3B5D">
        <w:rPr>
          <w:rFonts w:ascii="Arial" w:hAnsi="Arial" w:cs="Arial"/>
          <w:sz w:val="22"/>
          <w:szCs w:val="22"/>
          <w:lang w:val="en-US"/>
        </w:rPr>
        <w:t>, and that the residual RMSE after BTH emission removal is driven by Shanxi-derived transport variability rather than local sources.</w:t>
      </w:r>
    </w:p>
    <w:p w14:paraId="153D666C" w14:textId="4C0553BF" w:rsidR="00FC3B5D" w:rsidRPr="008832C4" w:rsidRDefault="00FC3B5D" w:rsidP="00CB47A1">
      <w:pPr>
        <w:spacing w:before="100" w:beforeAutospacing="1" w:after="100" w:afterAutospacing="1" w:line="360" w:lineRule="auto"/>
        <w:rPr>
          <w:rFonts w:ascii="Arial" w:hAnsi="Arial" w:cs="Arial"/>
          <w:sz w:val="22"/>
          <w:szCs w:val="22"/>
          <w:lang w:val="en-US"/>
        </w:rPr>
      </w:pPr>
      <w:r w:rsidRPr="00FC3B5D">
        <w:rPr>
          <w:rFonts w:ascii="Arial" w:hAnsi="Arial" w:cs="Arial"/>
          <w:b/>
          <w:bCs/>
          <w:sz w:val="22"/>
          <w:szCs w:val="22"/>
        </w:rPr>
        <w:t>Peak event identification and reproduction at the 1-hour timescale.</w:t>
      </w:r>
      <w:r w:rsidRPr="00FC3B5D">
        <w:rPr>
          <w:rFonts w:ascii="Arial" w:hAnsi="Arial" w:cs="Arial"/>
          <w:sz w:val="22"/>
          <w:szCs w:val="22"/>
        </w:rPr>
        <w:t xml:space="preserve"> Extreme XCH</w:t>
      </w:r>
      <w:r w:rsidRPr="00FC3B5D">
        <w:rPr>
          <w:rFonts w:ascii="Arial" w:hAnsi="Arial" w:cs="Arial"/>
          <w:sz w:val="22"/>
          <w:szCs w:val="22"/>
          <w:vertAlign w:val="subscript"/>
        </w:rPr>
        <w:t>4</w:t>
      </w:r>
      <w:r w:rsidRPr="00FC3B5D">
        <w:rPr>
          <w:rFonts w:ascii="Arial" w:hAnsi="Arial" w:cs="Arial"/>
          <w:sz w:val="22"/>
          <w:szCs w:val="22"/>
        </w:rPr>
        <w:t xml:space="preserve"> peak events observed at TCCON Xianghe were identified from the hourly time series using a threshold of the 90th percentile of valid observations (1,95</w:t>
      </w:r>
      <w:r w:rsidR="00D55EAB">
        <w:rPr>
          <w:rFonts w:ascii="Arial" w:hAnsi="Arial" w:cs="Arial" w:hint="eastAsia"/>
          <w:sz w:val="22"/>
          <w:szCs w:val="22"/>
        </w:rPr>
        <w:t>9</w:t>
      </w:r>
      <w:r w:rsidRPr="00FC3B5D">
        <w:rPr>
          <w:rFonts w:ascii="Arial" w:hAnsi="Arial" w:cs="Arial"/>
          <w:sz w:val="22"/>
          <w:szCs w:val="22"/>
        </w:rPr>
        <w:t xml:space="preserve"> ppbv) with a minimum inter-event separation of 12 hours. This procedure identified 10 distinct peak events spanning the simulation period (Supplementary Table S2). A simulation was considered to have reproduced a peak event when the simulated XCH</w:t>
      </w:r>
      <w:r w:rsidRPr="00FC3B5D">
        <w:rPr>
          <w:rFonts w:ascii="Arial" w:hAnsi="Arial" w:cs="Arial"/>
          <w:sz w:val="22"/>
          <w:szCs w:val="22"/>
          <w:vertAlign w:val="subscript"/>
        </w:rPr>
        <w:t>4</w:t>
      </w:r>
      <w:r w:rsidRPr="00FC3B5D">
        <w:rPr>
          <w:rFonts w:ascii="Arial" w:hAnsi="Arial" w:cs="Arial"/>
          <w:sz w:val="22"/>
          <w:szCs w:val="22"/>
        </w:rPr>
        <w:t xml:space="preserve"> at the corresponding hour equalled or exceeded 99% of the observed peak value. Under this criterion, the EDGAR simulation reproduces 6 of 10 peaks (60.0%), while the Top-down simulation reproduces 8 of 10 peaks (80.0%). The two peaks unmatched by EDGAR but matched by Top-down (09-10 03:00 and 09-12 08:00) correspond to September transport events in which the satellite-constrained source magnitude is sufficient to generate the observed column anomaly whereas the EDGAR source is not, directly demonstrating the value of inventory refinement for extreme event fidelity. Both simulations share a correlation coefficient of R = 0.464 with TCCON observations, confirming that the improvement in peak reproduction reflects source-magnitude accuracy rather than any change in transport timing.</w:t>
      </w:r>
    </w:p>
    <w:p w14:paraId="31AD23EB" w14:textId="77777777" w:rsidR="008832C4" w:rsidRPr="00FF7AD6" w:rsidRDefault="008832C4" w:rsidP="00E9585B">
      <w:pPr>
        <w:pStyle w:val="ae"/>
        <w:spacing w:before="0" w:beforeAutospacing="0" w:after="0" w:afterAutospacing="0"/>
        <w:outlineLvl w:val="1"/>
        <w:rPr>
          <w:rFonts w:asciiTheme="minorHAnsi" w:hAnsiTheme="minorHAnsi" w:cstheme="minorHAnsi"/>
          <w:sz w:val="22"/>
          <w:szCs w:val="22"/>
        </w:rPr>
      </w:pPr>
      <w:bookmarkStart w:id="8" w:name="OLE_LINK2"/>
      <w:r w:rsidRPr="00FF7AD6">
        <w:rPr>
          <w:rFonts w:asciiTheme="minorHAnsi" w:hAnsiTheme="minorHAnsi" w:cstheme="minorHAnsi"/>
          <w:b/>
          <w:bCs/>
          <w:color w:val="000000" w:themeColor="text1"/>
          <w:sz w:val="22"/>
          <w:szCs w:val="22"/>
        </w:rPr>
        <w:t xml:space="preserve">Supplementary Table S2. </w:t>
      </w:r>
      <w:r w:rsidRPr="00FF7AD6">
        <w:rPr>
          <w:rFonts w:asciiTheme="minorHAnsi" w:hAnsiTheme="minorHAnsi" w:cstheme="minorHAnsi"/>
          <w:sz w:val="22"/>
          <w:szCs w:val="22"/>
        </w:rPr>
        <w:t>Detailed</w:t>
      </w:r>
      <w:bookmarkEnd w:id="8"/>
      <w:r w:rsidRPr="00FF7AD6">
        <w:rPr>
          <w:rFonts w:asciiTheme="minorHAnsi" w:hAnsiTheme="minorHAnsi" w:cstheme="minorHAnsi"/>
          <w:sz w:val="22"/>
          <w:szCs w:val="22"/>
        </w:rPr>
        <w:t xml:space="preserve"> information of peak events in the original EDGAR and Top-down simulations at Xianghe station.</w:t>
      </w:r>
    </w:p>
    <w:tbl>
      <w:tblPr>
        <w:tblStyle w:val="ad"/>
        <w:tblW w:w="97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022"/>
        <w:gridCol w:w="942"/>
        <w:gridCol w:w="1248"/>
        <w:gridCol w:w="851"/>
        <w:gridCol w:w="850"/>
        <w:gridCol w:w="993"/>
        <w:gridCol w:w="992"/>
        <w:gridCol w:w="850"/>
        <w:gridCol w:w="993"/>
      </w:tblGrid>
      <w:tr w:rsidR="008832C4" w:rsidRPr="00FF7AD6" w14:paraId="4ACCF229" w14:textId="77777777" w:rsidTr="00575611">
        <w:tc>
          <w:tcPr>
            <w:tcW w:w="993" w:type="dxa"/>
            <w:tcBorders>
              <w:top w:val="single" w:sz="12" w:space="0" w:color="auto"/>
              <w:bottom w:val="single" w:sz="4" w:space="0" w:color="auto"/>
            </w:tcBorders>
            <w:vAlign w:val="center"/>
          </w:tcPr>
          <w:p w14:paraId="5A47BA9C"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bookmarkStart w:id="9" w:name="_Hlk230897551"/>
            <w:r w:rsidRPr="00FF7AD6">
              <w:rPr>
                <w:rFonts w:asciiTheme="minorHAnsi" w:hAnsiTheme="minorHAnsi" w:cstheme="minorHAnsi"/>
                <w:b/>
                <w:bCs/>
                <w:sz w:val="20"/>
                <w:szCs w:val="20"/>
              </w:rPr>
              <w:t>Peak events</w:t>
            </w:r>
          </w:p>
        </w:tc>
        <w:tc>
          <w:tcPr>
            <w:tcW w:w="1022" w:type="dxa"/>
            <w:tcBorders>
              <w:top w:val="single" w:sz="12" w:space="0" w:color="auto"/>
              <w:bottom w:val="single" w:sz="4" w:space="0" w:color="auto"/>
            </w:tcBorders>
            <w:vAlign w:val="center"/>
          </w:tcPr>
          <w:p w14:paraId="0CCED8C4"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TCCON (ppbv)</w:t>
            </w:r>
          </w:p>
        </w:tc>
        <w:tc>
          <w:tcPr>
            <w:tcW w:w="942" w:type="dxa"/>
            <w:tcBorders>
              <w:top w:val="single" w:sz="12" w:space="0" w:color="auto"/>
              <w:bottom w:val="single" w:sz="4" w:space="0" w:color="auto"/>
            </w:tcBorders>
            <w:vAlign w:val="center"/>
          </w:tcPr>
          <w:p w14:paraId="765E8A27"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EDGAR (ppbv)</w:t>
            </w:r>
          </w:p>
        </w:tc>
        <w:tc>
          <w:tcPr>
            <w:tcW w:w="1248" w:type="dxa"/>
            <w:tcBorders>
              <w:top w:val="single" w:sz="12" w:space="0" w:color="auto"/>
              <w:bottom w:val="single" w:sz="4" w:space="0" w:color="auto"/>
            </w:tcBorders>
            <w:vAlign w:val="center"/>
          </w:tcPr>
          <w:p w14:paraId="23E6E7CA"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Top-down (ppbv)</w:t>
            </w:r>
          </w:p>
        </w:tc>
        <w:tc>
          <w:tcPr>
            <w:tcW w:w="851" w:type="dxa"/>
            <w:tcBorders>
              <w:top w:val="single" w:sz="12" w:space="0" w:color="auto"/>
              <w:bottom w:val="single" w:sz="4" w:space="0" w:color="auto"/>
            </w:tcBorders>
            <w:vAlign w:val="center"/>
          </w:tcPr>
          <w:p w14:paraId="6C570054"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AOD 380nm</w:t>
            </w:r>
          </w:p>
        </w:tc>
        <w:tc>
          <w:tcPr>
            <w:tcW w:w="850" w:type="dxa"/>
            <w:tcBorders>
              <w:top w:val="single" w:sz="12" w:space="0" w:color="auto"/>
              <w:bottom w:val="single" w:sz="4" w:space="0" w:color="auto"/>
            </w:tcBorders>
            <w:vAlign w:val="center"/>
          </w:tcPr>
          <w:p w14:paraId="60B48F73"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AOD 440nm</w:t>
            </w:r>
          </w:p>
        </w:tc>
        <w:tc>
          <w:tcPr>
            <w:tcW w:w="993" w:type="dxa"/>
            <w:tcBorders>
              <w:top w:val="single" w:sz="12" w:space="0" w:color="auto"/>
              <w:bottom w:val="single" w:sz="4" w:space="0" w:color="auto"/>
            </w:tcBorders>
            <w:vAlign w:val="center"/>
          </w:tcPr>
          <w:p w14:paraId="09F00F37"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AOD 1020nm</w:t>
            </w:r>
          </w:p>
        </w:tc>
        <w:tc>
          <w:tcPr>
            <w:tcW w:w="992" w:type="dxa"/>
            <w:tcBorders>
              <w:top w:val="single" w:sz="12" w:space="0" w:color="auto"/>
              <w:bottom w:val="single" w:sz="4" w:space="0" w:color="auto"/>
            </w:tcBorders>
            <w:vAlign w:val="center"/>
          </w:tcPr>
          <w:p w14:paraId="59845BB0"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AOD 1640nm</w:t>
            </w:r>
          </w:p>
        </w:tc>
        <w:tc>
          <w:tcPr>
            <w:tcW w:w="850" w:type="dxa"/>
            <w:tcBorders>
              <w:top w:val="single" w:sz="12" w:space="0" w:color="auto"/>
              <w:bottom w:val="single" w:sz="4" w:space="0" w:color="auto"/>
            </w:tcBorders>
            <w:vAlign w:val="center"/>
          </w:tcPr>
          <w:p w14:paraId="45BE5D4F"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AAOD 440nm</w:t>
            </w:r>
          </w:p>
        </w:tc>
        <w:tc>
          <w:tcPr>
            <w:tcW w:w="993" w:type="dxa"/>
            <w:tcBorders>
              <w:top w:val="single" w:sz="12" w:space="0" w:color="auto"/>
              <w:bottom w:val="single" w:sz="4" w:space="0" w:color="auto"/>
            </w:tcBorders>
            <w:vAlign w:val="center"/>
          </w:tcPr>
          <w:p w14:paraId="330E6888" w14:textId="77777777" w:rsidR="008832C4" w:rsidRPr="00FF7AD6" w:rsidRDefault="008832C4" w:rsidP="00FF7AD6">
            <w:pPr>
              <w:pStyle w:val="ae"/>
              <w:spacing w:before="0" w:beforeAutospacing="0" w:after="0" w:afterAutospacing="0"/>
              <w:jc w:val="center"/>
              <w:rPr>
                <w:rFonts w:asciiTheme="minorHAnsi" w:hAnsiTheme="minorHAnsi" w:cstheme="minorHAnsi"/>
                <w:b/>
                <w:bCs/>
                <w:sz w:val="20"/>
                <w:szCs w:val="20"/>
              </w:rPr>
            </w:pPr>
            <w:r w:rsidRPr="00FF7AD6">
              <w:rPr>
                <w:rFonts w:asciiTheme="minorHAnsi" w:hAnsiTheme="minorHAnsi" w:cstheme="minorHAnsi"/>
                <w:b/>
                <w:bCs/>
                <w:sz w:val="20"/>
                <w:szCs w:val="20"/>
              </w:rPr>
              <w:t>AAOD 1020nm</w:t>
            </w:r>
          </w:p>
        </w:tc>
      </w:tr>
      <w:tr w:rsidR="008832C4" w:rsidRPr="00FF7AD6" w14:paraId="5C9EB31F" w14:textId="77777777" w:rsidTr="00575611">
        <w:tc>
          <w:tcPr>
            <w:tcW w:w="993" w:type="dxa"/>
            <w:tcBorders>
              <w:top w:val="single" w:sz="4" w:space="0" w:color="auto"/>
            </w:tcBorders>
            <w:vAlign w:val="center"/>
          </w:tcPr>
          <w:p w14:paraId="3372F70C" w14:textId="7AA95FEB"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07-16 </w:t>
            </w:r>
            <w:r w:rsidR="009D1D57">
              <w:rPr>
                <w:rFonts w:asciiTheme="minorHAnsi" w:hAnsiTheme="minorHAnsi" w:cstheme="minorHAnsi" w:hint="eastAsia"/>
                <w:sz w:val="20"/>
                <w:szCs w:val="20"/>
              </w:rPr>
              <w:t>0</w:t>
            </w:r>
            <w:r w:rsidRPr="00FF7AD6">
              <w:rPr>
                <w:rFonts w:asciiTheme="minorHAnsi" w:hAnsiTheme="minorHAnsi" w:cstheme="minorHAnsi"/>
                <w:sz w:val="20"/>
                <w:szCs w:val="20"/>
              </w:rPr>
              <w:t>7:00</w:t>
            </w:r>
          </w:p>
        </w:tc>
        <w:tc>
          <w:tcPr>
            <w:tcW w:w="1022" w:type="dxa"/>
            <w:tcBorders>
              <w:top w:val="single" w:sz="4" w:space="0" w:color="auto"/>
            </w:tcBorders>
            <w:vAlign w:val="center"/>
          </w:tcPr>
          <w:p w14:paraId="5C7C4D44"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1977</w:t>
            </w:r>
          </w:p>
        </w:tc>
        <w:tc>
          <w:tcPr>
            <w:tcW w:w="942" w:type="dxa"/>
            <w:tcBorders>
              <w:top w:val="single" w:sz="4" w:space="0" w:color="auto"/>
            </w:tcBorders>
            <w:vAlign w:val="center"/>
          </w:tcPr>
          <w:p w14:paraId="27AD159A"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1982</w:t>
            </w:r>
          </w:p>
        </w:tc>
        <w:tc>
          <w:tcPr>
            <w:tcW w:w="1248" w:type="dxa"/>
            <w:tcBorders>
              <w:top w:val="single" w:sz="4" w:space="0" w:color="auto"/>
            </w:tcBorders>
            <w:vAlign w:val="center"/>
          </w:tcPr>
          <w:p w14:paraId="36227E00"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1987</w:t>
            </w:r>
          </w:p>
        </w:tc>
        <w:tc>
          <w:tcPr>
            <w:tcW w:w="851" w:type="dxa"/>
            <w:tcBorders>
              <w:top w:val="single" w:sz="4" w:space="0" w:color="auto"/>
            </w:tcBorders>
            <w:vAlign w:val="center"/>
          </w:tcPr>
          <w:p w14:paraId="6448A3A9"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tcBorders>
              <w:top w:val="single" w:sz="4" w:space="0" w:color="auto"/>
            </w:tcBorders>
            <w:vAlign w:val="center"/>
          </w:tcPr>
          <w:p w14:paraId="51BB662E"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tcBorders>
              <w:top w:val="single" w:sz="4" w:space="0" w:color="auto"/>
            </w:tcBorders>
            <w:vAlign w:val="center"/>
          </w:tcPr>
          <w:p w14:paraId="1D4BE01C"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2" w:type="dxa"/>
            <w:tcBorders>
              <w:top w:val="single" w:sz="4" w:space="0" w:color="auto"/>
            </w:tcBorders>
            <w:vAlign w:val="center"/>
          </w:tcPr>
          <w:p w14:paraId="02E14D25"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tcBorders>
              <w:top w:val="single" w:sz="4" w:space="0" w:color="auto"/>
            </w:tcBorders>
            <w:vAlign w:val="center"/>
          </w:tcPr>
          <w:p w14:paraId="1859360C"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tcBorders>
              <w:top w:val="single" w:sz="4" w:space="0" w:color="auto"/>
            </w:tcBorders>
            <w:vAlign w:val="center"/>
          </w:tcPr>
          <w:p w14:paraId="317B2748"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8832C4" w:rsidRPr="00FF7AD6" w14:paraId="5C890013" w14:textId="77777777" w:rsidTr="00575611">
        <w:tc>
          <w:tcPr>
            <w:tcW w:w="993" w:type="dxa"/>
            <w:vAlign w:val="center"/>
          </w:tcPr>
          <w:p w14:paraId="4F4A8E6B" w14:textId="7B5DE7A1"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07-20 </w:t>
            </w:r>
            <w:r w:rsidR="009D1D57">
              <w:rPr>
                <w:rFonts w:asciiTheme="minorHAnsi" w:hAnsiTheme="minorHAnsi" w:cstheme="minorHAnsi" w:hint="eastAsia"/>
                <w:sz w:val="20"/>
                <w:szCs w:val="20"/>
              </w:rPr>
              <w:t>0</w:t>
            </w:r>
            <w:r w:rsidRPr="00FF7AD6">
              <w:rPr>
                <w:rFonts w:asciiTheme="minorHAnsi" w:hAnsiTheme="minorHAnsi" w:cstheme="minorHAnsi"/>
                <w:sz w:val="20"/>
                <w:szCs w:val="20"/>
              </w:rPr>
              <w:t>1:00</w:t>
            </w:r>
          </w:p>
        </w:tc>
        <w:tc>
          <w:tcPr>
            <w:tcW w:w="1022" w:type="dxa"/>
            <w:vAlign w:val="center"/>
          </w:tcPr>
          <w:p w14:paraId="7A4676C2"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1974</w:t>
            </w:r>
          </w:p>
        </w:tc>
        <w:tc>
          <w:tcPr>
            <w:tcW w:w="942" w:type="dxa"/>
            <w:vAlign w:val="center"/>
          </w:tcPr>
          <w:p w14:paraId="7C46F326"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1968</w:t>
            </w:r>
          </w:p>
        </w:tc>
        <w:tc>
          <w:tcPr>
            <w:tcW w:w="1248" w:type="dxa"/>
            <w:vAlign w:val="center"/>
          </w:tcPr>
          <w:p w14:paraId="48EAF09D"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1978</w:t>
            </w:r>
          </w:p>
        </w:tc>
        <w:tc>
          <w:tcPr>
            <w:tcW w:w="851" w:type="dxa"/>
            <w:vAlign w:val="center"/>
          </w:tcPr>
          <w:p w14:paraId="781DA1F4"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vAlign w:val="center"/>
          </w:tcPr>
          <w:p w14:paraId="23DB1590"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26D6FBF9"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2" w:type="dxa"/>
            <w:vAlign w:val="center"/>
          </w:tcPr>
          <w:p w14:paraId="208D3DF3"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vAlign w:val="center"/>
          </w:tcPr>
          <w:p w14:paraId="658E597C"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210BCB75" w14:textId="77777777" w:rsidR="008832C4" w:rsidRPr="00FF7AD6" w:rsidRDefault="008832C4" w:rsidP="00FF7AD6">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720E9B" w:rsidRPr="00FF7AD6" w14:paraId="3A652A04" w14:textId="77777777" w:rsidTr="00575611">
        <w:tc>
          <w:tcPr>
            <w:tcW w:w="993" w:type="dxa"/>
            <w:vAlign w:val="center"/>
          </w:tcPr>
          <w:p w14:paraId="0ED4B811" w14:textId="5C8C08B1"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lastRenderedPageBreak/>
              <w:t xml:space="preserve">07-26 </w:t>
            </w:r>
            <w:r>
              <w:rPr>
                <w:rFonts w:asciiTheme="minorHAnsi" w:hAnsiTheme="minorHAnsi" w:cstheme="minorHAnsi" w:hint="eastAsia"/>
                <w:sz w:val="20"/>
                <w:szCs w:val="20"/>
              </w:rPr>
              <w:t>0</w:t>
            </w:r>
            <w:r w:rsidRPr="00FF7AD6">
              <w:rPr>
                <w:rFonts w:asciiTheme="minorHAnsi" w:hAnsiTheme="minorHAnsi" w:cstheme="minorHAnsi"/>
                <w:sz w:val="20"/>
                <w:szCs w:val="20"/>
              </w:rPr>
              <w:t>9:00</w:t>
            </w:r>
          </w:p>
        </w:tc>
        <w:tc>
          <w:tcPr>
            <w:tcW w:w="1022" w:type="dxa"/>
            <w:vAlign w:val="center"/>
          </w:tcPr>
          <w:p w14:paraId="11A60B84"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1969</w:t>
            </w:r>
          </w:p>
        </w:tc>
        <w:tc>
          <w:tcPr>
            <w:tcW w:w="942" w:type="dxa"/>
            <w:vAlign w:val="center"/>
          </w:tcPr>
          <w:p w14:paraId="2A14884B"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1960</w:t>
            </w:r>
          </w:p>
        </w:tc>
        <w:tc>
          <w:tcPr>
            <w:tcW w:w="1248" w:type="dxa"/>
            <w:vAlign w:val="center"/>
          </w:tcPr>
          <w:p w14:paraId="70BD67B4"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1965</w:t>
            </w:r>
          </w:p>
        </w:tc>
        <w:tc>
          <w:tcPr>
            <w:tcW w:w="851" w:type="dxa"/>
            <w:vAlign w:val="center"/>
          </w:tcPr>
          <w:p w14:paraId="2D406904" w14:textId="4DD0DCF5"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1.30</w:t>
            </w:r>
          </w:p>
        </w:tc>
        <w:tc>
          <w:tcPr>
            <w:tcW w:w="850" w:type="dxa"/>
            <w:vAlign w:val="center"/>
          </w:tcPr>
          <w:p w14:paraId="1B09856A" w14:textId="48198F14"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1.15</w:t>
            </w:r>
          </w:p>
        </w:tc>
        <w:tc>
          <w:tcPr>
            <w:tcW w:w="993" w:type="dxa"/>
            <w:vAlign w:val="center"/>
          </w:tcPr>
          <w:p w14:paraId="574FE782" w14:textId="7679104C"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0.311</w:t>
            </w:r>
          </w:p>
        </w:tc>
        <w:tc>
          <w:tcPr>
            <w:tcW w:w="992" w:type="dxa"/>
            <w:vAlign w:val="center"/>
          </w:tcPr>
          <w:p w14:paraId="2F714251" w14:textId="63EB8E86"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0.119</w:t>
            </w:r>
          </w:p>
        </w:tc>
        <w:tc>
          <w:tcPr>
            <w:tcW w:w="850" w:type="dxa"/>
            <w:vAlign w:val="center"/>
          </w:tcPr>
          <w:p w14:paraId="2709D9F8" w14:textId="27DD4C5C"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0.018</w:t>
            </w:r>
          </w:p>
        </w:tc>
        <w:tc>
          <w:tcPr>
            <w:tcW w:w="993" w:type="dxa"/>
            <w:vAlign w:val="center"/>
          </w:tcPr>
          <w:p w14:paraId="3FFBCFF1" w14:textId="47D03629"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0.00</w:t>
            </w:r>
            <w:r>
              <w:rPr>
                <w:rFonts w:asciiTheme="minorHAnsi" w:hAnsiTheme="minorHAnsi" w:cstheme="minorHAnsi"/>
                <w:sz w:val="20"/>
                <w:szCs w:val="20"/>
              </w:rPr>
              <w:t>65</w:t>
            </w:r>
          </w:p>
        </w:tc>
      </w:tr>
      <w:tr w:rsidR="00720E9B" w:rsidRPr="00FF7AD6" w14:paraId="1551778B" w14:textId="77777777" w:rsidTr="00575611">
        <w:tc>
          <w:tcPr>
            <w:tcW w:w="993" w:type="dxa"/>
            <w:vAlign w:val="center"/>
          </w:tcPr>
          <w:p w14:paraId="5609B0A5" w14:textId="03365C3A"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08-02 </w:t>
            </w:r>
            <w:r>
              <w:rPr>
                <w:rFonts w:asciiTheme="minorHAnsi" w:hAnsiTheme="minorHAnsi" w:cstheme="minorHAnsi" w:hint="eastAsia"/>
                <w:sz w:val="20"/>
                <w:szCs w:val="20"/>
              </w:rPr>
              <w:t>0</w:t>
            </w:r>
            <w:r w:rsidRPr="00FF7AD6">
              <w:rPr>
                <w:rFonts w:asciiTheme="minorHAnsi" w:hAnsiTheme="minorHAnsi" w:cstheme="minorHAnsi"/>
                <w:sz w:val="20"/>
                <w:szCs w:val="20"/>
              </w:rPr>
              <w:t>1:00</w:t>
            </w:r>
          </w:p>
        </w:tc>
        <w:tc>
          <w:tcPr>
            <w:tcW w:w="1022" w:type="dxa"/>
            <w:vAlign w:val="center"/>
          </w:tcPr>
          <w:p w14:paraId="4CCA97F0"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1975</w:t>
            </w:r>
          </w:p>
        </w:tc>
        <w:tc>
          <w:tcPr>
            <w:tcW w:w="942" w:type="dxa"/>
            <w:vAlign w:val="center"/>
          </w:tcPr>
          <w:p w14:paraId="13339E8B"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1981</w:t>
            </w:r>
          </w:p>
        </w:tc>
        <w:tc>
          <w:tcPr>
            <w:tcW w:w="1248" w:type="dxa"/>
            <w:vAlign w:val="center"/>
          </w:tcPr>
          <w:p w14:paraId="3E55F17E"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1994</w:t>
            </w:r>
          </w:p>
        </w:tc>
        <w:tc>
          <w:tcPr>
            <w:tcW w:w="851" w:type="dxa"/>
            <w:vAlign w:val="center"/>
          </w:tcPr>
          <w:p w14:paraId="021E550E" w14:textId="3DF235A8"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1.68</w:t>
            </w:r>
          </w:p>
        </w:tc>
        <w:tc>
          <w:tcPr>
            <w:tcW w:w="850" w:type="dxa"/>
            <w:vAlign w:val="center"/>
          </w:tcPr>
          <w:p w14:paraId="60B1AB3D" w14:textId="100130CC"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1.54</w:t>
            </w:r>
          </w:p>
        </w:tc>
        <w:tc>
          <w:tcPr>
            <w:tcW w:w="993" w:type="dxa"/>
            <w:vAlign w:val="center"/>
          </w:tcPr>
          <w:p w14:paraId="1B032300" w14:textId="18B9AF85"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0.542</w:t>
            </w:r>
          </w:p>
        </w:tc>
        <w:tc>
          <w:tcPr>
            <w:tcW w:w="992" w:type="dxa"/>
            <w:vAlign w:val="center"/>
          </w:tcPr>
          <w:p w14:paraId="62626754" w14:textId="268F37A4"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0.248</w:t>
            </w:r>
          </w:p>
        </w:tc>
        <w:tc>
          <w:tcPr>
            <w:tcW w:w="850" w:type="dxa"/>
            <w:vAlign w:val="center"/>
          </w:tcPr>
          <w:p w14:paraId="7422E16C" w14:textId="5F565C81"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792ED940" w14:textId="0F27971C"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720E9B" w:rsidRPr="00FF7AD6" w14:paraId="0DBED775" w14:textId="77777777" w:rsidTr="00575611">
        <w:tc>
          <w:tcPr>
            <w:tcW w:w="993" w:type="dxa"/>
            <w:vAlign w:val="center"/>
          </w:tcPr>
          <w:p w14:paraId="7163DCBF" w14:textId="577CBC1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08-04 </w:t>
            </w:r>
            <w:r>
              <w:rPr>
                <w:rFonts w:asciiTheme="minorHAnsi" w:hAnsiTheme="minorHAnsi" w:cstheme="minorHAnsi" w:hint="eastAsia"/>
                <w:sz w:val="20"/>
                <w:szCs w:val="20"/>
              </w:rPr>
              <w:t>0</w:t>
            </w:r>
            <w:r w:rsidRPr="00FF7AD6">
              <w:rPr>
                <w:rFonts w:asciiTheme="minorHAnsi" w:hAnsiTheme="minorHAnsi" w:cstheme="minorHAnsi"/>
                <w:sz w:val="20"/>
                <w:szCs w:val="20"/>
              </w:rPr>
              <w:t>2:00</w:t>
            </w:r>
          </w:p>
        </w:tc>
        <w:tc>
          <w:tcPr>
            <w:tcW w:w="1022" w:type="dxa"/>
            <w:vAlign w:val="center"/>
          </w:tcPr>
          <w:p w14:paraId="1F186FA5"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2008</w:t>
            </w:r>
          </w:p>
        </w:tc>
        <w:tc>
          <w:tcPr>
            <w:tcW w:w="942" w:type="dxa"/>
            <w:vAlign w:val="center"/>
          </w:tcPr>
          <w:p w14:paraId="077FC1EB"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1972</w:t>
            </w:r>
          </w:p>
        </w:tc>
        <w:tc>
          <w:tcPr>
            <w:tcW w:w="1248" w:type="dxa"/>
            <w:vAlign w:val="center"/>
          </w:tcPr>
          <w:p w14:paraId="4B3F17F5"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1976</w:t>
            </w:r>
          </w:p>
        </w:tc>
        <w:tc>
          <w:tcPr>
            <w:tcW w:w="851" w:type="dxa"/>
            <w:vAlign w:val="center"/>
          </w:tcPr>
          <w:p w14:paraId="4E86E5B3" w14:textId="00210AC6"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2.42</w:t>
            </w:r>
          </w:p>
        </w:tc>
        <w:tc>
          <w:tcPr>
            <w:tcW w:w="850" w:type="dxa"/>
            <w:vAlign w:val="center"/>
          </w:tcPr>
          <w:p w14:paraId="2826D9BF" w14:textId="0EA6F499"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2.28</w:t>
            </w:r>
          </w:p>
        </w:tc>
        <w:tc>
          <w:tcPr>
            <w:tcW w:w="993" w:type="dxa"/>
            <w:vAlign w:val="center"/>
          </w:tcPr>
          <w:p w14:paraId="757C466E" w14:textId="36023A92"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0.838</w:t>
            </w:r>
          </w:p>
        </w:tc>
        <w:tc>
          <w:tcPr>
            <w:tcW w:w="992" w:type="dxa"/>
            <w:vAlign w:val="center"/>
          </w:tcPr>
          <w:p w14:paraId="3BA6E631" w14:textId="0E8DC299"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0.333</w:t>
            </w:r>
          </w:p>
        </w:tc>
        <w:tc>
          <w:tcPr>
            <w:tcW w:w="850" w:type="dxa"/>
            <w:vAlign w:val="center"/>
          </w:tcPr>
          <w:p w14:paraId="0CD9C5F0" w14:textId="6F6F1F2D"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198B3D64" w14:textId="150BF903"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720E9B" w:rsidRPr="00FF7AD6" w14:paraId="650B43EF" w14:textId="77777777" w:rsidTr="00575611">
        <w:tc>
          <w:tcPr>
            <w:tcW w:w="993" w:type="dxa"/>
            <w:vAlign w:val="center"/>
          </w:tcPr>
          <w:p w14:paraId="6D5C6AD5" w14:textId="67489FD6"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08-07 </w:t>
            </w:r>
            <w:r>
              <w:rPr>
                <w:rFonts w:asciiTheme="minorHAnsi" w:hAnsiTheme="minorHAnsi" w:cstheme="minorHAnsi" w:hint="eastAsia"/>
                <w:sz w:val="20"/>
                <w:szCs w:val="20"/>
              </w:rPr>
              <w:t>0</w:t>
            </w:r>
            <w:r w:rsidRPr="00FF7AD6">
              <w:rPr>
                <w:rFonts w:asciiTheme="minorHAnsi" w:hAnsiTheme="minorHAnsi" w:cstheme="minorHAnsi"/>
                <w:sz w:val="20"/>
                <w:szCs w:val="20"/>
              </w:rPr>
              <w:t>8:00</w:t>
            </w:r>
          </w:p>
        </w:tc>
        <w:tc>
          <w:tcPr>
            <w:tcW w:w="1022" w:type="dxa"/>
            <w:vAlign w:val="center"/>
          </w:tcPr>
          <w:p w14:paraId="0D7B6A96"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1971</w:t>
            </w:r>
          </w:p>
        </w:tc>
        <w:tc>
          <w:tcPr>
            <w:tcW w:w="942" w:type="dxa"/>
            <w:vAlign w:val="center"/>
          </w:tcPr>
          <w:p w14:paraId="52B4C40C"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1996</w:t>
            </w:r>
          </w:p>
        </w:tc>
        <w:tc>
          <w:tcPr>
            <w:tcW w:w="1248" w:type="dxa"/>
            <w:vAlign w:val="center"/>
          </w:tcPr>
          <w:p w14:paraId="7BD1EC1A"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2004</w:t>
            </w:r>
          </w:p>
        </w:tc>
        <w:tc>
          <w:tcPr>
            <w:tcW w:w="851" w:type="dxa"/>
            <w:vAlign w:val="center"/>
          </w:tcPr>
          <w:p w14:paraId="3F5BA94A" w14:textId="5631A620"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0.571</w:t>
            </w:r>
          </w:p>
        </w:tc>
        <w:tc>
          <w:tcPr>
            <w:tcW w:w="850" w:type="dxa"/>
            <w:vAlign w:val="center"/>
          </w:tcPr>
          <w:p w14:paraId="3A7A61DC" w14:textId="1D0D3B72"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0.483</w:t>
            </w:r>
          </w:p>
        </w:tc>
        <w:tc>
          <w:tcPr>
            <w:tcW w:w="993" w:type="dxa"/>
            <w:vAlign w:val="center"/>
          </w:tcPr>
          <w:p w14:paraId="040916EF" w14:textId="49AF604B"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0.142</w:t>
            </w:r>
          </w:p>
        </w:tc>
        <w:tc>
          <w:tcPr>
            <w:tcW w:w="992" w:type="dxa"/>
            <w:vAlign w:val="center"/>
          </w:tcPr>
          <w:p w14:paraId="6BC1726A" w14:textId="7FE60806"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0.</w:t>
            </w:r>
            <w:r>
              <w:rPr>
                <w:rFonts w:asciiTheme="minorHAnsi" w:hAnsiTheme="minorHAnsi" w:cstheme="minorHAnsi"/>
                <w:sz w:val="20"/>
                <w:szCs w:val="20"/>
              </w:rPr>
              <w:t>0608</w:t>
            </w:r>
          </w:p>
        </w:tc>
        <w:tc>
          <w:tcPr>
            <w:tcW w:w="850" w:type="dxa"/>
            <w:vAlign w:val="center"/>
          </w:tcPr>
          <w:p w14:paraId="774F310F"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341A03A9"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720E9B" w:rsidRPr="00FF7AD6" w14:paraId="3A87048D" w14:textId="77777777" w:rsidTr="00575611">
        <w:tc>
          <w:tcPr>
            <w:tcW w:w="993" w:type="dxa"/>
            <w:vAlign w:val="center"/>
          </w:tcPr>
          <w:p w14:paraId="7C3A03FC" w14:textId="6828D1A5"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08-12 </w:t>
            </w:r>
            <w:r>
              <w:rPr>
                <w:rFonts w:asciiTheme="minorHAnsi" w:hAnsiTheme="minorHAnsi" w:cstheme="minorHAnsi" w:hint="eastAsia"/>
                <w:sz w:val="20"/>
                <w:szCs w:val="20"/>
              </w:rPr>
              <w:t>0</w:t>
            </w:r>
            <w:r w:rsidRPr="00FF7AD6">
              <w:rPr>
                <w:rFonts w:asciiTheme="minorHAnsi" w:hAnsiTheme="minorHAnsi" w:cstheme="minorHAnsi"/>
                <w:sz w:val="20"/>
                <w:szCs w:val="20"/>
              </w:rPr>
              <w:t>8:00</w:t>
            </w:r>
          </w:p>
        </w:tc>
        <w:tc>
          <w:tcPr>
            <w:tcW w:w="1022" w:type="dxa"/>
            <w:vAlign w:val="center"/>
          </w:tcPr>
          <w:p w14:paraId="58B7C46B"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1962</w:t>
            </w:r>
          </w:p>
        </w:tc>
        <w:tc>
          <w:tcPr>
            <w:tcW w:w="942" w:type="dxa"/>
            <w:vAlign w:val="center"/>
          </w:tcPr>
          <w:p w14:paraId="1CF7300A"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1929</w:t>
            </w:r>
          </w:p>
        </w:tc>
        <w:tc>
          <w:tcPr>
            <w:tcW w:w="1248" w:type="dxa"/>
            <w:vAlign w:val="center"/>
          </w:tcPr>
          <w:p w14:paraId="51FAAA13"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1929</w:t>
            </w:r>
          </w:p>
        </w:tc>
        <w:tc>
          <w:tcPr>
            <w:tcW w:w="851" w:type="dxa"/>
            <w:vAlign w:val="center"/>
          </w:tcPr>
          <w:p w14:paraId="185B8ED2" w14:textId="6DF93DFF"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0</w:t>
            </w:r>
            <w:r>
              <w:rPr>
                <w:rFonts w:asciiTheme="minorHAnsi" w:hAnsiTheme="minorHAnsi" w:cstheme="minorHAnsi"/>
                <w:sz w:val="20"/>
                <w:szCs w:val="20"/>
              </w:rPr>
              <w:t>.921</w:t>
            </w:r>
          </w:p>
        </w:tc>
        <w:tc>
          <w:tcPr>
            <w:tcW w:w="850" w:type="dxa"/>
            <w:vAlign w:val="center"/>
          </w:tcPr>
          <w:p w14:paraId="0B82C1B2" w14:textId="35599F3A"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0</w:t>
            </w:r>
            <w:r>
              <w:rPr>
                <w:rFonts w:asciiTheme="minorHAnsi" w:hAnsiTheme="minorHAnsi" w:cstheme="minorHAnsi"/>
                <w:sz w:val="20"/>
                <w:szCs w:val="20"/>
              </w:rPr>
              <w:t>.805</w:t>
            </w:r>
          </w:p>
        </w:tc>
        <w:tc>
          <w:tcPr>
            <w:tcW w:w="993" w:type="dxa"/>
            <w:vAlign w:val="center"/>
          </w:tcPr>
          <w:p w14:paraId="324D6E01" w14:textId="04B2B4C2"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0</w:t>
            </w:r>
            <w:r>
              <w:rPr>
                <w:rFonts w:asciiTheme="minorHAnsi" w:hAnsiTheme="minorHAnsi" w:cstheme="minorHAnsi"/>
                <w:sz w:val="20"/>
                <w:szCs w:val="20"/>
              </w:rPr>
              <w:t>.259</w:t>
            </w:r>
          </w:p>
        </w:tc>
        <w:tc>
          <w:tcPr>
            <w:tcW w:w="992" w:type="dxa"/>
            <w:vAlign w:val="center"/>
          </w:tcPr>
          <w:p w14:paraId="5F81F9DF" w14:textId="2478550C"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0</w:t>
            </w:r>
            <w:r>
              <w:rPr>
                <w:rFonts w:asciiTheme="minorHAnsi" w:hAnsiTheme="minorHAnsi" w:cstheme="minorHAnsi"/>
                <w:sz w:val="20"/>
                <w:szCs w:val="20"/>
              </w:rPr>
              <w:t>.116</w:t>
            </w:r>
          </w:p>
        </w:tc>
        <w:tc>
          <w:tcPr>
            <w:tcW w:w="850" w:type="dxa"/>
            <w:vAlign w:val="center"/>
          </w:tcPr>
          <w:p w14:paraId="185BD43A" w14:textId="4CA53389"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15E98459" w14:textId="78B6EEF9"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720E9B" w:rsidRPr="00FF7AD6" w14:paraId="1EDEC5FB" w14:textId="77777777" w:rsidTr="00575611">
        <w:tc>
          <w:tcPr>
            <w:tcW w:w="993" w:type="dxa"/>
            <w:vAlign w:val="center"/>
          </w:tcPr>
          <w:p w14:paraId="68C6743B" w14:textId="00FF9F48"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08-17 </w:t>
            </w:r>
            <w:r>
              <w:rPr>
                <w:rFonts w:asciiTheme="minorHAnsi" w:hAnsiTheme="minorHAnsi" w:cstheme="minorHAnsi" w:hint="eastAsia"/>
                <w:sz w:val="20"/>
                <w:szCs w:val="20"/>
              </w:rPr>
              <w:t>0</w:t>
            </w:r>
            <w:r w:rsidRPr="00FF7AD6">
              <w:rPr>
                <w:rFonts w:asciiTheme="minorHAnsi" w:hAnsiTheme="minorHAnsi" w:cstheme="minorHAnsi"/>
                <w:sz w:val="20"/>
                <w:szCs w:val="20"/>
              </w:rPr>
              <w:t>9:00</w:t>
            </w:r>
          </w:p>
        </w:tc>
        <w:tc>
          <w:tcPr>
            <w:tcW w:w="1022" w:type="dxa"/>
            <w:vAlign w:val="center"/>
          </w:tcPr>
          <w:p w14:paraId="2065E190"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1964</w:t>
            </w:r>
          </w:p>
        </w:tc>
        <w:tc>
          <w:tcPr>
            <w:tcW w:w="942" w:type="dxa"/>
            <w:vAlign w:val="center"/>
          </w:tcPr>
          <w:p w14:paraId="7F8B1AE3"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1964</w:t>
            </w:r>
          </w:p>
        </w:tc>
        <w:tc>
          <w:tcPr>
            <w:tcW w:w="1248" w:type="dxa"/>
            <w:vAlign w:val="center"/>
          </w:tcPr>
          <w:p w14:paraId="169384E8"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1971</w:t>
            </w:r>
          </w:p>
        </w:tc>
        <w:tc>
          <w:tcPr>
            <w:tcW w:w="851" w:type="dxa"/>
            <w:vAlign w:val="center"/>
          </w:tcPr>
          <w:p w14:paraId="345E774C" w14:textId="017FBB82"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1.23</w:t>
            </w:r>
          </w:p>
        </w:tc>
        <w:tc>
          <w:tcPr>
            <w:tcW w:w="850" w:type="dxa"/>
            <w:vAlign w:val="center"/>
          </w:tcPr>
          <w:p w14:paraId="27136F3C" w14:textId="7B2B5E88"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1.05</w:t>
            </w:r>
          </w:p>
        </w:tc>
        <w:tc>
          <w:tcPr>
            <w:tcW w:w="993" w:type="dxa"/>
            <w:vAlign w:val="center"/>
          </w:tcPr>
          <w:p w14:paraId="2F9F155C" w14:textId="76955EF5"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0.304</w:t>
            </w:r>
          </w:p>
        </w:tc>
        <w:tc>
          <w:tcPr>
            <w:tcW w:w="992" w:type="dxa"/>
            <w:vAlign w:val="center"/>
          </w:tcPr>
          <w:p w14:paraId="0503259F" w14:textId="71DF177B"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0.146</w:t>
            </w:r>
          </w:p>
        </w:tc>
        <w:tc>
          <w:tcPr>
            <w:tcW w:w="850" w:type="dxa"/>
            <w:vAlign w:val="center"/>
          </w:tcPr>
          <w:p w14:paraId="64C6E4E7"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3D486F33"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720E9B" w:rsidRPr="00FF7AD6" w14:paraId="75F0E7B5" w14:textId="77777777" w:rsidTr="00575611">
        <w:tc>
          <w:tcPr>
            <w:tcW w:w="993" w:type="dxa"/>
            <w:vAlign w:val="center"/>
          </w:tcPr>
          <w:p w14:paraId="635DE87A" w14:textId="698E35B1"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09-10 </w:t>
            </w:r>
            <w:r>
              <w:rPr>
                <w:rFonts w:asciiTheme="minorHAnsi" w:hAnsiTheme="minorHAnsi" w:cstheme="minorHAnsi" w:hint="eastAsia"/>
                <w:sz w:val="20"/>
                <w:szCs w:val="20"/>
              </w:rPr>
              <w:t>0</w:t>
            </w:r>
            <w:r w:rsidRPr="00FF7AD6">
              <w:rPr>
                <w:rFonts w:asciiTheme="minorHAnsi" w:hAnsiTheme="minorHAnsi" w:cstheme="minorHAnsi"/>
                <w:sz w:val="20"/>
                <w:szCs w:val="20"/>
              </w:rPr>
              <w:t>3:00</w:t>
            </w:r>
          </w:p>
        </w:tc>
        <w:tc>
          <w:tcPr>
            <w:tcW w:w="1022" w:type="dxa"/>
            <w:vAlign w:val="center"/>
          </w:tcPr>
          <w:p w14:paraId="24AC764D"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1978</w:t>
            </w:r>
          </w:p>
        </w:tc>
        <w:tc>
          <w:tcPr>
            <w:tcW w:w="942" w:type="dxa"/>
            <w:vAlign w:val="center"/>
          </w:tcPr>
          <w:p w14:paraId="0743239F"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1949</w:t>
            </w:r>
          </w:p>
        </w:tc>
        <w:tc>
          <w:tcPr>
            <w:tcW w:w="1248" w:type="dxa"/>
            <w:vAlign w:val="center"/>
          </w:tcPr>
          <w:p w14:paraId="35BA2E5B"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1989</w:t>
            </w:r>
          </w:p>
        </w:tc>
        <w:tc>
          <w:tcPr>
            <w:tcW w:w="851" w:type="dxa"/>
            <w:vAlign w:val="center"/>
          </w:tcPr>
          <w:p w14:paraId="42911740"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vAlign w:val="center"/>
          </w:tcPr>
          <w:p w14:paraId="5335C2F2"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5084AFCE"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2" w:type="dxa"/>
            <w:vAlign w:val="center"/>
          </w:tcPr>
          <w:p w14:paraId="0D594F46"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vAlign w:val="center"/>
          </w:tcPr>
          <w:p w14:paraId="3642F750"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42168B75"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r w:rsidR="00720E9B" w:rsidRPr="00FF7AD6" w14:paraId="0E5CF7F8" w14:textId="77777777" w:rsidTr="00575611">
        <w:tc>
          <w:tcPr>
            <w:tcW w:w="993" w:type="dxa"/>
            <w:vAlign w:val="center"/>
          </w:tcPr>
          <w:p w14:paraId="35F613A6" w14:textId="0FAEAB69"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 xml:space="preserve">09-12 </w:t>
            </w:r>
            <w:r>
              <w:rPr>
                <w:rFonts w:asciiTheme="minorHAnsi" w:hAnsiTheme="minorHAnsi" w:cstheme="minorHAnsi" w:hint="eastAsia"/>
                <w:sz w:val="20"/>
                <w:szCs w:val="20"/>
              </w:rPr>
              <w:t>0</w:t>
            </w:r>
            <w:r w:rsidRPr="00FF7AD6">
              <w:rPr>
                <w:rFonts w:asciiTheme="minorHAnsi" w:hAnsiTheme="minorHAnsi" w:cstheme="minorHAnsi"/>
                <w:sz w:val="20"/>
                <w:szCs w:val="20"/>
              </w:rPr>
              <w:t>8:00</w:t>
            </w:r>
          </w:p>
        </w:tc>
        <w:tc>
          <w:tcPr>
            <w:tcW w:w="1022" w:type="dxa"/>
            <w:vAlign w:val="center"/>
          </w:tcPr>
          <w:p w14:paraId="3C5C9BC0"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1963</w:t>
            </w:r>
          </w:p>
        </w:tc>
        <w:tc>
          <w:tcPr>
            <w:tcW w:w="942" w:type="dxa"/>
            <w:vAlign w:val="center"/>
          </w:tcPr>
          <w:p w14:paraId="47CFE36D"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1935</w:t>
            </w:r>
          </w:p>
        </w:tc>
        <w:tc>
          <w:tcPr>
            <w:tcW w:w="1248" w:type="dxa"/>
            <w:vAlign w:val="center"/>
          </w:tcPr>
          <w:p w14:paraId="0D549BCD"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1945</w:t>
            </w:r>
          </w:p>
        </w:tc>
        <w:tc>
          <w:tcPr>
            <w:tcW w:w="851" w:type="dxa"/>
            <w:vAlign w:val="center"/>
          </w:tcPr>
          <w:p w14:paraId="01E9BABA"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vAlign w:val="center"/>
          </w:tcPr>
          <w:p w14:paraId="7EAD2E55"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54D77EFF"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2" w:type="dxa"/>
            <w:vAlign w:val="center"/>
          </w:tcPr>
          <w:p w14:paraId="6A2FE0D0"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850" w:type="dxa"/>
            <w:vAlign w:val="center"/>
          </w:tcPr>
          <w:p w14:paraId="49D08625"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c>
          <w:tcPr>
            <w:tcW w:w="993" w:type="dxa"/>
            <w:vAlign w:val="center"/>
          </w:tcPr>
          <w:p w14:paraId="5FB71993" w14:textId="77777777" w:rsidR="00720E9B" w:rsidRPr="00FF7AD6" w:rsidRDefault="00720E9B" w:rsidP="00720E9B">
            <w:pPr>
              <w:pStyle w:val="ae"/>
              <w:spacing w:before="0" w:beforeAutospacing="0" w:after="0" w:afterAutospacing="0"/>
              <w:jc w:val="center"/>
              <w:rPr>
                <w:rFonts w:asciiTheme="minorHAnsi" w:hAnsiTheme="minorHAnsi" w:cstheme="minorHAnsi"/>
                <w:sz w:val="20"/>
                <w:szCs w:val="20"/>
              </w:rPr>
            </w:pPr>
            <w:r w:rsidRPr="00FF7AD6">
              <w:rPr>
                <w:rFonts w:asciiTheme="minorHAnsi" w:hAnsiTheme="minorHAnsi" w:cstheme="minorHAnsi"/>
                <w:sz w:val="20"/>
                <w:szCs w:val="20"/>
              </w:rPr>
              <w:t>—</w:t>
            </w:r>
          </w:p>
        </w:tc>
      </w:tr>
    </w:tbl>
    <w:bookmarkEnd w:id="9"/>
    <w:p w14:paraId="0FA4C67D" w14:textId="253673CD" w:rsidR="00FC3B5D" w:rsidRPr="00FC3B5D" w:rsidRDefault="00FC3B5D" w:rsidP="00D72AAE">
      <w:pPr>
        <w:spacing w:before="100" w:beforeAutospacing="1" w:after="100" w:afterAutospacing="1" w:line="360" w:lineRule="auto"/>
        <w:rPr>
          <w:rFonts w:ascii="Arial" w:hAnsi="Arial" w:cs="Arial"/>
          <w:sz w:val="22"/>
          <w:szCs w:val="22"/>
        </w:rPr>
      </w:pPr>
      <w:r w:rsidRPr="00FC3B5D">
        <w:rPr>
          <w:rFonts w:ascii="Arial" w:hAnsi="Arial" w:cs="Arial"/>
          <w:b/>
          <w:bCs/>
          <w:sz w:val="22"/>
          <w:szCs w:val="22"/>
        </w:rPr>
        <w:t>Peak event identification and reproduction at the 30-minute timescale.</w:t>
      </w:r>
      <w:r w:rsidRPr="00FC3B5D">
        <w:rPr>
          <w:rFonts w:ascii="Arial" w:hAnsi="Arial" w:cs="Arial"/>
          <w:sz w:val="22"/>
          <w:szCs w:val="22"/>
        </w:rPr>
        <w:t xml:space="preserve"> The perturbation experiment outputs are available at 30-minute resolution. Peak events were re-identified on this higher-resolution time series using the same 90th percentile threshold and a minimum inter-event separation of 24 time steps, equivalent to 12 hours, yielding 10 peak events (Supplementary Table S3). The ±50% perturbation scenario reproduces 9 of 10 peaks (90.0%), compared with 40.0% for the BTH-50% scenario. The single uncaptured peak (</w:t>
      </w:r>
      <w:r w:rsidR="00157A3D">
        <w:rPr>
          <w:rFonts w:ascii="Arial" w:hAnsi="Arial" w:cs="Arial"/>
          <w:sz w:val="22"/>
          <w:szCs w:val="22"/>
        </w:rPr>
        <w:t>4</w:t>
      </w:r>
      <w:r w:rsidRPr="00FC3B5D">
        <w:rPr>
          <w:rFonts w:ascii="Arial" w:hAnsi="Arial" w:cs="Arial"/>
          <w:sz w:val="22"/>
          <w:szCs w:val="22"/>
        </w:rPr>
        <w:t xml:space="preserve"> August 2022, 02:00 UTC; TCCON = 2,008 ppbv) represents the most extreme XCH</w:t>
      </w:r>
      <w:r w:rsidRPr="00FC3B5D">
        <w:rPr>
          <w:rFonts w:ascii="Arial" w:hAnsi="Arial" w:cs="Arial"/>
          <w:sz w:val="22"/>
          <w:szCs w:val="22"/>
          <w:vertAlign w:val="subscript"/>
        </w:rPr>
        <w:t>4</w:t>
      </w:r>
      <w:r w:rsidRPr="00FC3B5D">
        <w:rPr>
          <w:rFonts w:ascii="Arial" w:hAnsi="Arial" w:cs="Arial"/>
          <w:sz w:val="22"/>
          <w:szCs w:val="22"/>
        </w:rPr>
        <w:t xml:space="preserve"> anomaly in the simulation period, approximately 50 ppbv above the time-series mean. The concurrent AOD</w:t>
      </w:r>
      <w:r w:rsidRPr="00AF6F73">
        <w:rPr>
          <w:rFonts w:ascii="Arial" w:hAnsi="Arial" w:cs="Arial"/>
          <w:sz w:val="22"/>
          <w:szCs w:val="22"/>
          <w:vertAlign w:val="subscript"/>
        </w:rPr>
        <w:t>440</w:t>
      </w:r>
      <w:r w:rsidRPr="00FC3B5D">
        <w:rPr>
          <w:rFonts w:ascii="Arial" w:hAnsi="Arial" w:cs="Arial"/>
          <w:sz w:val="22"/>
          <w:szCs w:val="22"/>
        </w:rPr>
        <w:t xml:space="preserve"> of 2.28, the highest value in the dataset, may introduce a positive bias of up to 5 to 10 ppbv in the TCCON retrieval under high aerosol loading</w:t>
      </w:r>
      <w:r w:rsidR="00E43ACA">
        <w:rPr>
          <w:rFonts w:ascii="Arial" w:hAnsi="Arial" w:cs="Arial"/>
          <w:sz w:val="22"/>
          <w:szCs w:val="22"/>
        </w:rPr>
        <w:t>, or up to a 20</w:t>
      </w:r>
      <w:r w:rsidR="004216BF" w:rsidRPr="004216BF">
        <w:rPr>
          <w:rFonts w:ascii="Arial" w:hAnsi="Arial" w:cs="Arial"/>
          <w:sz w:val="22"/>
          <w:szCs w:val="22"/>
        </w:rPr>
        <w:t>—</w:t>
      </w:r>
      <w:r w:rsidR="00E43ACA">
        <w:rPr>
          <w:rFonts w:ascii="Arial" w:hAnsi="Arial" w:cs="Arial"/>
          <w:sz w:val="22"/>
          <w:szCs w:val="22"/>
        </w:rPr>
        <w:t>30 ppbv based on a new work assessing TROPOMI over Europe (</w:t>
      </w:r>
      <w:r w:rsidR="002B3B93" w:rsidRPr="002B3B93">
        <w:rPr>
          <w:rFonts w:ascii="Arial" w:hAnsi="Arial" w:cs="Arial"/>
          <w:sz w:val="22"/>
          <w:szCs w:val="22"/>
        </w:rPr>
        <w:t>Sicsik-Paré A.</w:t>
      </w:r>
      <w:r w:rsidR="002B3B93">
        <w:rPr>
          <w:rFonts w:ascii="Arial" w:hAnsi="Arial" w:cs="Arial"/>
          <w:sz w:val="22"/>
          <w:szCs w:val="22"/>
        </w:rPr>
        <w:t xml:space="preserve"> et al., 2025 [in preprint]</w:t>
      </w:r>
      <w:r w:rsidR="00E43ACA">
        <w:rPr>
          <w:rFonts w:ascii="Arial" w:hAnsi="Arial" w:cs="Arial"/>
          <w:sz w:val="22"/>
          <w:szCs w:val="22"/>
        </w:rPr>
        <w:t>)</w:t>
      </w:r>
      <w:r w:rsidRPr="00FC3B5D">
        <w:rPr>
          <w:rFonts w:ascii="Arial" w:hAnsi="Arial" w:cs="Arial"/>
          <w:sz w:val="22"/>
          <w:szCs w:val="22"/>
        </w:rPr>
        <w:t>. However, this aerosol-induced effect accounts for only a fraction of the 61 ppbv model underestimate; the dominant contribution reflects the inability of monthly-mean emission inventories to capture the sub-diurnal emission pulses responsible for this extreme event.</w:t>
      </w:r>
    </w:p>
    <w:p w14:paraId="73FD3761" w14:textId="77777777" w:rsidR="008832C4" w:rsidRPr="00FF7AD6" w:rsidRDefault="008832C4" w:rsidP="00E9585B">
      <w:pPr>
        <w:pStyle w:val="ae"/>
        <w:spacing w:before="0" w:beforeAutospacing="0" w:after="0" w:afterAutospacing="0"/>
        <w:outlineLvl w:val="1"/>
        <w:rPr>
          <w:rFonts w:asciiTheme="minorHAnsi" w:hAnsiTheme="minorHAnsi" w:cstheme="minorHAnsi"/>
          <w:sz w:val="22"/>
          <w:szCs w:val="22"/>
        </w:rPr>
      </w:pPr>
      <w:r w:rsidRPr="00FF7AD6">
        <w:rPr>
          <w:rFonts w:asciiTheme="minorHAnsi" w:hAnsiTheme="minorHAnsi" w:cstheme="minorHAnsi"/>
          <w:b/>
          <w:bCs/>
          <w:color w:val="000000" w:themeColor="text1"/>
          <w:sz w:val="22"/>
          <w:szCs w:val="22"/>
        </w:rPr>
        <w:t xml:space="preserve">Supplementary Table S3. </w:t>
      </w:r>
      <w:r w:rsidRPr="00FF7AD6">
        <w:rPr>
          <w:rFonts w:asciiTheme="minorHAnsi" w:hAnsiTheme="minorHAnsi" w:cstheme="minorHAnsi"/>
          <w:sz w:val="22"/>
          <w:szCs w:val="22"/>
        </w:rPr>
        <w:t>Detailed information of peak events in perturbation experiments at Xianghe station.</w:t>
      </w:r>
    </w:p>
    <w:tbl>
      <w:tblPr>
        <w:tblStyle w:val="ad"/>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92"/>
        <w:gridCol w:w="992"/>
        <w:gridCol w:w="851"/>
        <w:gridCol w:w="992"/>
        <w:gridCol w:w="851"/>
        <w:gridCol w:w="708"/>
        <w:gridCol w:w="851"/>
        <w:gridCol w:w="850"/>
        <w:gridCol w:w="851"/>
        <w:gridCol w:w="850"/>
        <w:gridCol w:w="851"/>
      </w:tblGrid>
      <w:tr w:rsidR="008832C4" w:rsidRPr="005741CA" w14:paraId="033FB304" w14:textId="77777777" w:rsidTr="005741CA">
        <w:tc>
          <w:tcPr>
            <w:tcW w:w="851" w:type="dxa"/>
            <w:tcBorders>
              <w:top w:val="single" w:sz="12" w:space="0" w:color="auto"/>
              <w:bottom w:val="single" w:sz="4" w:space="0" w:color="auto"/>
            </w:tcBorders>
            <w:vAlign w:val="center"/>
          </w:tcPr>
          <w:p w14:paraId="54427BF9"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Peak events</w:t>
            </w:r>
          </w:p>
        </w:tc>
        <w:tc>
          <w:tcPr>
            <w:tcW w:w="992" w:type="dxa"/>
            <w:tcBorders>
              <w:top w:val="single" w:sz="12" w:space="0" w:color="auto"/>
              <w:bottom w:val="single" w:sz="4" w:space="0" w:color="auto"/>
            </w:tcBorders>
            <w:vAlign w:val="center"/>
          </w:tcPr>
          <w:p w14:paraId="159AE37D"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TCCON (ppbv)</w:t>
            </w:r>
          </w:p>
        </w:tc>
        <w:tc>
          <w:tcPr>
            <w:tcW w:w="992" w:type="dxa"/>
            <w:tcBorders>
              <w:top w:val="single" w:sz="12" w:space="0" w:color="auto"/>
              <w:bottom w:val="single" w:sz="4" w:space="0" w:color="auto"/>
            </w:tcBorders>
            <w:vAlign w:val="center"/>
          </w:tcPr>
          <w:p w14:paraId="7215F8B1"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EDGAR (ppbv)</w:t>
            </w:r>
          </w:p>
        </w:tc>
        <w:tc>
          <w:tcPr>
            <w:tcW w:w="851" w:type="dxa"/>
            <w:tcBorders>
              <w:top w:val="single" w:sz="12" w:space="0" w:color="auto"/>
              <w:bottom w:val="single" w:sz="4" w:space="0" w:color="auto"/>
            </w:tcBorders>
            <w:vAlign w:val="center"/>
          </w:tcPr>
          <w:p w14:paraId="4FF286AD"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Top-down (ppbv)</w:t>
            </w:r>
          </w:p>
        </w:tc>
        <w:tc>
          <w:tcPr>
            <w:tcW w:w="992" w:type="dxa"/>
            <w:tcBorders>
              <w:top w:val="single" w:sz="12" w:space="0" w:color="auto"/>
              <w:bottom w:val="single" w:sz="4" w:space="0" w:color="auto"/>
            </w:tcBorders>
            <w:vAlign w:val="center"/>
          </w:tcPr>
          <w:p w14:paraId="262575BD"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±50% perturb</w:t>
            </w:r>
          </w:p>
          <w:p w14:paraId="062293CD"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(ppbv)</w:t>
            </w:r>
          </w:p>
        </w:tc>
        <w:tc>
          <w:tcPr>
            <w:tcW w:w="851" w:type="dxa"/>
            <w:tcBorders>
              <w:top w:val="single" w:sz="12" w:space="0" w:color="auto"/>
              <w:bottom w:val="single" w:sz="4" w:space="0" w:color="auto"/>
            </w:tcBorders>
            <w:vAlign w:val="center"/>
          </w:tcPr>
          <w:p w14:paraId="778CE587" w14:textId="01645041"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BTH</w:t>
            </w:r>
          </w:p>
          <w:p w14:paraId="734E65E0"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-50%</w:t>
            </w:r>
          </w:p>
          <w:p w14:paraId="21A729B4"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(ppbv)</w:t>
            </w:r>
          </w:p>
        </w:tc>
        <w:tc>
          <w:tcPr>
            <w:tcW w:w="708" w:type="dxa"/>
            <w:tcBorders>
              <w:top w:val="single" w:sz="12" w:space="0" w:color="auto"/>
              <w:bottom w:val="single" w:sz="4" w:space="0" w:color="auto"/>
            </w:tcBorders>
            <w:vAlign w:val="center"/>
          </w:tcPr>
          <w:p w14:paraId="24F7A473"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AOD 380</w:t>
            </w:r>
          </w:p>
          <w:p w14:paraId="4B6CA33F"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nm</w:t>
            </w:r>
          </w:p>
        </w:tc>
        <w:tc>
          <w:tcPr>
            <w:tcW w:w="851" w:type="dxa"/>
            <w:tcBorders>
              <w:top w:val="single" w:sz="12" w:space="0" w:color="auto"/>
              <w:bottom w:val="single" w:sz="4" w:space="0" w:color="auto"/>
            </w:tcBorders>
            <w:vAlign w:val="center"/>
          </w:tcPr>
          <w:p w14:paraId="21BF8F11"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AOD 440</w:t>
            </w:r>
          </w:p>
          <w:p w14:paraId="4CE03739"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nm</w:t>
            </w:r>
          </w:p>
        </w:tc>
        <w:tc>
          <w:tcPr>
            <w:tcW w:w="850" w:type="dxa"/>
            <w:tcBorders>
              <w:top w:val="single" w:sz="12" w:space="0" w:color="auto"/>
              <w:bottom w:val="single" w:sz="4" w:space="0" w:color="auto"/>
            </w:tcBorders>
            <w:vAlign w:val="center"/>
          </w:tcPr>
          <w:p w14:paraId="50B35A73"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AOD 1020</w:t>
            </w:r>
          </w:p>
          <w:p w14:paraId="0BA1D854"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nm</w:t>
            </w:r>
          </w:p>
        </w:tc>
        <w:tc>
          <w:tcPr>
            <w:tcW w:w="851" w:type="dxa"/>
            <w:tcBorders>
              <w:top w:val="single" w:sz="12" w:space="0" w:color="auto"/>
              <w:bottom w:val="single" w:sz="4" w:space="0" w:color="auto"/>
            </w:tcBorders>
            <w:vAlign w:val="center"/>
          </w:tcPr>
          <w:p w14:paraId="5AF4CD3B"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AOD 1640</w:t>
            </w:r>
          </w:p>
          <w:p w14:paraId="7C722B8B"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nm</w:t>
            </w:r>
          </w:p>
        </w:tc>
        <w:tc>
          <w:tcPr>
            <w:tcW w:w="850" w:type="dxa"/>
            <w:tcBorders>
              <w:top w:val="single" w:sz="12" w:space="0" w:color="auto"/>
              <w:bottom w:val="single" w:sz="4" w:space="0" w:color="auto"/>
            </w:tcBorders>
            <w:vAlign w:val="center"/>
          </w:tcPr>
          <w:p w14:paraId="42FD6EE7"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AAOD 440nm</w:t>
            </w:r>
          </w:p>
        </w:tc>
        <w:tc>
          <w:tcPr>
            <w:tcW w:w="851" w:type="dxa"/>
            <w:tcBorders>
              <w:top w:val="single" w:sz="12" w:space="0" w:color="auto"/>
              <w:bottom w:val="single" w:sz="4" w:space="0" w:color="auto"/>
            </w:tcBorders>
            <w:vAlign w:val="center"/>
          </w:tcPr>
          <w:p w14:paraId="0F94740E"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AAOD 1020</w:t>
            </w:r>
          </w:p>
          <w:p w14:paraId="4D34F249" w14:textId="77777777" w:rsidR="008832C4" w:rsidRPr="005741CA" w:rsidRDefault="008832C4" w:rsidP="005741CA">
            <w:pPr>
              <w:pStyle w:val="ae"/>
              <w:spacing w:before="0" w:beforeAutospacing="0" w:after="0" w:afterAutospacing="0"/>
              <w:jc w:val="center"/>
              <w:rPr>
                <w:rFonts w:asciiTheme="minorHAnsi" w:hAnsiTheme="minorHAnsi" w:cstheme="minorHAnsi"/>
                <w:b/>
                <w:bCs/>
                <w:sz w:val="20"/>
                <w:szCs w:val="20"/>
              </w:rPr>
            </w:pPr>
            <w:r w:rsidRPr="005741CA">
              <w:rPr>
                <w:rFonts w:asciiTheme="minorHAnsi" w:hAnsiTheme="minorHAnsi" w:cstheme="minorHAnsi"/>
                <w:b/>
                <w:bCs/>
                <w:sz w:val="20"/>
                <w:szCs w:val="20"/>
              </w:rPr>
              <w:t>nm</w:t>
            </w:r>
          </w:p>
        </w:tc>
      </w:tr>
      <w:tr w:rsidR="005741CA" w:rsidRPr="005741CA" w14:paraId="1745154B" w14:textId="77777777" w:rsidTr="005741CA">
        <w:tc>
          <w:tcPr>
            <w:tcW w:w="851" w:type="dxa"/>
            <w:tcBorders>
              <w:top w:val="single" w:sz="4" w:space="0" w:color="auto"/>
            </w:tcBorders>
            <w:vAlign w:val="center"/>
          </w:tcPr>
          <w:p w14:paraId="3DC3416C" w14:textId="56A6C400"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07-16 06:30</w:t>
            </w:r>
          </w:p>
        </w:tc>
        <w:tc>
          <w:tcPr>
            <w:tcW w:w="992" w:type="dxa"/>
            <w:tcBorders>
              <w:top w:val="single" w:sz="4" w:space="0" w:color="auto"/>
            </w:tcBorders>
            <w:vAlign w:val="center"/>
          </w:tcPr>
          <w:p w14:paraId="06B1A315" w14:textId="3F34801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1986</w:t>
            </w:r>
          </w:p>
        </w:tc>
        <w:tc>
          <w:tcPr>
            <w:tcW w:w="992" w:type="dxa"/>
            <w:tcBorders>
              <w:top w:val="single" w:sz="4" w:space="0" w:color="auto"/>
            </w:tcBorders>
            <w:vAlign w:val="center"/>
          </w:tcPr>
          <w:p w14:paraId="67CA14C0" w14:textId="41F1CE69"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tcBorders>
              <w:top w:val="single" w:sz="4" w:space="0" w:color="auto"/>
            </w:tcBorders>
            <w:vAlign w:val="center"/>
          </w:tcPr>
          <w:p w14:paraId="4E8AE576" w14:textId="30D731E4"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992" w:type="dxa"/>
            <w:tcBorders>
              <w:top w:val="single" w:sz="4" w:space="0" w:color="auto"/>
            </w:tcBorders>
            <w:vAlign w:val="center"/>
          </w:tcPr>
          <w:p w14:paraId="4191C64B" w14:textId="2A3BE9C9"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198</w:t>
            </w:r>
            <w:r>
              <w:rPr>
                <w:rFonts w:asciiTheme="minorHAnsi" w:hAnsiTheme="minorHAnsi" w:cstheme="minorHAnsi" w:hint="eastAsia"/>
                <w:sz w:val="20"/>
                <w:szCs w:val="20"/>
              </w:rPr>
              <w:t>3</w:t>
            </w:r>
          </w:p>
        </w:tc>
        <w:tc>
          <w:tcPr>
            <w:tcW w:w="851" w:type="dxa"/>
            <w:tcBorders>
              <w:top w:val="single" w:sz="4" w:space="0" w:color="auto"/>
            </w:tcBorders>
            <w:vAlign w:val="center"/>
          </w:tcPr>
          <w:p w14:paraId="107110B4" w14:textId="46A73579"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195</w:t>
            </w:r>
            <w:r>
              <w:rPr>
                <w:rFonts w:asciiTheme="minorHAnsi" w:hAnsiTheme="minorHAnsi" w:cstheme="minorHAnsi" w:hint="eastAsia"/>
                <w:sz w:val="20"/>
                <w:szCs w:val="20"/>
              </w:rPr>
              <w:t>9</w:t>
            </w:r>
          </w:p>
        </w:tc>
        <w:tc>
          <w:tcPr>
            <w:tcW w:w="708" w:type="dxa"/>
            <w:tcBorders>
              <w:top w:val="single" w:sz="4" w:space="0" w:color="auto"/>
            </w:tcBorders>
            <w:vAlign w:val="center"/>
          </w:tcPr>
          <w:p w14:paraId="5C9A7A9E"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tcBorders>
              <w:top w:val="single" w:sz="4" w:space="0" w:color="auto"/>
            </w:tcBorders>
            <w:vAlign w:val="center"/>
          </w:tcPr>
          <w:p w14:paraId="2D5EE634"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tcBorders>
              <w:top w:val="single" w:sz="4" w:space="0" w:color="auto"/>
            </w:tcBorders>
            <w:vAlign w:val="center"/>
          </w:tcPr>
          <w:p w14:paraId="2CB21476"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tcBorders>
              <w:top w:val="single" w:sz="4" w:space="0" w:color="auto"/>
            </w:tcBorders>
            <w:vAlign w:val="center"/>
          </w:tcPr>
          <w:p w14:paraId="46C7B5DA"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tcBorders>
              <w:top w:val="single" w:sz="4" w:space="0" w:color="auto"/>
            </w:tcBorders>
            <w:vAlign w:val="center"/>
          </w:tcPr>
          <w:p w14:paraId="769854DE"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tcBorders>
              <w:top w:val="single" w:sz="4" w:space="0" w:color="auto"/>
            </w:tcBorders>
            <w:vAlign w:val="center"/>
          </w:tcPr>
          <w:p w14:paraId="4CFCBF56"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5741CA" w:rsidRPr="005741CA" w14:paraId="428101D6" w14:textId="77777777" w:rsidTr="005741CA">
        <w:tc>
          <w:tcPr>
            <w:tcW w:w="851" w:type="dxa"/>
            <w:vAlign w:val="center"/>
          </w:tcPr>
          <w:p w14:paraId="504EA9EC" w14:textId="1E0E51D0"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07-20 00:30</w:t>
            </w:r>
          </w:p>
        </w:tc>
        <w:tc>
          <w:tcPr>
            <w:tcW w:w="992" w:type="dxa"/>
            <w:vAlign w:val="center"/>
          </w:tcPr>
          <w:p w14:paraId="74D9AE1B" w14:textId="35B2F323"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1982</w:t>
            </w:r>
          </w:p>
        </w:tc>
        <w:tc>
          <w:tcPr>
            <w:tcW w:w="992" w:type="dxa"/>
            <w:vAlign w:val="center"/>
          </w:tcPr>
          <w:p w14:paraId="5DF926CF" w14:textId="58B0A53C"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3A52CDB5" w14:textId="58F0D655"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992" w:type="dxa"/>
            <w:vAlign w:val="center"/>
          </w:tcPr>
          <w:p w14:paraId="15AA71EC" w14:textId="0165B1AD"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1975</w:t>
            </w:r>
          </w:p>
        </w:tc>
        <w:tc>
          <w:tcPr>
            <w:tcW w:w="851" w:type="dxa"/>
            <w:vAlign w:val="center"/>
          </w:tcPr>
          <w:p w14:paraId="46E1240E" w14:textId="66176055"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1976</w:t>
            </w:r>
          </w:p>
        </w:tc>
        <w:tc>
          <w:tcPr>
            <w:tcW w:w="708" w:type="dxa"/>
            <w:vAlign w:val="center"/>
          </w:tcPr>
          <w:p w14:paraId="46310534"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61A166BE"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07EF7279"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08075192"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1BD0F7B4"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3ABB6791" w14:textId="77777777" w:rsidR="005741CA" w:rsidRPr="005741CA" w:rsidRDefault="005741CA" w:rsidP="005741CA">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0A0EA0" w:rsidRPr="005741CA" w14:paraId="5B5297A5" w14:textId="77777777" w:rsidTr="005741CA">
        <w:tc>
          <w:tcPr>
            <w:tcW w:w="851" w:type="dxa"/>
            <w:vAlign w:val="center"/>
          </w:tcPr>
          <w:p w14:paraId="6A30589D" w14:textId="043CB2E4"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07-26 09:00</w:t>
            </w:r>
          </w:p>
        </w:tc>
        <w:tc>
          <w:tcPr>
            <w:tcW w:w="992" w:type="dxa"/>
            <w:vAlign w:val="center"/>
          </w:tcPr>
          <w:p w14:paraId="5BC47220" w14:textId="2070DFF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1969</w:t>
            </w:r>
          </w:p>
        </w:tc>
        <w:tc>
          <w:tcPr>
            <w:tcW w:w="992" w:type="dxa"/>
            <w:vAlign w:val="center"/>
          </w:tcPr>
          <w:p w14:paraId="1A5B0F77" w14:textId="7B08968A"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w:t>
            </w:r>
            <w:r>
              <w:rPr>
                <w:rFonts w:asciiTheme="minorHAnsi" w:hAnsiTheme="minorHAnsi" w:cstheme="minorHAnsi" w:hint="eastAsia"/>
                <w:color w:val="000000"/>
                <w:sz w:val="20"/>
                <w:szCs w:val="20"/>
              </w:rPr>
              <w:t>60</w:t>
            </w:r>
          </w:p>
        </w:tc>
        <w:tc>
          <w:tcPr>
            <w:tcW w:w="851" w:type="dxa"/>
            <w:vAlign w:val="center"/>
          </w:tcPr>
          <w:p w14:paraId="326D19E7" w14:textId="22B80FA4"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1965</w:t>
            </w:r>
          </w:p>
        </w:tc>
        <w:tc>
          <w:tcPr>
            <w:tcW w:w="992" w:type="dxa"/>
            <w:vAlign w:val="center"/>
          </w:tcPr>
          <w:p w14:paraId="1E878C4F" w14:textId="0F2D1BE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1974</w:t>
            </w:r>
          </w:p>
        </w:tc>
        <w:tc>
          <w:tcPr>
            <w:tcW w:w="851" w:type="dxa"/>
            <w:vAlign w:val="center"/>
          </w:tcPr>
          <w:p w14:paraId="511E80EC" w14:textId="69E5C6C2"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196</w:t>
            </w:r>
            <w:r>
              <w:rPr>
                <w:rFonts w:asciiTheme="minorHAnsi" w:hAnsiTheme="minorHAnsi" w:cstheme="minorHAnsi" w:hint="eastAsia"/>
                <w:sz w:val="20"/>
                <w:szCs w:val="20"/>
              </w:rPr>
              <w:t>7</w:t>
            </w:r>
          </w:p>
        </w:tc>
        <w:tc>
          <w:tcPr>
            <w:tcW w:w="708" w:type="dxa"/>
            <w:vAlign w:val="center"/>
          </w:tcPr>
          <w:p w14:paraId="1A44CFDA" w14:textId="7412DEC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1.30</w:t>
            </w:r>
          </w:p>
        </w:tc>
        <w:tc>
          <w:tcPr>
            <w:tcW w:w="851" w:type="dxa"/>
            <w:vAlign w:val="center"/>
          </w:tcPr>
          <w:p w14:paraId="5CE6AA2C" w14:textId="2EC06E8A"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1.15</w:t>
            </w:r>
          </w:p>
        </w:tc>
        <w:tc>
          <w:tcPr>
            <w:tcW w:w="850" w:type="dxa"/>
            <w:vAlign w:val="center"/>
          </w:tcPr>
          <w:p w14:paraId="181B3ADF" w14:textId="44809BA0"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0.311</w:t>
            </w:r>
          </w:p>
        </w:tc>
        <w:tc>
          <w:tcPr>
            <w:tcW w:w="851" w:type="dxa"/>
            <w:vAlign w:val="center"/>
          </w:tcPr>
          <w:p w14:paraId="67AE2B2A" w14:textId="50DCBD6D"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0.119</w:t>
            </w:r>
          </w:p>
        </w:tc>
        <w:tc>
          <w:tcPr>
            <w:tcW w:w="850" w:type="dxa"/>
            <w:vAlign w:val="center"/>
          </w:tcPr>
          <w:p w14:paraId="1FBAE644" w14:textId="41DE6E9C"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0.018</w:t>
            </w:r>
          </w:p>
        </w:tc>
        <w:tc>
          <w:tcPr>
            <w:tcW w:w="851" w:type="dxa"/>
            <w:vAlign w:val="center"/>
          </w:tcPr>
          <w:p w14:paraId="602089C8" w14:textId="58050BA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0.0065</w:t>
            </w:r>
          </w:p>
        </w:tc>
      </w:tr>
      <w:tr w:rsidR="000A0EA0" w:rsidRPr="005741CA" w14:paraId="4ED93C65" w14:textId="77777777" w:rsidTr="005741CA">
        <w:tc>
          <w:tcPr>
            <w:tcW w:w="851" w:type="dxa"/>
            <w:vAlign w:val="center"/>
          </w:tcPr>
          <w:p w14:paraId="0A90748E" w14:textId="1CD71C8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lastRenderedPageBreak/>
              <w:t>08-02 01:00</w:t>
            </w:r>
          </w:p>
        </w:tc>
        <w:tc>
          <w:tcPr>
            <w:tcW w:w="992" w:type="dxa"/>
            <w:vAlign w:val="center"/>
          </w:tcPr>
          <w:p w14:paraId="62D4165E" w14:textId="72A108D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1975</w:t>
            </w:r>
          </w:p>
        </w:tc>
        <w:tc>
          <w:tcPr>
            <w:tcW w:w="992" w:type="dxa"/>
            <w:vAlign w:val="center"/>
          </w:tcPr>
          <w:p w14:paraId="7D6B097C" w14:textId="104CBA12"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1981</w:t>
            </w:r>
          </w:p>
        </w:tc>
        <w:tc>
          <w:tcPr>
            <w:tcW w:w="851" w:type="dxa"/>
            <w:vAlign w:val="center"/>
          </w:tcPr>
          <w:p w14:paraId="0E57C51F" w14:textId="59835CAF"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1994</w:t>
            </w:r>
          </w:p>
        </w:tc>
        <w:tc>
          <w:tcPr>
            <w:tcW w:w="992" w:type="dxa"/>
            <w:vAlign w:val="center"/>
          </w:tcPr>
          <w:p w14:paraId="5831FF77" w14:textId="10B5C9E2"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2021</w:t>
            </w:r>
          </w:p>
        </w:tc>
        <w:tc>
          <w:tcPr>
            <w:tcW w:w="851" w:type="dxa"/>
            <w:vAlign w:val="center"/>
          </w:tcPr>
          <w:p w14:paraId="112263D5" w14:textId="382645A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1951</w:t>
            </w:r>
          </w:p>
        </w:tc>
        <w:tc>
          <w:tcPr>
            <w:tcW w:w="708" w:type="dxa"/>
            <w:vAlign w:val="center"/>
          </w:tcPr>
          <w:p w14:paraId="6F5C8F8F" w14:textId="549D77D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1.68</w:t>
            </w:r>
          </w:p>
        </w:tc>
        <w:tc>
          <w:tcPr>
            <w:tcW w:w="851" w:type="dxa"/>
            <w:vAlign w:val="center"/>
          </w:tcPr>
          <w:p w14:paraId="4CFC4F18" w14:textId="380B28F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1.54</w:t>
            </w:r>
          </w:p>
        </w:tc>
        <w:tc>
          <w:tcPr>
            <w:tcW w:w="850" w:type="dxa"/>
            <w:vAlign w:val="center"/>
          </w:tcPr>
          <w:p w14:paraId="06732629" w14:textId="1F2FEFAA"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0.542</w:t>
            </w:r>
          </w:p>
        </w:tc>
        <w:tc>
          <w:tcPr>
            <w:tcW w:w="851" w:type="dxa"/>
            <w:vAlign w:val="center"/>
          </w:tcPr>
          <w:p w14:paraId="0A8BAF97" w14:textId="0D0A155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0.248</w:t>
            </w:r>
          </w:p>
        </w:tc>
        <w:tc>
          <w:tcPr>
            <w:tcW w:w="850" w:type="dxa"/>
            <w:vAlign w:val="center"/>
          </w:tcPr>
          <w:p w14:paraId="2BDBEC47" w14:textId="56E26AFF"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2F043104" w14:textId="472FAD2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0A0EA0" w:rsidRPr="005741CA" w14:paraId="54702619" w14:textId="77777777" w:rsidTr="005741CA">
        <w:tc>
          <w:tcPr>
            <w:tcW w:w="851" w:type="dxa"/>
            <w:vAlign w:val="center"/>
          </w:tcPr>
          <w:p w14:paraId="7EEED5A4" w14:textId="56F9EF6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08-04 02:00</w:t>
            </w:r>
          </w:p>
        </w:tc>
        <w:tc>
          <w:tcPr>
            <w:tcW w:w="992" w:type="dxa"/>
            <w:vAlign w:val="center"/>
          </w:tcPr>
          <w:p w14:paraId="2B86E473" w14:textId="0AB6856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2008</w:t>
            </w:r>
          </w:p>
        </w:tc>
        <w:tc>
          <w:tcPr>
            <w:tcW w:w="992" w:type="dxa"/>
            <w:vAlign w:val="center"/>
          </w:tcPr>
          <w:p w14:paraId="70F6CA98" w14:textId="6F5479A3"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1972</w:t>
            </w:r>
          </w:p>
        </w:tc>
        <w:tc>
          <w:tcPr>
            <w:tcW w:w="851" w:type="dxa"/>
            <w:vAlign w:val="center"/>
          </w:tcPr>
          <w:p w14:paraId="46C7199C" w14:textId="1F878CC1"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1976</w:t>
            </w:r>
          </w:p>
        </w:tc>
        <w:tc>
          <w:tcPr>
            <w:tcW w:w="992" w:type="dxa"/>
            <w:vAlign w:val="center"/>
          </w:tcPr>
          <w:p w14:paraId="5F2E6131" w14:textId="2CC3622F"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194</w:t>
            </w:r>
            <w:r>
              <w:rPr>
                <w:rFonts w:asciiTheme="minorHAnsi" w:hAnsiTheme="minorHAnsi" w:cstheme="minorHAnsi" w:hint="eastAsia"/>
                <w:sz w:val="20"/>
                <w:szCs w:val="20"/>
              </w:rPr>
              <w:t>7</w:t>
            </w:r>
          </w:p>
        </w:tc>
        <w:tc>
          <w:tcPr>
            <w:tcW w:w="851" w:type="dxa"/>
            <w:vAlign w:val="center"/>
          </w:tcPr>
          <w:p w14:paraId="115387BE" w14:textId="079E23F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1960</w:t>
            </w:r>
          </w:p>
        </w:tc>
        <w:tc>
          <w:tcPr>
            <w:tcW w:w="708" w:type="dxa"/>
            <w:vAlign w:val="center"/>
          </w:tcPr>
          <w:p w14:paraId="4C8B4FED" w14:textId="0B1275F5"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2.42</w:t>
            </w:r>
          </w:p>
        </w:tc>
        <w:tc>
          <w:tcPr>
            <w:tcW w:w="851" w:type="dxa"/>
            <w:vAlign w:val="center"/>
          </w:tcPr>
          <w:p w14:paraId="17861104" w14:textId="5E43E1BD"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2.28</w:t>
            </w:r>
          </w:p>
        </w:tc>
        <w:tc>
          <w:tcPr>
            <w:tcW w:w="850" w:type="dxa"/>
            <w:vAlign w:val="center"/>
          </w:tcPr>
          <w:p w14:paraId="0D4778BC" w14:textId="6D37F02A"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0.838</w:t>
            </w:r>
          </w:p>
        </w:tc>
        <w:tc>
          <w:tcPr>
            <w:tcW w:w="851" w:type="dxa"/>
            <w:vAlign w:val="center"/>
          </w:tcPr>
          <w:p w14:paraId="09EF7335" w14:textId="160579AA"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0.333</w:t>
            </w:r>
          </w:p>
        </w:tc>
        <w:tc>
          <w:tcPr>
            <w:tcW w:w="850" w:type="dxa"/>
            <w:vAlign w:val="center"/>
          </w:tcPr>
          <w:p w14:paraId="4223607E" w14:textId="6B1932B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62398A01" w14:textId="40BB8D04"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0A0EA0" w:rsidRPr="005741CA" w14:paraId="6EBE668E" w14:textId="77777777" w:rsidTr="005741CA">
        <w:tc>
          <w:tcPr>
            <w:tcW w:w="851" w:type="dxa"/>
            <w:vAlign w:val="center"/>
          </w:tcPr>
          <w:p w14:paraId="6D726FD6" w14:textId="3C48A0F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08-07 05:30</w:t>
            </w:r>
          </w:p>
        </w:tc>
        <w:tc>
          <w:tcPr>
            <w:tcW w:w="992" w:type="dxa"/>
            <w:vAlign w:val="center"/>
          </w:tcPr>
          <w:p w14:paraId="5A394E04" w14:textId="54076DF9"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w:t>
            </w:r>
            <w:r>
              <w:rPr>
                <w:rFonts w:asciiTheme="minorHAnsi" w:hAnsiTheme="minorHAnsi" w:cstheme="minorHAnsi" w:hint="eastAsia"/>
                <w:color w:val="000000"/>
                <w:sz w:val="20"/>
                <w:szCs w:val="20"/>
              </w:rPr>
              <w:t>90</w:t>
            </w:r>
          </w:p>
        </w:tc>
        <w:tc>
          <w:tcPr>
            <w:tcW w:w="992" w:type="dxa"/>
            <w:vAlign w:val="center"/>
          </w:tcPr>
          <w:p w14:paraId="6372D13C" w14:textId="27C96423"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46D1C636" w14:textId="285DB394"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992" w:type="dxa"/>
            <w:vAlign w:val="center"/>
          </w:tcPr>
          <w:p w14:paraId="78ADD02B" w14:textId="0E0A8E64"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205</w:t>
            </w:r>
            <w:r>
              <w:rPr>
                <w:rFonts w:asciiTheme="minorHAnsi" w:hAnsiTheme="minorHAnsi" w:cstheme="minorHAnsi" w:hint="eastAsia"/>
                <w:sz w:val="20"/>
                <w:szCs w:val="20"/>
              </w:rPr>
              <w:t>1</w:t>
            </w:r>
          </w:p>
        </w:tc>
        <w:tc>
          <w:tcPr>
            <w:tcW w:w="851" w:type="dxa"/>
            <w:vAlign w:val="center"/>
          </w:tcPr>
          <w:p w14:paraId="3F17F78F" w14:textId="51410DE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1970</w:t>
            </w:r>
          </w:p>
        </w:tc>
        <w:tc>
          <w:tcPr>
            <w:tcW w:w="708" w:type="dxa"/>
            <w:vAlign w:val="center"/>
          </w:tcPr>
          <w:p w14:paraId="1580FF32" w14:textId="4780248A" w:rsidR="000A0EA0" w:rsidRPr="005741CA" w:rsidRDefault="0038270D"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10CAD744" w14:textId="4CCCAD1A"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50B104B9" w14:textId="6319A89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320F0FD0" w14:textId="6A669DFF"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06DE79E7" w14:textId="7DC82F5A"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1FF75681" w14:textId="03CD893C"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0A0EA0" w:rsidRPr="005741CA" w14:paraId="28C80DE9" w14:textId="77777777" w:rsidTr="005741CA">
        <w:tc>
          <w:tcPr>
            <w:tcW w:w="851" w:type="dxa"/>
            <w:vAlign w:val="center"/>
          </w:tcPr>
          <w:p w14:paraId="197151AB" w14:textId="52FE0370"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08-13 01:30</w:t>
            </w:r>
          </w:p>
        </w:tc>
        <w:tc>
          <w:tcPr>
            <w:tcW w:w="992" w:type="dxa"/>
            <w:vAlign w:val="center"/>
          </w:tcPr>
          <w:p w14:paraId="2B56DF2B" w14:textId="1473625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196</w:t>
            </w:r>
            <w:r>
              <w:rPr>
                <w:rFonts w:asciiTheme="minorHAnsi" w:hAnsiTheme="minorHAnsi" w:cstheme="minorHAnsi" w:hint="eastAsia"/>
                <w:color w:val="000000"/>
                <w:sz w:val="20"/>
                <w:szCs w:val="20"/>
              </w:rPr>
              <w:t>4</w:t>
            </w:r>
          </w:p>
        </w:tc>
        <w:tc>
          <w:tcPr>
            <w:tcW w:w="992" w:type="dxa"/>
            <w:vAlign w:val="center"/>
          </w:tcPr>
          <w:p w14:paraId="3EBC4A7D" w14:textId="7BDB3AE3"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58827D64" w14:textId="52418CD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992" w:type="dxa"/>
            <w:vAlign w:val="center"/>
          </w:tcPr>
          <w:p w14:paraId="21115952" w14:textId="36539D41"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w:t>
            </w:r>
            <w:r>
              <w:rPr>
                <w:rFonts w:asciiTheme="minorHAnsi" w:hAnsiTheme="minorHAnsi" w:cstheme="minorHAnsi" w:hint="eastAsia"/>
                <w:sz w:val="20"/>
                <w:szCs w:val="20"/>
              </w:rPr>
              <w:t>70</w:t>
            </w:r>
          </w:p>
        </w:tc>
        <w:tc>
          <w:tcPr>
            <w:tcW w:w="851" w:type="dxa"/>
            <w:vAlign w:val="center"/>
          </w:tcPr>
          <w:p w14:paraId="319C5929" w14:textId="7B872CAD"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194</w:t>
            </w:r>
            <w:r>
              <w:rPr>
                <w:rFonts w:asciiTheme="minorHAnsi" w:hAnsiTheme="minorHAnsi" w:cstheme="minorHAnsi" w:hint="eastAsia"/>
                <w:sz w:val="20"/>
                <w:szCs w:val="20"/>
              </w:rPr>
              <w:t>3</w:t>
            </w:r>
          </w:p>
        </w:tc>
        <w:tc>
          <w:tcPr>
            <w:tcW w:w="708" w:type="dxa"/>
            <w:vAlign w:val="center"/>
          </w:tcPr>
          <w:p w14:paraId="5615407A" w14:textId="17C95D94"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08576636" w14:textId="2317A36D"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1BF8C996" w14:textId="5CE549F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325A3A2A" w14:textId="63535980"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4A76195A" w14:textId="0F9D7C5D"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2FB75F19" w14:textId="27B8AEBD"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0A0EA0" w:rsidRPr="005741CA" w14:paraId="4C76AAED" w14:textId="77777777" w:rsidTr="005741CA">
        <w:tc>
          <w:tcPr>
            <w:tcW w:w="851" w:type="dxa"/>
            <w:vAlign w:val="center"/>
          </w:tcPr>
          <w:p w14:paraId="1DCA7698" w14:textId="6511B5A5"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08-17 06:30</w:t>
            </w:r>
          </w:p>
        </w:tc>
        <w:tc>
          <w:tcPr>
            <w:tcW w:w="992" w:type="dxa"/>
            <w:vAlign w:val="center"/>
          </w:tcPr>
          <w:p w14:paraId="7B345B9D" w14:textId="38A206D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1973</w:t>
            </w:r>
          </w:p>
        </w:tc>
        <w:tc>
          <w:tcPr>
            <w:tcW w:w="992" w:type="dxa"/>
            <w:vAlign w:val="center"/>
          </w:tcPr>
          <w:p w14:paraId="22AB914B" w14:textId="236D8FE9"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2AF1BC72" w14:textId="76EAA490"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992" w:type="dxa"/>
            <w:vAlign w:val="center"/>
          </w:tcPr>
          <w:p w14:paraId="16D71EDC" w14:textId="45C60462"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196</w:t>
            </w:r>
            <w:r>
              <w:rPr>
                <w:rFonts w:asciiTheme="minorHAnsi" w:hAnsiTheme="minorHAnsi" w:cstheme="minorHAnsi" w:hint="eastAsia"/>
                <w:sz w:val="20"/>
                <w:szCs w:val="20"/>
              </w:rPr>
              <w:t>2</w:t>
            </w:r>
          </w:p>
        </w:tc>
        <w:tc>
          <w:tcPr>
            <w:tcW w:w="851" w:type="dxa"/>
            <w:vAlign w:val="center"/>
          </w:tcPr>
          <w:p w14:paraId="55C78F4C" w14:textId="7E07D62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194</w:t>
            </w:r>
            <w:r>
              <w:rPr>
                <w:rFonts w:asciiTheme="minorHAnsi" w:hAnsiTheme="minorHAnsi" w:cstheme="minorHAnsi" w:hint="eastAsia"/>
                <w:sz w:val="20"/>
                <w:szCs w:val="20"/>
              </w:rPr>
              <w:t>0</w:t>
            </w:r>
          </w:p>
        </w:tc>
        <w:tc>
          <w:tcPr>
            <w:tcW w:w="708" w:type="dxa"/>
            <w:vAlign w:val="center"/>
          </w:tcPr>
          <w:p w14:paraId="63D14B59"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6F446F05"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2F63FCEB"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29EA7EA4"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2409270E"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0E2C16E3"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0A0EA0" w:rsidRPr="005741CA" w14:paraId="0E1C7943" w14:textId="77777777" w:rsidTr="005741CA">
        <w:tc>
          <w:tcPr>
            <w:tcW w:w="851" w:type="dxa"/>
            <w:vAlign w:val="center"/>
          </w:tcPr>
          <w:p w14:paraId="7F88233B" w14:textId="4FCD28C9"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color w:val="000000"/>
                <w:sz w:val="20"/>
                <w:szCs w:val="20"/>
              </w:rPr>
              <w:t>09-10 03:00</w:t>
            </w:r>
          </w:p>
        </w:tc>
        <w:tc>
          <w:tcPr>
            <w:tcW w:w="992" w:type="dxa"/>
            <w:vAlign w:val="center"/>
          </w:tcPr>
          <w:p w14:paraId="24BC862C" w14:textId="7AB5961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1978</w:t>
            </w:r>
          </w:p>
        </w:tc>
        <w:tc>
          <w:tcPr>
            <w:tcW w:w="992" w:type="dxa"/>
            <w:vAlign w:val="center"/>
          </w:tcPr>
          <w:p w14:paraId="6F7403A6" w14:textId="2EA405CF"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1949</w:t>
            </w:r>
          </w:p>
        </w:tc>
        <w:tc>
          <w:tcPr>
            <w:tcW w:w="851" w:type="dxa"/>
            <w:vAlign w:val="center"/>
          </w:tcPr>
          <w:p w14:paraId="50BCE3F3" w14:textId="6E8E616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1989</w:t>
            </w:r>
          </w:p>
        </w:tc>
        <w:tc>
          <w:tcPr>
            <w:tcW w:w="992" w:type="dxa"/>
            <w:vAlign w:val="center"/>
          </w:tcPr>
          <w:p w14:paraId="7981C9CD" w14:textId="62584D0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198</w:t>
            </w:r>
            <w:r>
              <w:rPr>
                <w:rFonts w:asciiTheme="minorHAnsi" w:hAnsiTheme="minorHAnsi" w:cstheme="minorHAnsi" w:hint="eastAsia"/>
                <w:sz w:val="20"/>
                <w:szCs w:val="20"/>
              </w:rPr>
              <w:t>8</w:t>
            </w:r>
          </w:p>
        </w:tc>
        <w:tc>
          <w:tcPr>
            <w:tcW w:w="851" w:type="dxa"/>
            <w:vAlign w:val="center"/>
          </w:tcPr>
          <w:p w14:paraId="0327A63A" w14:textId="3D417C75"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w:t>
            </w:r>
            <w:r>
              <w:rPr>
                <w:rFonts w:asciiTheme="minorHAnsi" w:hAnsiTheme="minorHAnsi" w:cstheme="minorHAnsi" w:hint="eastAsia"/>
                <w:sz w:val="20"/>
                <w:szCs w:val="20"/>
              </w:rPr>
              <w:t>60</w:t>
            </w:r>
          </w:p>
        </w:tc>
        <w:tc>
          <w:tcPr>
            <w:tcW w:w="708" w:type="dxa"/>
            <w:vAlign w:val="center"/>
          </w:tcPr>
          <w:p w14:paraId="2320B027" w14:textId="68AD074E"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38127AAC" w14:textId="3F81E561"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37F8F34C" w14:textId="2499FFBB"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649A8A24" w14:textId="35B1E0FD"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17B277A0" w14:textId="1CEC3896"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34A3E1DC" w14:textId="1282CC40"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r w:rsidR="000A0EA0" w:rsidRPr="005741CA" w14:paraId="7144702F" w14:textId="77777777" w:rsidTr="005741CA">
        <w:tc>
          <w:tcPr>
            <w:tcW w:w="851" w:type="dxa"/>
            <w:vAlign w:val="center"/>
          </w:tcPr>
          <w:p w14:paraId="28E42FC6"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09-12 8:00</w:t>
            </w:r>
          </w:p>
        </w:tc>
        <w:tc>
          <w:tcPr>
            <w:tcW w:w="992" w:type="dxa"/>
            <w:vAlign w:val="center"/>
          </w:tcPr>
          <w:p w14:paraId="5509830A"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1963</w:t>
            </w:r>
          </w:p>
        </w:tc>
        <w:tc>
          <w:tcPr>
            <w:tcW w:w="992" w:type="dxa"/>
            <w:vAlign w:val="center"/>
          </w:tcPr>
          <w:p w14:paraId="68F4F4BE"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1935</w:t>
            </w:r>
          </w:p>
        </w:tc>
        <w:tc>
          <w:tcPr>
            <w:tcW w:w="851" w:type="dxa"/>
            <w:vAlign w:val="center"/>
          </w:tcPr>
          <w:p w14:paraId="185DFC43"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1945</w:t>
            </w:r>
          </w:p>
        </w:tc>
        <w:tc>
          <w:tcPr>
            <w:tcW w:w="992" w:type="dxa"/>
            <w:vAlign w:val="center"/>
          </w:tcPr>
          <w:p w14:paraId="68A344A5" w14:textId="1F669593"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1965</w:t>
            </w:r>
          </w:p>
        </w:tc>
        <w:tc>
          <w:tcPr>
            <w:tcW w:w="851" w:type="dxa"/>
            <w:vAlign w:val="center"/>
          </w:tcPr>
          <w:p w14:paraId="5A8D5185" w14:textId="18B8FF44"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1932</w:t>
            </w:r>
          </w:p>
        </w:tc>
        <w:tc>
          <w:tcPr>
            <w:tcW w:w="708" w:type="dxa"/>
            <w:vAlign w:val="center"/>
          </w:tcPr>
          <w:p w14:paraId="7A7D4483"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32BA56B1"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319C9CF1"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603D9ED1"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0" w:type="dxa"/>
            <w:vAlign w:val="center"/>
          </w:tcPr>
          <w:p w14:paraId="3702ACE4"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c>
          <w:tcPr>
            <w:tcW w:w="851" w:type="dxa"/>
            <w:vAlign w:val="center"/>
          </w:tcPr>
          <w:p w14:paraId="7CAF6F0E" w14:textId="77777777" w:rsidR="000A0EA0" w:rsidRPr="005741CA" w:rsidRDefault="000A0EA0" w:rsidP="000A0EA0">
            <w:pPr>
              <w:pStyle w:val="ae"/>
              <w:spacing w:before="0" w:beforeAutospacing="0" w:after="0" w:afterAutospacing="0"/>
              <w:jc w:val="center"/>
              <w:rPr>
                <w:rFonts w:asciiTheme="minorHAnsi" w:hAnsiTheme="minorHAnsi" w:cstheme="minorHAnsi"/>
                <w:sz w:val="20"/>
                <w:szCs w:val="20"/>
              </w:rPr>
            </w:pPr>
            <w:r w:rsidRPr="005741CA">
              <w:rPr>
                <w:rFonts w:asciiTheme="minorHAnsi" w:hAnsiTheme="minorHAnsi" w:cstheme="minorHAnsi"/>
                <w:sz w:val="20"/>
                <w:szCs w:val="20"/>
              </w:rPr>
              <w:t>—</w:t>
            </w:r>
          </w:p>
        </w:tc>
      </w:tr>
    </w:tbl>
    <w:p w14:paraId="012AD8EE" w14:textId="161E57ED" w:rsidR="0070738D" w:rsidRPr="00FF7AD6" w:rsidRDefault="0070738D" w:rsidP="00FF7AD6">
      <w:pPr>
        <w:pStyle w:val="ae"/>
        <w:spacing w:line="360" w:lineRule="auto"/>
        <w:rPr>
          <w:rFonts w:ascii="Arial" w:hAnsi="Arial" w:cs="Arial"/>
          <w:sz w:val="22"/>
          <w:szCs w:val="22"/>
        </w:rPr>
      </w:pPr>
      <w:r w:rsidRPr="0070738D">
        <w:rPr>
          <w:rFonts w:ascii="Arial" w:hAnsi="Arial" w:cs="Arial"/>
          <w:b/>
          <w:bCs/>
          <w:sz w:val="22"/>
          <w:szCs w:val="22"/>
          <w:lang w:val="en-SG"/>
        </w:rPr>
        <w:t>Aerosol co-transport characterization.</w:t>
      </w:r>
      <w:r w:rsidRPr="0070738D">
        <w:rPr>
          <w:rFonts w:ascii="Arial" w:hAnsi="Arial" w:cs="Arial"/>
          <w:sz w:val="22"/>
          <w:szCs w:val="22"/>
          <w:lang w:val="en-SG"/>
        </w:rPr>
        <w:t xml:space="preserve"> AERONET Level 2.0 direct-sun AOD and AAOD retrievals at Xianghe are reported alongside the peak event statistics in Supplementary Tables S2 and S3. AOD data are unavailable for three July events (07-16, 07-20, and 07-26 in Table S2; 07-16 and 07-20 in Table S3) owing to cloud cover during the measurement window, a standard data gap in sun photometer retrievals; their absence does not affect the peak reproduction statistics. </w:t>
      </w:r>
      <w:r w:rsidR="00C22724" w:rsidRPr="00C22724">
        <w:rPr>
          <w:rFonts w:ascii="Arial" w:hAnsi="Arial" w:cs="Arial"/>
          <w:sz w:val="22"/>
          <w:szCs w:val="22"/>
          <w:lang w:val="en-SG"/>
        </w:rPr>
        <w:t>For events with available retrievals, AOD440 spans approximately 0.48 to 2.28, with the two strongest early-August peaks (2 and 4 August) coinciding with the highest aerosol loading (AOD440 up to 2.28). This co-occurrence is consistent with co-transport of methane and aerosol precursors from Shanxi industrial sources under the same southwesterly circulation, although the weaker aerosol enhancement at several later peaks indicates that elevated AOD accompanies the most intense transport episodes specifically rather than every peak.</w:t>
      </w:r>
      <w:r w:rsidR="00C22724">
        <w:rPr>
          <w:rFonts w:ascii="Arial" w:hAnsi="Arial" w:cs="Arial"/>
          <w:sz w:val="22"/>
          <w:szCs w:val="22"/>
          <w:lang w:val="en-SG"/>
        </w:rPr>
        <w:t xml:space="preserve"> </w:t>
      </w:r>
      <w:r w:rsidR="003C7CFA" w:rsidRPr="003C7CFA">
        <w:rPr>
          <w:rFonts w:ascii="Arial" w:hAnsi="Arial" w:cs="Arial"/>
          <w:sz w:val="22"/>
          <w:szCs w:val="22"/>
          <w:lang w:val="en-SG"/>
        </w:rPr>
        <w:t>AAOD</w:t>
      </w:r>
      <w:r w:rsidR="003C7CFA" w:rsidRPr="003C7CFA">
        <w:rPr>
          <w:rFonts w:ascii="Arial" w:hAnsi="Arial" w:cs="Arial"/>
          <w:sz w:val="22"/>
          <w:szCs w:val="22"/>
          <w:vertAlign w:val="subscript"/>
          <w:lang w:val="en-SG"/>
        </w:rPr>
        <w:t>440</w:t>
      </w:r>
      <w:r w:rsidR="003C7CFA" w:rsidRPr="003C7CFA">
        <w:rPr>
          <w:rFonts w:ascii="Arial" w:hAnsi="Arial" w:cs="Arial"/>
          <w:sz w:val="22"/>
          <w:szCs w:val="22"/>
          <w:lang w:val="en-SG"/>
        </w:rPr>
        <w:t xml:space="preserve"> = 0.018 and AAOD</w:t>
      </w:r>
      <w:r w:rsidR="003C7CFA" w:rsidRPr="003C7CFA">
        <w:rPr>
          <w:rFonts w:ascii="Arial" w:hAnsi="Arial" w:cs="Arial"/>
          <w:sz w:val="22"/>
          <w:szCs w:val="22"/>
          <w:vertAlign w:val="subscript"/>
          <w:lang w:val="en-SG"/>
        </w:rPr>
        <w:t>1020</w:t>
      </w:r>
      <w:r w:rsidR="003C7CFA" w:rsidRPr="003C7CFA">
        <w:rPr>
          <w:rFonts w:ascii="Arial" w:hAnsi="Arial" w:cs="Arial"/>
          <w:sz w:val="22"/>
          <w:szCs w:val="22"/>
          <w:lang w:val="en-SG"/>
        </w:rPr>
        <w:t xml:space="preserve"> = 0.0065 at 07-26</w:t>
      </w:r>
      <w:r w:rsidRPr="0070738D">
        <w:rPr>
          <w:rFonts w:ascii="Arial" w:hAnsi="Arial" w:cs="Arial"/>
          <w:sz w:val="22"/>
          <w:szCs w:val="22"/>
          <w:lang w:val="en-SG"/>
        </w:rPr>
        <w:t xml:space="preserve"> indicate the presence of absorbing aerosol, which may introduce minor positive biases in TCCON XCH</w:t>
      </w:r>
      <w:r w:rsidRPr="0070738D">
        <w:rPr>
          <w:rFonts w:ascii="Arial" w:hAnsi="Arial" w:cs="Arial"/>
          <w:sz w:val="22"/>
          <w:szCs w:val="22"/>
          <w:vertAlign w:val="subscript"/>
          <w:lang w:val="en-SG"/>
        </w:rPr>
        <w:t>4</w:t>
      </w:r>
      <w:r w:rsidRPr="0070738D">
        <w:rPr>
          <w:rFonts w:ascii="Arial" w:hAnsi="Arial" w:cs="Arial"/>
          <w:sz w:val="22"/>
          <w:szCs w:val="22"/>
          <w:lang w:val="en-SG"/>
        </w:rPr>
        <w:t xml:space="preserve"> retrievals at the individual event level.</w:t>
      </w:r>
    </w:p>
    <w:p w14:paraId="2891B48C" w14:textId="2E68E33C" w:rsidR="0083375E" w:rsidRPr="0083375E" w:rsidRDefault="00B90160" w:rsidP="00B90160">
      <w:pPr>
        <w:pStyle w:val="ae"/>
        <w:spacing w:after="0" w:afterAutospacing="0"/>
        <w:rPr>
          <w:rFonts w:ascii="Arial" w:hAnsi="Arial" w:cs="Arial"/>
          <w:b/>
          <w:bCs/>
          <w:sz w:val="22"/>
          <w:szCs w:val="22"/>
        </w:rPr>
      </w:pPr>
      <w:r>
        <w:rPr>
          <w:rFonts w:ascii="Arial" w:hAnsi="Arial" w:cs="Arial"/>
          <w:b/>
          <w:bCs/>
          <w:noProof/>
          <w:sz w:val="22"/>
          <w:szCs w:val="22"/>
        </w:rPr>
        <w:lastRenderedPageBreak/>
        <w:drawing>
          <wp:inline distT="0" distB="0" distL="0" distR="0" wp14:anchorId="08E24BF2" wp14:editId="0C16D1EC">
            <wp:extent cx="5943600" cy="2496820"/>
            <wp:effectExtent l="0" t="0" r="0" b="0"/>
            <wp:docPr id="1812307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07918" name="Picture 1812307918"/>
                    <pic:cNvPicPr/>
                  </pic:nvPicPr>
                  <pic:blipFill>
                    <a:blip r:embed="rId15"/>
                    <a:stretch>
                      <a:fillRect/>
                    </a:stretch>
                  </pic:blipFill>
                  <pic:spPr>
                    <a:xfrm>
                      <a:off x="0" y="0"/>
                      <a:ext cx="5943600" cy="2496820"/>
                    </a:xfrm>
                    <a:prstGeom prst="rect">
                      <a:avLst/>
                    </a:prstGeom>
                  </pic:spPr>
                </pic:pic>
              </a:graphicData>
            </a:graphic>
          </wp:inline>
        </w:drawing>
      </w:r>
    </w:p>
    <w:p w14:paraId="1B124538" w14:textId="4E267E7C" w:rsidR="0083375E" w:rsidRPr="00546686" w:rsidRDefault="0083375E" w:rsidP="00E9585B">
      <w:pPr>
        <w:pStyle w:val="a3"/>
        <w:widowControl w:val="0"/>
        <w:spacing w:line="276" w:lineRule="auto"/>
        <w:jc w:val="both"/>
        <w:outlineLvl w:val="1"/>
        <w:rPr>
          <w:rFonts w:asciiTheme="minorHAnsi" w:hAnsiTheme="minorHAnsi" w:cstheme="minorHAnsi"/>
          <w:color w:val="000000" w:themeColor="text1"/>
          <w:kern w:val="2"/>
          <w:sz w:val="22"/>
          <w:szCs w:val="22"/>
        </w:rPr>
      </w:pPr>
      <w:bookmarkStart w:id="10" w:name="OLE_LINK63"/>
      <w:r w:rsidRPr="00BF2AF8">
        <w:rPr>
          <w:rFonts w:asciiTheme="minorHAnsi" w:hAnsiTheme="minorHAnsi" w:cstheme="minorHAnsi"/>
          <w:b/>
          <w:bCs/>
          <w:color w:val="000000" w:themeColor="text1"/>
          <w:kern w:val="2"/>
          <w:sz w:val="22"/>
          <w:szCs w:val="22"/>
        </w:rPr>
        <w:t xml:space="preserve">Supplementary Fig. </w:t>
      </w:r>
      <w:r w:rsidR="008B27CB" w:rsidRPr="00BF2AF8">
        <w:rPr>
          <w:rFonts w:asciiTheme="minorHAnsi" w:hAnsiTheme="minorHAnsi" w:cstheme="minorHAnsi" w:hint="eastAsia"/>
          <w:b/>
          <w:bCs/>
          <w:color w:val="000000" w:themeColor="text1"/>
          <w:kern w:val="2"/>
          <w:sz w:val="22"/>
          <w:szCs w:val="22"/>
        </w:rPr>
        <w:t>S</w:t>
      </w:r>
      <w:r w:rsidR="00D412CD">
        <w:rPr>
          <w:rFonts w:asciiTheme="minorHAnsi" w:hAnsiTheme="minorHAnsi" w:cstheme="minorHAnsi"/>
          <w:b/>
          <w:bCs/>
          <w:color w:val="000000" w:themeColor="text1"/>
          <w:kern w:val="2"/>
          <w:sz w:val="22"/>
          <w:szCs w:val="22"/>
        </w:rPr>
        <w:t>5</w:t>
      </w:r>
      <w:r w:rsidRPr="00BF2AF8">
        <w:rPr>
          <w:rFonts w:asciiTheme="minorHAnsi" w:hAnsiTheme="minorHAnsi" w:cstheme="minorHAnsi"/>
          <w:b/>
          <w:bCs/>
          <w:color w:val="000000" w:themeColor="text1"/>
          <w:kern w:val="2"/>
          <w:sz w:val="22"/>
          <w:szCs w:val="22"/>
        </w:rPr>
        <w:t>.</w:t>
      </w:r>
      <w:bookmarkEnd w:id="10"/>
      <w:r w:rsidR="008832C4" w:rsidRPr="00BF2AF8">
        <w:rPr>
          <w:rFonts w:asciiTheme="minorHAnsi" w:hAnsiTheme="minorHAnsi" w:cstheme="minorHAnsi"/>
          <w:b/>
          <w:bCs/>
          <w:color w:val="000000" w:themeColor="text1"/>
          <w:kern w:val="2"/>
          <w:sz w:val="22"/>
          <w:szCs w:val="22"/>
        </w:rPr>
        <w:t xml:space="preserve"> </w:t>
      </w:r>
      <w:r w:rsidR="00903CC6" w:rsidRPr="00903CC6">
        <w:rPr>
          <w:rFonts w:asciiTheme="minorHAnsi" w:hAnsiTheme="minorHAnsi" w:cstheme="minorHAnsi"/>
          <w:b/>
          <w:bCs/>
          <w:color w:val="000000" w:themeColor="text1"/>
          <w:kern w:val="2"/>
          <w:sz w:val="22"/>
          <w:szCs w:val="22"/>
        </w:rPr>
        <w:t>Simulation-observation XCH</w:t>
      </w:r>
      <w:r w:rsidR="00903CC6" w:rsidRPr="00903CC6">
        <w:rPr>
          <w:rFonts w:asciiTheme="minorHAnsi" w:hAnsiTheme="minorHAnsi" w:cstheme="minorHAnsi"/>
          <w:b/>
          <w:bCs/>
          <w:color w:val="000000" w:themeColor="text1"/>
          <w:kern w:val="2"/>
          <w:sz w:val="22"/>
          <w:szCs w:val="22"/>
          <w:vertAlign w:val="subscript"/>
        </w:rPr>
        <w:t>4</w:t>
      </w:r>
      <w:r w:rsidR="00903CC6" w:rsidRPr="00903CC6">
        <w:rPr>
          <w:rFonts w:asciiTheme="minorHAnsi" w:hAnsiTheme="minorHAnsi" w:cstheme="minorHAnsi"/>
          <w:b/>
          <w:bCs/>
          <w:color w:val="000000" w:themeColor="text1"/>
          <w:kern w:val="2"/>
          <w:sz w:val="22"/>
          <w:szCs w:val="22"/>
        </w:rPr>
        <w:t xml:space="preserve"> error (model minus TCCON Xianghe, ppbv) within the full simulation period (10 July to 15 September 2022) for five WRF-GHG scenarios</w:t>
      </w:r>
      <w:r w:rsidR="00903CC6" w:rsidRPr="00B4544A">
        <w:rPr>
          <w:rFonts w:asciiTheme="minorHAnsi" w:hAnsiTheme="minorHAnsi" w:cstheme="minorHAnsi"/>
          <w:color w:val="000000" w:themeColor="text1"/>
          <w:kern w:val="2"/>
          <w:sz w:val="22"/>
          <w:szCs w:val="22"/>
        </w:rPr>
        <w:t>: EDGAR baseline (mean bias = 12.39 ppbv), Top-down refined inventory (21.16 ppbv), ±10% Shanxi perturbation (21.47 ppbv), ±50% Shanxi perturbation (21.38 ppbv), and BTH-50% regional reduction (6.12 ppbv).</w:t>
      </w:r>
      <w:r w:rsidR="00903CC6" w:rsidRPr="00903CC6">
        <w:rPr>
          <w:rFonts w:asciiTheme="minorHAnsi" w:hAnsiTheme="minorHAnsi" w:cstheme="minorHAnsi"/>
          <w:color w:val="000000" w:themeColor="text1"/>
          <w:kern w:val="2"/>
          <w:sz w:val="22"/>
          <w:szCs w:val="22"/>
        </w:rPr>
        <w:t xml:space="preserve"> The dashed gray line denotes zero bias. Positive values indicate model overestimation and negative values indicate underestimation.</w:t>
      </w:r>
    </w:p>
    <w:p w14:paraId="511D095D" w14:textId="15628EE2" w:rsidR="00610C99" w:rsidRPr="00D32D64" w:rsidRDefault="00610C99" w:rsidP="00EB7336">
      <w:pPr>
        <w:pStyle w:val="ae"/>
        <w:outlineLvl w:val="0"/>
        <w:rPr>
          <w:rFonts w:ascii="Arial" w:hAnsi="Arial" w:cs="Arial"/>
          <w:sz w:val="22"/>
          <w:szCs w:val="22"/>
        </w:rPr>
      </w:pPr>
      <w:r w:rsidRPr="00D32D64">
        <w:rPr>
          <w:rFonts w:ascii="Arial" w:hAnsi="Arial" w:cs="Arial"/>
          <w:b/>
          <w:bCs/>
          <w:sz w:val="22"/>
          <w:szCs w:val="22"/>
        </w:rPr>
        <w:t xml:space="preserve">Supplementary Note </w:t>
      </w:r>
      <w:r w:rsidR="00C074DC">
        <w:rPr>
          <w:rFonts w:ascii="Arial" w:hAnsi="Arial" w:cs="Arial" w:hint="eastAsia"/>
          <w:b/>
          <w:bCs/>
          <w:sz w:val="22"/>
          <w:szCs w:val="22"/>
        </w:rPr>
        <w:t>4</w:t>
      </w:r>
    </w:p>
    <w:p w14:paraId="4D9705CE" w14:textId="45A40E0A" w:rsidR="0083375E" w:rsidRDefault="0083375E" w:rsidP="00610C99">
      <w:pPr>
        <w:pStyle w:val="a3"/>
        <w:spacing w:line="360" w:lineRule="auto"/>
        <w:rPr>
          <w:rFonts w:ascii="Arial" w:hAnsi="Arial" w:cs="Arial"/>
          <w:color w:val="000000" w:themeColor="text1"/>
          <w:sz w:val="22"/>
          <w:szCs w:val="22"/>
          <w:lang w:val="en-GB"/>
        </w:rPr>
      </w:pPr>
      <w:r w:rsidRPr="0083375E">
        <w:rPr>
          <w:rFonts w:ascii="Arial" w:hAnsi="Arial" w:cs="Arial" w:hint="eastAsia"/>
          <w:color w:val="000000" w:themeColor="text1"/>
          <w:sz w:val="22"/>
          <w:szCs w:val="22"/>
          <w:lang w:val="en-GB"/>
        </w:rPr>
        <w:t>Validation of WRF-GHG</w:t>
      </w:r>
      <w:r w:rsidR="00A910D1">
        <w:rPr>
          <w:rFonts w:ascii="Arial" w:hAnsi="Arial" w:cs="Arial"/>
          <w:color w:val="000000" w:themeColor="text1"/>
          <w:sz w:val="22"/>
          <w:szCs w:val="22"/>
          <w:lang w:val="en-GB"/>
        </w:rPr>
        <w:t>’</w:t>
      </w:r>
      <w:r w:rsidRPr="0083375E">
        <w:rPr>
          <w:rFonts w:ascii="Arial" w:hAnsi="Arial" w:cs="Arial" w:hint="eastAsia"/>
          <w:color w:val="000000" w:themeColor="text1"/>
          <w:sz w:val="22"/>
          <w:szCs w:val="22"/>
          <w:lang w:val="en-GB"/>
        </w:rPr>
        <w:t>s simulation results</w:t>
      </w:r>
      <w:r w:rsidR="00610C99">
        <w:rPr>
          <w:rFonts w:ascii="Arial" w:hAnsi="Arial" w:cs="Arial" w:hint="eastAsia"/>
          <w:color w:val="000000" w:themeColor="text1"/>
          <w:sz w:val="22"/>
          <w:szCs w:val="22"/>
          <w:lang w:val="en-GB"/>
        </w:rPr>
        <w:t>.</w:t>
      </w:r>
    </w:p>
    <w:p w14:paraId="54030E72" w14:textId="0155A585" w:rsidR="00DC1882" w:rsidRDefault="00276C19" w:rsidP="00950B88">
      <w:pPr>
        <w:spacing w:before="100" w:beforeAutospacing="1" w:after="100" w:afterAutospacing="1"/>
      </w:pPr>
      <w:r w:rsidRPr="00276C19">
        <w:rPr>
          <w:b/>
          <w:bCs/>
        </w:rPr>
        <w:t>Validation against background CH</w:t>
      </w:r>
      <w:r w:rsidR="003A30A7">
        <w:rPr>
          <w:rFonts w:hint="eastAsia"/>
          <w:b/>
          <w:bCs/>
          <w:vertAlign w:val="subscript"/>
        </w:rPr>
        <w:t>4</w:t>
      </w:r>
      <w:r w:rsidRPr="00276C19">
        <w:rPr>
          <w:b/>
          <w:bCs/>
        </w:rPr>
        <w:t xml:space="preserve"> observations at WMO Mt. Waliguan.</w:t>
      </w:r>
      <w:r>
        <w:rPr>
          <w:rFonts w:hint="eastAsia"/>
        </w:rPr>
        <w:t xml:space="preserve"> </w:t>
      </w:r>
      <w:r w:rsidRPr="00276C19">
        <w:t>Daily mean in-situ CH</w:t>
      </w:r>
      <w:r w:rsidR="003A30A7">
        <w:rPr>
          <w:rFonts w:hint="eastAsia"/>
          <w:vertAlign w:val="subscript"/>
        </w:rPr>
        <w:t>4</w:t>
      </w:r>
      <w:r w:rsidRPr="00276C19">
        <w:t xml:space="preserve"> observations at the WMO Mt. Waliguan (WLG) GAW Global background station (36.29° N, 100.90° E, 3810 m a.s.l.) provide an independent constraint on the simulated free-tropospheric CH</w:t>
      </w:r>
      <w:r w:rsidR="003A30A7">
        <w:rPr>
          <w:rFonts w:hint="eastAsia"/>
          <w:vertAlign w:val="subscript"/>
        </w:rPr>
        <w:t>4</w:t>
      </w:r>
      <w:r w:rsidRPr="00276C19">
        <w:t xml:space="preserve"> over the simulation period. The station is operated by the China Meteorological Administration with a Picarro G2401 cavity ring-down analyser referenced to the WMO CH</w:t>
      </w:r>
      <w:r w:rsidR="003A30A7">
        <w:rPr>
          <w:rFonts w:hint="eastAsia"/>
          <w:vertAlign w:val="subscript"/>
        </w:rPr>
        <w:t>4</w:t>
      </w:r>
      <w:r w:rsidRPr="00276C19">
        <w:t xml:space="preserve"> X2004 calibration scale, and sits on the northeastern Tibetan Plateau approximately 700 km southwest of the Shanxi coal basins, outside the modelled Shanxi-to-BTH transboundary transport corridor. Across 10 July to 15 September 2022, 68 daily means with quality-control flag 1 (background) or 2 (valid) were retained, with a mean of 1999.8 ppbv, a standard deviation of 9.5 ppbv, and a range of 1978–2010 ppbv that traces the smooth seasonal cycle of the regional CH</w:t>
      </w:r>
      <w:r w:rsidR="003A30A7">
        <w:rPr>
          <w:rFonts w:hint="eastAsia"/>
          <w:vertAlign w:val="subscript"/>
        </w:rPr>
        <w:t>4</w:t>
      </w:r>
      <w:r w:rsidRPr="00276C19">
        <w:t xml:space="preserve"> background.</w:t>
      </w:r>
    </w:p>
    <w:p w14:paraId="55943448" w14:textId="3022A114" w:rsidR="00276C19" w:rsidRDefault="00276C19" w:rsidP="00DC1882">
      <w:r w:rsidRPr="00276C19">
        <w:t>The d01 (27 km) grid cell containing WLG has a smoothed terrain elevation of 3061 m a.s.l., 749 m below the true station altitude, so a direct comparison with the model surface level would confound near-ground model air with the free-tropospheric air actually sampled at the mountain top. To eliminate this representativeness error, simulated CH</w:t>
      </w:r>
      <w:r w:rsidR="003A30A7">
        <w:rPr>
          <w:rFonts w:hint="eastAsia"/>
          <w:vertAlign w:val="subscript"/>
        </w:rPr>
        <w:t>4</w:t>
      </w:r>
      <w:r w:rsidRPr="00276C19">
        <w:t xml:space="preserve"> at 3810 m a.s.l. was reconstructed at each hourly time step in three steps. First, the above-sea-level height </w:t>
      </w:r>
      <m:oMath>
        <m:sSub>
          <m:sSubPr>
            <m:ctrlPr>
              <w:rPr>
                <w:rFonts w:ascii="Cambria Math" w:hAnsi="Cambria Math"/>
                <w:i/>
                <w:iCs/>
              </w:rPr>
            </m:ctrlPr>
          </m:sSubPr>
          <m:e>
            <m:r>
              <w:rPr>
                <w:rFonts w:ascii="Cambria Math" w:hAnsi="Cambria Math"/>
              </w:rPr>
              <m:t>h</m:t>
            </m:r>
          </m:e>
          <m:sub>
            <m:r>
              <w:rPr>
                <w:rFonts w:ascii="Cambria Math" w:hAnsi="Cambria Math" w:hint="eastAsia"/>
              </w:rPr>
              <m:t>k</m:t>
            </m:r>
          </m:sub>
        </m:sSub>
      </m:oMath>
      <w:r w:rsidRPr="00276C19">
        <w:t xml:space="preserve"> of every mass-level centre </w:t>
      </w:r>
      <m:oMath>
        <m:r>
          <w:rPr>
            <w:rFonts w:ascii="Cambria Math" w:hAnsi="Cambria Math"/>
          </w:rPr>
          <m:t>k</m:t>
        </m:r>
      </m:oMath>
      <w:r w:rsidRPr="00276C19">
        <w:t xml:space="preserve"> was obtained by upward hydrostatic integration of the model </w:t>
      </w:r>
      <w:r w:rsidRPr="00276C19">
        <w:lastRenderedPageBreak/>
        <w:t xml:space="preserve">pressure field, starting from the grid terrain elevation </w:t>
      </w:r>
      <m:oMath>
        <m:sSub>
          <m:sSubPr>
            <m:ctrlPr>
              <w:rPr>
                <w:rFonts w:ascii="Cambria Math" w:hAnsi="Cambria Math"/>
                <w:i/>
                <w:iCs/>
              </w:rPr>
            </m:ctrlPr>
          </m:sSubPr>
          <m:e>
            <m:r>
              <w:rPr>
                <w:rFonts w:ascii="Cambria Math" w:hAnsi="Cambria Math"/>
              </w:rPr>
              <m:t>h</m:t>
            </m:r>
          </m:e>
          <m:sub>
            <m:r>
              <w:rPr>
                <w:rFonts w:ascii="Cambria Math" w:hAnsi="Cambria Math"/>
              </w:rPr>
              <m:t>0</m:t>
            </m:r>
          </m:sub>
        </m:sSub>
      </m:oMath>
      <w:r w:rsidRPr="00276C19">
        <w:t xml:space="preserve"> and using a virtual-temperature correction to account for moisture:</w:t>
      </w:r>
    </w:p>
    <w:p w14:paraId="1AC6BE8E" w14:textId="7FAF9EC2" w:rsidR="00276C19" w:rsidRPr="00DC1882" w:rsidRDefault="00000000" w:rsidP="00DC1882">
      <w:pPr>
        <w:rPr>
          <w:lang w:val="en-GB"/>
        </w:rPr>
      </w:pPr>
      <m:oMathPara>
        <m:oMath>
          <m:sSub>
            <m:sSubPr>
              <m:ctrlPr>
                <w:rPr>
                  <w:rFonts w:ascii="Cambria Math" w:hAnsi="Cambria Math"/>
                  <w:i/>
                  <w:iCs/>
                </w:rPr>
              </m:ctrlPr>
            </m:sSubPr>
            <m:e>
              <m:r>
                <w:rPr>
                  <w:rFonts w:ascii="Cambria Math" w:hAnsi="Cambria Math"/>
                </w:rPr>
                <m:t>h</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k-1</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k-1</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k</m:t>
              </m:r>
            </m:sub>
          </m:sSub>
          <m:r>
            <w:rPr>
              <w:rFonts w:ascii="Cambria Math" w:hAnsi="Cambria Math"/>
            </w:rPr>
            <m:t>) / (</m:t>
          </m:r>
          <m:sSub>
            <m:sSubPr>
              <m:ctrlPr>
                <w:rPr>
                  <w:rFonts w:ascii="Cambria Math" w:hAnsi="Cambria Math"/>
                  <w:i/>
                  <w:iCs/>
                </w:rPr>
              </m:ctrlPr>
            </m:sSubPr>
            <m:e>
              <m:r>
                <w:rPr>
                  <w:rFonts w:ascii="Cambria Math" w:hAnsi="Cambria Math"/>
                </w:rPr>
                <m:t>ρ</m:t>
              </m:r>
            </m:e>
            <m:sub>
              <m:r>
                <w:rPr>
                  <w:rFonts w:ascii="Cambria Math" w:hAnsi="Cambria Math"/>
                </w:rPr>
                <m:t>v</m:t>
              </m:r>
            </m:sub>
          </m:sSub>
          <m:r>
            <w:rPr>
              <w:rFonts w:ascii="Cambria Math" w:hAnsi="Cambria Math"/>
            </w:rPr>
            <m:t>·g),</m:t>
          </m:r>
        </m:oMath>
      </m:oMathPara>
    </w:p>
    <w:p w14:paraId="71C26725" w14:textId="41595199" w:rsidR="00DC1882" w:rsidRDefault="00276C19" w:rsidP="00A85884">
      <w:pPr>
        <w:spacing w:after="100" w:afterAutospacing="1"/>
        <w:rPr>
          <w:lang w:val="en-GB"/>
        </w:rPr>
      </w:pPr>
      <w:r w:rsidRPr="00276C19">
        <w:t xml:space="preserve">where </w:t>
      </w:r>
      <m:oMath>
        <m:sSub>
          <m:sSubPr>
            <m:ctrlPr>
              <w:rPr>
                <w:rFonts w:ascii="Cambria Math" w:hAnsi="Cambria Math"/>
                <w:i/>
                <w:iCs/>
              </w:rPr>
            </m:ctrlPr>
          </m:sSubPr>
          <m:e>
            <m:r>
              <w:rPr>
                <w:rFonts w:ascii="Cambria Math" w:hAnsi="Cambria Math"/>
              </w:rPr>
              <m:t>p</m:t>
            </m:r>
          </m:e>
          <m:sub>
            <m:r>
              <w:rPr>
                <w:rFonts w:ascii="Cambria Math" w:hAnsi="Cambria Math"/>
              </w:rPr>
              <m:t>k</m:t>
            </m:r>
          </m:sub>
        </m:sSub>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PB</m:t>
            </m:r>
          </m:e>
          <m:sub>
            <m:r>
              <w:rPr>
                <w:rFonts w:ascii="Cambria Math" w:hAnsi="Cambria Math"/>
              </w:rPr>
              <m:t>k</m:t>
            </m:r>
          </m:sub>
        </m:sSub>
      </m:oMath>
      <w:r w:rsidRPr="00276C19">
        <w:t xml:space="preserve"> is the total pressure on mass level </w:t>
      </w:r>
      <m:oMath>
        <m:r>
          <w:rPr>
            <w:rFonts w:ascii="Cambria Math" w:hAnsi="Cambria Math"/>
          </w:rPr>
          <m:t>k</m:t>
        </m:r>
      </m:oMath>
      <w:r w:rsidRPr="00276C19">
        <w:t xml:space="preserve">, </w:t>
      </w:r>
      <m:oMath>
        <m:sSub>
          <m:sSubPr>
            <m:ctrlPr>
              <w:rPr>
                <w:rFonts w:ascii="Cambria Math" w:hAnsi="Cambria Math"/>
                <w:i/>
                <w:iCs/>
              </w:rPr>
            </m:ctrlPr>
          </m:sSubPr>
          <m:e>
            <m:r>
              <w:rPr>
                <w:rFonts w:ascii="Cambria Math" w:hAnsi="Cambria Math"/>
              </w:rPr>
              <m:t>ρ</m:t>
            </m:r>
          </m:e>
          <m:sub>
            <m:r>
              <w:rPr>
                <w:rFonts w:ascii="Cambria Math" w:hAnsi="Cambria Math"/>
              </w:rPr>
              <m:t>v</m:t>
            </m:r>
          </m:sub>
        </m:sSub>
        <m:r>
          <w:rPr>
            <w:rFonts w:ascii="Cambria Math" w:hAnsi="Cambria Math"/>
          </w:rPr>
          <m:t>=p/(</m:t>
        </m:r>
        <m:sSub>
          <m:sSubPr>
            <m:ctrlPr>
              <w:rPr>
                <w:rFonts w:ascii="Cambria Math" w:hAnsi="Cambria Math"/>
                <w:i/>
                <w:iCs/>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v</m:t>
            </m:r>
          </m:sub>
        </m:sSub>
        <m:r>
          <w:rPr>
            <w:rFonts w:ascii="Cambria Math" w:hAnsi="Cambria Math"/>
          </w:rPr>
          <m:t>)</m:t>
        </m:r>
      </m:oMath>
      <w:r w:rsidRPr="00276C19">
        <w:t xml:space="preserve"> is the moist-air density at mid-layer pressure, </w:t>
      </w:r>
      <m:oMath>
        <m:sSub>
          <m:sSubPr>
            <m:ctrlPr>
              <w:rPr>
                <w:rFonts w:ascii="Cambria Math" w:hAnsi="Cambria Math"/>
                <w:i/>
                <w:iCs/>
              </w:rPr>
            </m:ctrlPr>
          </m:sSubPr>
          <m:e>
            <m:r>
              <w:rPr>
                <w:rFonts w:ascii="Cambria Math" w:hAnsi="Cambria Math"/>
              </w:rPr>
              <m:t>T</m:t>
            </m:r>
          </m:e>
          <m:sub>
            <m:r>
              <w:rPr>
                <w:rFonts w:ascii="Cambria Math" w:hAnsi="Cambria Math"/>
              </w:rPr>
              <m:t>v</m:t>
            </m:r>
          </m:sub>
        </m:sSub>
        <m:r>
          <w:rPr>
            <w:rFonts w:ascii="Cambria Math" w:hAnsi="Cambria Math"/>
          </w:rPr>
          <m:t>= T(1 + 0.608q)</m:t>
        </m:r>
      </m:oMath>
      <w:r w:rsidRPr="00276C19">
        <w:t xml:space="preserve"> is the virtual temperature with </w:t>
      </w:r>
      <m:oMath>
        <m:r>
          <w:rPr>
            <w:rFonts w:ascii="Cambria Math" w:hAnsi="Cambria Math"/>
          </w:rPr>
          <m:t>q</m:t>
        </m:r>
      </m:oMath>
      <w:r w:rsidRPr="00276C19">
        <w:t xml:space="preserve"> the water-vapour mixing ratio, </w:t>
      </w:r>
      <m:oMath>
        <m:sSub>
          <m:sSubPr>
            <m:ctrlPr>
              <w:rPr>
                <w:rFonts w:ascii="Cambria Math" w:hAnsi="Cambria Math"/>
                <w:i/>
                <w:iCs/>
              </w:rPr>
            </m:ctrlPr>
          </m:sSubPr>
          <m:e>
            <m:r>
              <w:rPr>
                <w:rFonts w:ascii="Cambria Math" w:hAnsi="Cambria Math"/>
              </w:rPr>
              <m:t>R</m:t>
            </m:r>
          </m:e>
          <m:sub>
            <m:r>
              <w:rPr>
                <w:rFonts w:ascii="Cambria Math" w:hAnsi="Cambria Math"/>
              </w:rPr>
              <m:t>a</m:t>
            </m:r>
          </m:sub>
        </m:sSub>
      </m:oMath>
      <w:r w:rsidRPr="00276C19">
        <w:t xml:space="preserve"> = 287 J kg</w:t>
      </w:r>
      <w:r w:rsidR="000D20FE">
        <w:rPr>
          <w:rFonts w:hint="eastAsia"/>
          <w:vertAlign w:val="superscript"/>
        </w:rPr>
        <w:t>-1</w:t>
      </w:r>
      <w:r w:rsidRPr="00276C19">
        <w:t xml:space="preserve"> K</w:t>
      </w:r>
      <w:r w:rsidR="000D20FE">
        <w:rPr>
          <w:rFonts w:hint="eastAsia"/>
          <w:vertAlign w:val="superscript"/>
        </w:rPr>
        <w:t>-1</w:t>
      </w:r>
      <w:r w:rsidRPr="00276C19">
        <w:t xml:space="preserve"> is the dry-air gas constant, and </w:t>
      </w:r>
      <m:oMath>
        <m:r>
          <w:rPr>
            <w:rFonts w:ascii="Cambria Math" w:hAnsi="Cambria Math"/>
          </w:rPr>
          <m:t xml:space="preserve">g </m:t>
        </m:r>
      </m:oMath>
      <w:r w:rsidRPr="00276C19">
        <w:t>= 9.81 m s</w:t>
      </w:r>
      <w:r w:rsidR="000D20FE">
        <w:rPr>
          <w:rFonts w:hint="eastAsia"/>
          <w:vertAlign w:val="superscript"/>
        </w:rPr>
        <w:t>-2</w:t>
      </w:r>
      <w:r w:rsidRPr="00276C19">
        <w:t xml:space="preserve"> is gravitational acceleration. Second, the two mass levels bracketing 3810 m a.s.l. were identified. Third, the total CH</w:t>
      </w:r>
      <w:r w:rsidR="003A30A7">
        <w:rPr>
          <w:rFonts w:hint="eastAsia"/>
          <w:vertAlign w:val="subscript"/>
        </w:rPr>
        <w:t>4</w:t>
      </w:r>
      <w:r w:rsidRPr="00276C19">
        <w:t xml:space="preserve"> mixing ratio (sum of the WRF-GHG tracer</w:t>
      </w:r>
      <w:r>
        <w:rPr>
          <w:rFonts w:hint="eastAsia"/>
        </w:rPr>
        <w:t>s</w:t>
      </w:r>
      <w:r w:rsidRPr="00276C19">
        <w:t>) was interpolated between those two levels linearly in the logarithm of pressure, which is the standard vertical interpolation for trace gases in hydrostatically balanced atmospheres. The resulting hourly values at 3810 m a.s.l. were aggregated to daily means and matched to the WLG record on common calendar days. Because the WLG product is itself restricted by the data provider to background-classified hours, the model daily mean and the observed daily mean are intrinsically asymmetric in their hourly sampling</w:t>
      </w:r>
      <w:r w:rsidR="00DC1882" w:rsidRPr="00DC1882">
        <w:rPr>
          <w:lang w:val="en-GB"/>
        </w:rPr>
        <w:t>.</w:t>
      </w:r>
    </w:p>
    <w:p w14:paraId="67073A93" w14:textId="35CF2AC6" w:rsidR="00276C19" w:rsidRPr="00DC1882" w:rsidRDefault="00276C19" w:rsidP="00950B88">
      <w:pPr>
        <w:spacing w:before="100" w:beforeAutospacing="1" w:after="100" w:afterAutospacing="1"/>
        <w:rPr>
          <w:lang w:val="en-GB"/>
        </w:rPr>
      </w:pPr>
      <w:r w:rsidRPr="00276C19">
        <w:t xml:space="preserve">Across the 68 matched days (Fig. </w:t>
      </w:r>
      <w:r w:rsidR="008B27CB" w:rsidRPr="00276C19">
        <w:t>S</w:t>
      </w:r>
      <w:r w:rsidR="00D412CD">
        <w:t>6</w:t>
      </w:r>
      <w:r w:rsidRPr="00276C19">
        <w:t>), the WRF-GHG Top-down simulation reproduces the absolute magnitude of the WLG background to within approximately 1%, with a mean bias of −21.4 ppbv and an RMSE of 41.7 ppbv, and captures the broad late-July to mid-August minimum followed by a late-August maximum. The BTH-50% scenario yields statistically equivalent results (bias −31.0 ppbv, RMSE 42.6 ppbv). The modelled day-to-day variability (standard deviation ≈ 30 ppbv) exceeds that of the observation (9.5 ppbv) by construction, because the model daily mean integrates every hour whereas the WLG product retains only the background-classified subset, by design excluding the synoptic and boundary-layer fluctuations that the simulation resolves explicitly. Consequently the fraction of model daily means falling within the narrow ±3 ppbv WLG uncertainty envelope is small (6% for Top-down, 1% for BTH-50%); this metric reflects the asymmetric hourly sampling between the two products rather than a deficiency in the simulated background level. The persistent slight negative bias is comparable in magnitude to model-observation discrepancies independently reported for column-integrated CH</w:t>
      </w:r>
      <w:r w:rsidR="00EF622D">
        <w:rPr>
          <w:rFonts w:hint="eastAsia"/>
          <w:vertAlign w:val="subscript"/>
        </w:rPr>
        <w:t>4</w:t>
      </w:r>
      <w:r w:rsidRPr="00276C19">
        <w:t xml:space="preserve"> over the topographically complex and observationally sparse Qinghai-Tibetan Plateau (Tu et al., 2025), and affects both scenarios equally because both inherit the same global boundary condition.</w:t>
      </w:r>
    </w:p>
    <w:p w14:paraId="4CFDAD5A" w14:textId="6AF3030E" w:rsidR="00E77B7C" w:rsidRPr="00D9088E" w:rsidRDefault="002905B7" w:rsidP="006204F0">
      <w:pPr>
        <w:spacing w:before="100" w:beforeAutospacing="1" w:after="100" w:afterAutospacing="1"/>
        <w:rPr>
          <w:lang w:val="en-US"/>
        </w:rPr>
      </w:pPr>
      <w:r w:rsidRPr="002905B7">
        <w:t xml:space="preserve">The primary value of the WLG comparison is as a check on the absolute background level set by the CAM-chem lateral boundary condition over the northeastern Tibetan Plateau, rather than as a test of the BTH-50% perturbation. Because WLG lies </w:t>
      </w:r>
      <w:r>
        <w:rPr>
          <w:rFonts w:hint="eastAsia"/>
        </w:rPr>
        <w:t xml:space="preserve">around </w:t>
      </w:r>
      <w:r w:rsidRPr="002905B7">
        <w:t xml:space="preserve">700 km southwest of, and upwind of, the BTH domain under the prevailing southwesterly regime, the BTH-localized emission perturbation has no expected transport pathway to this station; the small Top-down-versus-BTH-50% difference at WLG (bias difference 9.6 ppbv) is therefore consistent with the experimental geometry and should not be over-interpreted as a demonstration of spatial confinement. The persistent </w:t>
      </w:r>
      <w:r w:rsidR="00CB1290">
        <w:rPr>
          <w:rFonts w:hint="eastAsia"/>
        </w:rPr>
        <w:t>~</w:t>
      </w:r>
      <w:r w:rsidRPr="002905B7">
        <w:t>−21 ppbv low bias common to both scenarios is comparable in magnitude to model-observation discrepancies independently reported for column-integrated CH4 over this topographically complex and observationally sparse region (Tu et al., 2025), and is attributable to the shared global boundary condition rather than to the regional source configuration.</w:t>
      </w:r>
    </w:p>
    <w:p w14:paraId="35C6857B" w14:textId="25B01ACC" w:rsidR="0083375E" w:rsidRPr="0083375E" w:rsidRDefault="007420BD" w:rsidP="00D30C5E">
      <w:pPr>
        <w:pStyle w:val="ae"/>
        <w:spacing w:before="0" w:beforeAutospacing="0" w:after="0" w:afterAutospacing="0"/>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6329944D" wp14:editId="227A3218">
            <wp:extent cx="4513233" cy="3711363"/>
            <wp:effectExtent l="0" t="0" r="1905" b="3810"/>
            <wp:docPr id="1963632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32436" name="Picture 1963632436"/>
                    <pic:cNvPicPr/>
                  </pic:nvPicPr>
                  <pic:blipFill>
                    <a:blip r:embed="rId16"/>
                    <a:stretch>
                      <a:fillRect/>
                    </a:stretch>
                  </pic:blipFill>
                  <pic:spPr>
                    <a:xfrm>
                      <a:off x="0" y="0"/>
                      <a:ext cx="4520859" cy="3717634"/>
                    </a:xfrm>
                    <a:prstGeom prst="rect">
                      <a:avLst/>
                    </a:prstGeom>
                  </pic:spPr>
                </pic:pic>
              </a:graphicData>
            </a:graphic>
          </wp:inline>
        </w:drawing>
      </w:r>
    </w:p>
    <w:p w14:paraId="1E92E437" w14:textId="7CDAA204" w:rsidR="00DC1882" w:rsidRPr="00992B6C" w:rsidRDefault="00DC1882" w:rsidP="00E9585B">
      <w:pPr>
        <w:pStyle w:val="a3"/>
        <w:widowControl w:val="0"/>
        <w:spacing w:line="276" w:lineRule="auto"/>
        <w:jc w:val="both"/>
        <w:outlineLvl w:val="1"/>
        <w:rPr>
          <w:rFonts w:asciiTheme="minorHAnsi" w:hAnsiTheme="minorHAnsi" w:cstheme="minorHAnsi"/>
          <w:b/>
          <w:bCs/>
          <w:color w:val="000000" w:themeColor="text1"/>
          <w:kern w:val="2"/>
          <w:sz w:val="22"/>
          <w:szCs w:val="22"/>
        </w:rPr>
      </w:pPr>
      <w:r w:rsidRPr="00992B6C">
        <w:rPr>
          <w:rFonts w:asciiTheme="minorHAnsi" w:hAnsiTheme="minorHAnsi" w:cstheme="minorHAnsi"/>
          <w:b/>
          <w:bCs/>
          <w:color w:val="000000" w:themeColor="text1"/>
          <w:kern w:val="2"/>
          <w:sz w:val="22"/>
          <w:szCs w:val="22"/>
        </w:rPr>
        <w:t xml:space="preserve">Supplementary Fig. </w:t>
      </w:r>
      <w:r w:rsidR="008B27CB" w:rsidRPr="00992B6C">
        <w:rPr>
          <w:rFonts w:asciiTheme="minorHAnsi" w:hAnsiTheme="minorHAnsi" w:cstheme="minorHAnsi"/>
          <w:b/>
          <w:bCs/>
          <w:color w:val="000000" w:themeColor="text1"/>
          <w:kern w:val="2"/>
          <w:sz w:val="22"/>
          <w:szCs w:val="22"/>
        </w:rPr>
        <w:t>S</w:t>
      </w:r>
      <w:r w:rsidR="00D412CD">
        <w:rPr>
          <w:rFonts w:asciiTheme="minorHAnsi" w:hAnsiTheme="minorHAnsi" w:cstheme="minorHAnsi"/>
          <w:b/>
          <w:bCs/>
          <w:color w:val="000000" w:themeColor="text1"/>
          <w:kern w:val="2"/>
          <w:sz w:val="22"/>
          <w:szCs w:val="22"/>
        </w:rPr>
        <w:t>6</w:t>
      </w:r>
      <w:r w:rsidRPr="00992B6C">
        <w:rPr>
          <w:rFonts w:asciiTheme="minorHAnsi" w:hAnsiTheme="minorHAnsi" w:cstheme="minorHAnsi"/>
          <w:b/>
          <w:bCs/>
          <w:color w:val="000000" w:themeColor="text1"/>
          <w:kern w:val="2"/>
          <w:sz w:val="22"/>
          <w:szCs w:val="22"/>
        </w:rPr>
        <w:t>. Validation of WRF-GHG simulated CH</w:t>
      </w:r>
      <w:r w:rsidRPr="003A30A7">
        <w:rPr>
          <w:rFonts w:asciiTheme="minorHAnsi" w:hAnsiTheme="minorHAnsi" w:cstheme="minorHAnsi"/>
          <w:b/>
          <w:bCs/>
          <w:color w:val="000000" w:themeColor="text1"/>
          <w:kern w:val="2"/>
          <w:sz w:val="22"/>
          <w:szCs w:val="22"/>
          <w:vertAlign w:val="subscript"/>
        </w:rPr>
        <w:t>4</w:t>
      </w:r>
      <w:r w:rsidRPr="00992B6C">
        <w:rPr>
          <w:rFonts w:asciiTheme="minorHAnsi" w:hAnsiTheme="minorHAnsi" w:cstheme="minorHAnsi"/>
          <w:b/>
          <w:bCs/>
          <w:color w:val="000000" w:themeColor="text1"/>
          <w:kern w:val="2"/>
          <w:sz w:val="22"/>
          <w:szCs w:val="22"/>
        </w:rPr>
        <w:t xml:space="preserve"> at the</w:t>
      </w:r>
      <w:r w:rsidRPr="00992B6C">
        <w:rPr>
          <w:rFonts w:asciiTheme="minorHAnsi" w:hAnsiTheme="minorHAnsi" w:cstheme="minorHAnsi" w:hint="eastAsia"/>
          <w:b/>
          <w:bCs/>
          <w:color w:val="000000" w:themeColor="text1"/>
          <w:kern w:val="2"/>
          <w:sz w:val="22"/>
          <w:szCs w:val="22"/>
        </w:rPr>
        <w:t xml:space="preserve"> </w:t>
      </w:r>
      <w:r w:rsidRPr="00992B6C">
        <w:rPr>
          <w:rFonts w:asciiTheme="minorHAnsi" w:hAnsiTheme="minorHAnsi" w:cstheme="minorHAnsi"/>
          <w:b/>
          <w:bCs/>
          <w:color w:val="000000" w:themeColor="text1"/>
          <w:kern w:val="2"/>
          <w:sz w:val="22"/>
          <w:szCs w:val="22"/>
        </w:rPr>
        <w:t>WMO Mt. Waliguan (WLG) GAW background station (36.29 N, 100.90 E,</w:t>
      </w:r>
      <w:r w:rsidRPr="00992B6C">
        <w:rPr>
          <w:rFonts w:asciiTheme="minorHAnsi" w:hAnsiTheme="minorHAnsi" w:cstheme="minorHAnsi" w:hint="eastAsia"/>
          <w:b/>
          <w:bCs/>
          <w:color w:val="000000" w:themeColor="text1"/>
          <w:kern w:val="2"/>
          <w:sz w:val="22"/>
          <w:szCs w:val="22"/>
        </w:rPr>
        <w:t xml:space="preserve"> </w:t>
      </w:r>
      <w:r w:rsidRPr="00992B6C">
        <w:rPr>
          <w:rFonts w:asciiTheme="minorHAnsi" w:hAnsiTheme="minorHAnsi" w:cstheme="minorHAnsi"/>
          <w:b/>
          <w:bCs/>
          <w:color w:val="000000" w:themeColor="text1"/>
          <w:kern w:val="2"/>
          <w:sz w:val="22"/>
          <w:szCs w:val="22"/>
        </w:rPr>
        <w:t>3810 m a.s.l.) over the simulation period (10 July to 15 September</w:t>
      </w:r>
      <w:r w:rsidRPr="00992B6C">
        <w:rPr>
          <w:rFonts w:asciiTheme="minorHAnsi" w:hAnsiTheme="minorHAnsi" w:cstheme="minorHAnsi" w:hint="eastAsia"/>
          <w:b/>
          <w:bCs/>
          <w:color w:val="000000" w:themeColor="text1"/>
          <w:kern w:val="2"/>
          <w:sz w:val="22"/>
          <w:szCs w:val="22"/>
        </w:rPr>
        <w:t xml:space="preserve"> </w:t>
      </w:r>
      <w:r w:rsidRPr="00992B6C">
        <w:rPr>
          <w:rFonts w:asciiTheme="minorHAnsi" w:hAnsiTheme="minorHAnsi" w:cstheme="minorHAnsi"/>
          <w:b/>
          <w:bCs/>
          <w:color w:val="000000" w:themeColor="text1"/>
          <w:kern w:val="2"/>
          <w:sz w:val="22"/>
          <w:szCs w:val="22"/>
        </w:rPr>
        <w:t>2022).</w:t>
      </w:r>
      <w:r w:rsidRPr="00992B6C">
        <w:rPr>
          <w:rFonts w:asciiTheme="minorHAnsi" w:hAnsiTheme="minorHAnsi" w:cstheme="minorHAnsi"/>
          <w:color w:val="000000" w:themeColor="text1"/>
          <w:kern w:val="2"/>
          <w:sz w:val="22"/>
          <w:szCs w:val="22"/>
        </w:rPr>
        <w:t xml:space="preserve"> (a) WRF-GHG Top-down simulation versus WLG. (b) WRF-GHG</w:t>
      </w:r>
      <w:r w:rsidRPr="00992B6C">
        <w:rPr>
          <w:rFonts w:asciiTheme="minorHAnsi" w:hAnsiTheme="minorHAnsi" w:cstheme="minorHAnsi" w:hint="eastAsia"/>
          <w:color w:val="000000" w:themeColor="text1"/>
          <w:kern w:val="2"/>
          <w:sz w:val="22"/>
          <w:szCs w:val="22"/>
        </w:rPr>
        <w:t xml:space="preserve"> </w:t>
      </w:r>
      <w:r w:rsidRPr="00992B6C">
        <w:rPr>
          <w:rFonts w:asciiTheme="minorHAnsi" w:hAnsiTheme="minorHAnsi" w:cstheme="minorHAnsi"/>
          <w:color w:val="000000" w:themeColor="text1"/>
          <w:kern w:val="2"/>
          <w:sz w:val="22"/>
          <w:szCs w:val="22"/>
        </w:rPr>
        <w:t>Top-down (BTH-50%) simulation versus WLG. In both panels, WLG daily</w:t>
      </w:r>
      <w:r w:rsidRPr="00992B6C">
        <w:rPr>
          <w:rFonts w:asciiTheme="minorHAnsi" w:hAnsiTheme="minorHAnsi" w:cstheme="minorHAnsi" w:hint="eastAsia"/>
          <w:color w:val="000000" w:themeColor="text1"/>
          <w:kern w:val="2"/>
          <w:sz w:val="22"/>
          <w:szCs w:val="22"/>
        </w:rPr>
        <w:t xml:space="preserve"> </w:t>
      </w:r>
      <w:r w:rsidRPr="00992B6C">
        <w:rPr>
          <w:rFonts w:asciiTheme="minorHAnsi" w:hAnsiTheme="minorHAnsi" w:cstheme="minorHAnsi"/>
          <w:color w:val="000000" w:themeColor="text1"/>
          <w:kern w:val="2"/>
          <w:sz w:val="22"/>
          <w:szCs w:val="22"/>
        </w:rPr>
        <w:t>mean in-situ CH</w:t>
      </w:r>
      <w:r w:rsidRPr="005C16B4">
        <w:rPr>
          <w:rFonts w:asciiTheme="minorHAnsi" w:hAnsiTheme="minorHAnsi" w:cstheme="minorHAnsi"/>
          <w:color w:val="000000" w:themeColor="text1"/>
          <w:kern w:val="2"/>
          <w:sz w:val="22"/>
          <w:szCs w:val="22"/>
          <w:vertAlign w:val="subscript"/>
        </w:rPr>
        <w:t>4</w:t>
      </w:r>
      <w:r w:rsidRPr="00992B6C">
        <w:rPr>
          <w:rFonts w:asciiTheme="minorHAnsi" w:hAnsiTheme="minorHAnsi" w:cstheme="minorHAnsi"/>
          <w:color w:val="000000" w:themeColor="text1"/>
          <w:kern w:val="2"/>
          <w:sz w:val="22"/>
          <w:szCs w:val="22"/>
        </w:rPr>
        <w:t xml:space="preserve"> from the China Meteorological Administration WDCGG</w:t>
      </w:r>
      <w:r w:rsidRPr="00992B6C">
        <w:rPr>
          <w:rFonts w:asciiTheme="minorHAnsi" w:hAnsiTheme="minorHAnsi" w:cstheme="minorHAnsi" w:hint="eastAsia"/>
          <w:color w:val="000000" w:themeColor="text1"/>
          <w:kern w:val="2"/>
          <w:sz w:val="22"/>
          <w:szCs w:val="22"/>
        </w:rPr>
        <w:t xml:space="preserve"> </w:t>
      </w:r>
      <w:r w:rsidRPr="00992B6C">
        <w:rPr>
          <w:rFonts w:asciiTheme="minorHAnsi" w:hAnsiTheme="minorHAnsi" w:cstheme="minorHAnsi"/>
          <w:color w:val="000000" w:themeColor="text1"/>
          <w:kern w:val="2"/>
          <w:sz w:val="22"/>
          <w:szCs w:val="22"/>
        </w:rPr>
        <w:t>record is shown as black filled circles connected by a dashed line;</w:t>
      </w:r>
      <w:r w:rsidRPr="00992B6C">
        <w:rPr>
          <w:rFonts w:asciiTheme="minorHAnsi" w:hAnsiTheme="minorHAnsi" w:cstheme="minorHAnsi" w:hint="eastAsia"/>
          <w:color w:val="000000" w:themeColor="text1"/>
          <w:kern w:val="2"/>
          <w:sz w:val="22"/>
          <w:szCs w:val="22"/>
        </w:rPr>
        <w:t xml:space="preserve"> </w:t>
      </w:r>
      <w:r w:rsidRPr="00992B6C">
        <w:rPr>
          <w:rFonts w:asciiTheme="minorHAnsi" w:hAnsiTheme="minorHAnsi" w:cstheme="minorHAnsi"/>
          <w:color w:val="000000" w:themeColor="text1"/>
          <w:kern w:val="2"/>
          <w:sz w:val="22"/>
          <w:szCs w:val="22"/>
        </w:rPr>
        <w:t>the daily total measurement uncertainty is</w:t>
      </w:r>
      <w:r w:rsidRPr="00992B6C">
        <w:rPr>
          <w:rFonts w:asciiTheme="minorHAnsi" w:hAnsiTheme="minorHAnsi" w:cstheme="minorHAnsi" w:hint="eastAsia"/>
          <w:color w:val="000000" w:themeColor="text1"/>
          <w:kern w:val="2"/>
          <w:sz w:val="22"/>
          <w:szCs w:val="22"/>
        </w:rPr>
        <w:t xml:space="preserve"> </w:t>
      </w:r>
      <w:r w:rsidRPr="00992B6C">
        <w:rPr>
          <w:rFonts w:asciiTheme="minorHAnsi" w:hAnsiTheme="minorHAnsi" w:cstheme="minorHAnsi"/>
          <w:color w:val="000000" w:themeColor="text1"/>
          <w:kern w:val="2"/>
          <w:sz w:val="22"/>
          <w:szCs w:val="22"/>
        </w:rPr>
        <w:t>indicated by two grey dashed lines bracketing a light grey envelope.</w:t>
      </w:r>
    </w:p>
    <w:p w14:paraId="582434BE" w14:textId="30EBB12B" w:rsidR="00276C19" w:rsidRPr="00492105" w:rsidRDefault="00950B88" w:rsidP="00492105">
      <w:pPr>
        <w:spacing w:before="100" w:beforeAutospacing="1" w:after="100" w:afterAutospacing="1"/>
      </w:pPr>
      <w:r w:rsidRPr="00492105">
        <w:rPr>
          <w:b/>
          <w:bCs/>
        </w:rPr>
        <w:t>Validation against TCCON column observations at Hefei.</w:t>
      </w:r>
      <w:r w:rsidRPr="00492105">
        <w:rPr>
          <w:rFonts w:hint="eastAsia"/>
        </w:rPr>
        <w:t xml:space="preserve"> </w:t>
      </w:r>
      <w:r w:rsidRPr="00492105">
        <w:t>The three WRF-GHG scenarios were further compared against TCCON Hefei daily-mean XCH</w:t>
      </w:r>
      <w:r w:rsidRPr="0045108A">
        <w:rPr>
          <w:vertAlign w:val="subscript"/>
        </w:rPr>
        <w:t>4</w:t>
      </w:r>
      <w:r w:rsidRPr="00492105">
        <w:t xml:space="preserve"> retrievals (31.91° N, 117.17° E), an independent column validation at a station approximately 900 km south of BTH (Liu et al., 2023). Observations from the GGG2020.R1 pro</w:t>
      </w:r>
      <w:r w:rsidRPr="00492105">
        <w:rPr>
          <w:rFonts w:hint="eastAsia"/>
        </w:rPr>
        <w:t xml:space="preserve">duct were quality-controlled following GGG2020 standard criteria (xluft within [0.96, 1.04]; solar zenith angle </w:t>
      </w:r>
      <w:r w:rsidRPr="00492105">
        <w:rPr>
          <w:rFonts w:hint="eastAsia"/>
        </w:rPr>
        <w:t>≤</w:t>
      </w:r>
      <w:r w:rsidRPr="00492105">
        <w:rPr>
          <w:rFonts w:hint="eastAsia"/>
        </w:rPr>
        <w:t xml:space="preserve"> 75</w:t>
      </w:r>
      <w:r w:rsidR="00CD6C9B" w:rsidRPr="00492105">
        <w:t>°</w:t>
      </w:r>
      <w:r w:rsidRPr="00492105">
        <w:rPr>
          <w:rFonts w:hint="eastAsia"/>
        </w:rPr>
        <w:t>), yielding 25 daily means in the simulation period after restriction to days with at least five QC-passed sub-hourly observations. For eac</w:t>
      </w:r>
      <w:r w:rsidRPr="00492105">
        <w:t>h scenario, simulated XCH</w:t>
      </w:r>
      <w:r w:rsidRPr="0045108A">
        <w:rPr>
          <w:vertAlign w:val="subscript"/>
        </w:rPr>
        <w:t>4</w:t>
      </w:r>
      <w:r w:rsidRPr="00492105">
        <w:t xml:space="preserve"> at the nearest d02 (9 km) grid point was computed as the dry-air-density-weighted vertical column average of the total simulated CH</w:t>
      </w:r>
      <w:r w:rsidRPr="0045108A">
        <w:rPr>
          <w:vertAlign w:val="subscript"/>
        </w:rPr>
        <w:t>4</w:t>
      </w:r>
      <w:r w:rsidRPr="00492105">
        <w:t>, following manuscript Eq. 1–2, and sub-hourly model output (hourly for Top-down and BTH-50%, 30-min for ±50%) was aggregated to daily means by calendar day to match the TCCON aggregation.</w:t>
      </w:r>
    </w:p>
    <w:p w14:paraId="1E2B4F09" w14:textId="10494A20" w:rsidR="00950B88" w:rsidRPr="00492105" w:rsidRDefault="00950B88" w:rsidP="00492105">
      <w:pPr>
        <w:spacing w:before="100" w:beforeAutospacing="1" w:after="100" w:afterAutospacing="1"/>
      </w:pPr>
      <w:r w:rsidRPr="00492105">
        <w:t xml:space="preserve">Across the 25 matched days (Fig. </w:t>
      </w:r>
      <w:r w:rsidR="008B27CB" w:rsidRPr="00492105">
        <w:t>S</w:t>
      </w:r>
      <w:r w:rsidR="00D412CD">
        <w:t>7</w:t>
      </w:r>
      <w:r w:rsidRPr="00492105">
        <w:t>), the three scenarios reproduce TCCON Hefei XCH</w:t>
      </w:r>
      <w:r w:rsidRPr="0045108A">
        <w:rPr>
          <w:vertAlign w:val="subscript"/>
        </w:rPr>
        <w:t>4</w:t>
      </w:r>
      <w:r w:rsidRPr="00492105">
        <w:t xml:space="preserve"> with comparable skill: mean biases of +7.9, +5.0 and −1.9 ppbv and RMSEs of 33.7, 25.6 and 24.3 ppbv for Top-down, Top-down (±50%) and Top-down (BTH-50%), respectively. The day-to-day variability shows broad agreement throughout the simulation period, with a small number of </w:t>
      </w:r>
      <w:r w:rsidRPr="00492105">
        <w:lastRenderedPageBreak/>
        <w:t>transient plume episodes (notably 4 August 2022 and 25–28 August 2022) producing the largest deviations and dominating the RMSE statistics. These episodes coincide with synoptic conditions favouring southward transport of BTH-region or Shanxi air masses to the Yangtze River Delta, during which the model resolves peak XCH</w:t>
      </w:r>
      <w:r w:rsidRPr="0045108A">
        <w:rPr>
          <w:vertAlign w:val="subscript"/>
        </w:rPr>
        <w:t>4</w:t>
      </w:r>
      <w:r w:rsidRPr="00492105">
        <w:t xml:space="preserve"> amplitudes that exceed what the cloud-limited TCCON sampling can independently verify at sub-daily resolution.</w:t>
      </w:r>
    </w:p>
    <w:p w14:paraId="4E6B0C4E" w14:textId="2822A549" w:rsidR="00FC3C63" w:rsidRPr="00492105" w:rsidRDefault="00950B88" w:rsidP="00492105">
      <w:pPr>
        <w:spacing w:before="100" w:beforeAutospacing="1" w:after="100" w:afterAutospacing="1"/>
      </w:pPr>
      <w:r w:rsidRPr="00492105">
        <w:t>The Hefei comparison serves three purposes. First, it provides an independent cross-check of the dry-air-density-weighted column-XCH</w:t>
      </w:r>
      <w:r w:rsidRPr="0045108A">
        <w:rPr>
          <w:vertAlign w:val="subscript"/>
        </w:rPr>
        <w:t>4</w:t>
      </w:r>
      <w:r w:rsidRPr="00492105">
        <w:t xml:space="preserve"> calculation applied at TCCON Xianghe in the main text: the same methodology yields comparable skill at a second TCCON station distant from the dominant Shanxi-to-BTH transport corridor, supporting the validity of the column reconstruction used to attribute the BTH receptor-region enhancements. Second, it documents the response of simulated XCH</w:t>
      </w:r>
      <w:r w:rsidRPr="0045108A">
        <w:rPr>
          <w:vertAlign w:val="subscript"/>
        </w:rPr>
        <w:t>4</w:t>
      </w:r>
      <w:r w:rsidRPr="00492105">
        <w:t xml:space="preserve"> to the emission perturbation experiments at a far-field station: the spread in mean bias among the three scenarios (9.8 ppbv between Top-down and BTH-50%) </w:t>
      </w:r>
      <w:r w:rsidR="0096086C" w:rsidRPr="0096086C">
        <w:t>is comparable in magnitude to the corresponding spread at TCCON Xianghe documented in the main text (a Top-down-minus-BTH-50% mean-bias difference of 15.0 ppbv; cf. Fig. 7b), confirming that the perturbations remain detectable downstream rather than producing a strict zero signal</w:t>
      </w:r>
      <w:r w:rsidRPr="00492105">
        <w:t>. Third, the smallest bias at Hefei is obtained for the BTH-50% scenario, consistent with Hefei lying within the broader regional footprint of BTH emissions approximately 900 km downstream of the perturbed corridor; the modest improvement should not be over-interpreted given the limited sample size (n = 25) and the dominant influence of a small number of plume days on the aggregate statistics.</w:t>
      </w:r>
      <w:r w:rsidR="00711C5E">
        <w:rPr>
          <w:rFonts w:hint="eastAsia"/>
        </w:rPr>
        <w:t xml:space="preserve"> </w:t>
      </w:r>
      <w:r w:rsidR="00711C5E" w:rsidRPr="00711C5E">
        <w:t>This indicates that the BTH local emission field, as configured in the Top-down baseline, exerts a regional-scale rather than corridor-confined influence on the lower-tropospheric methane column over several hundred kilometres, consistent with the atmospheric lifetime of methane and the synoptic-scale variability of the regional transport pattern.</w:t>
      </w:r>
      <w:r w:rsidR="008438AC">
        <w:t xml:space="preserve"> Additional signal differences are likely due to both strong sources outside of Shanxi being transported as well as a similar possible overestimation of the local emissions within Hefei itself, but this general set of findings is over and beyond the context of this work, although aligned in principle with the findings herein.</w:t>
      </w:r>
      <w:r w:rsidR="00CB7327">
        <w:t xml:space="preserve"> We also note that during the highest peaks computed using WRF, that TCCON in Hefei has no data, as it has been filtered, possibly due to the higher aerosol or water vapor conditions consistent with air masses transported from Shanxi</w:t>
      </w:r>
      <w:r w:rsidR="008F28C6">
        <w:t xml:space="preserve"> (</w:t>
      </w:r>
      <w:r w:rsidR="008F28C6" w:rsidRPr="00A06409">
        <w:t xml:space="preserve">Guan et al., </w:t>
      </w:r>
      <w:r w:rsidR="00CC2324" w:rsidRPr="00A06409">
        <w:t>2026</w:t>
      </w:r>
      <w:r w:rsidR="008F28C6">
        <w:t>)</w:t>
      </w:r>
      <w:r w:rsidR="00CB7327">
        <w:t>.</w:t>
      </w:r>
    </w:p>
    <w:p w14:paraId="1C0734D5" w14:textId="74B4C360" w:rsidR="0083375E" w:rsidRPr="0083375E" w:rsidRDefault="00D061F9" w:rsidP="00D061F9">
      <w:pPr>
        <w:pStyle w:val="ae"/>
        <w:spacing w:after="0" w:afterAutospacing="0"/>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55B8417F" wp14:editId="7F7EF35F">
            <wp:extent cx="4368800" cy="3970660"/>
            <wp:effectExtent l="0" t="0" r="0" b="0"/>
            <wp:docPr id="976221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1024" name="Picture 976221024"/>
                    <pic:cNvPicPr/>
                  </pic:nvPicPr>
                  <pic:blipFill>
                    <a:blip r:embed="rId17"/>
                    <a:stretch>
                      <a:fillRect/>
                    </a:stretch>
                  </pic:blipFill>
                  <pic:spPr>
                    <a:xfrm>
                      <a:off x="0" y="0"/>
                      <a:ext cx="4404941" cy="4003507"/>
                    </a:xfrm>
                    <a:prstGeom prst="rect">
                      <a:avLst/>
                    </a:prstGeom>
                  </pic:spPr>
                </pic:pic>
              </a:graphicData>
            </a:graphic>
          </wp:inline>
        </w:drawing>
      </w:r>
    </w:p>
    <w:p w14:paraId="5B82889F" w14:textId="556AB411" w:rsidR="0083375E" w:rsidRPr="00FC3C63" w:rsidRDefault="00FC3C63" w:rsidP="00E9585B">
      <w:pPr>
        <w:pStyle w:val="a3"/>
        <w:widowControl w:val="0"/>
        <w:spacing w:line="276" w:lineRule="auto"/>
        <w:jc w:val="both"/>
        <w:outlineLvl w:val="1"/>
        <w:rPr>
          <w:rFonts w:asciiTheme="minorHAnsi" w:hAnsiTheme="minorHAnsi" w:cstheme="minorHAnsi"/>
          <w:color w:val="000000" w:themeColor="text1"/>
          <w:kern w:val="2"/>
          <w:sz w:val="22"/>
          <w:szCs w:val="22"/>
        </w:rPr>
      </w:pPr>
      <w:r w:rsidRPr="00FC3C63">
        <w:rPr>
          <w:rFonts w:asciiTheme="minorHAnsi" w:hAnsiTheme="minorHAnsi" w:cstheme="minorHAnsi"/>
          <w:b/>
          <w:bCs/>
          <w:color w:val="000000" w:themeColor="text1"/>
          <w:kern w:val="2"/>
          <w:sz w:val="22"/>
          <w:szCs w:val="22"/>
        </w:rPr>
        <w:t xml:space="preserve">Supplementary Fig. </w:t>
      </w:r>
      <w:r w:rsidR="008B27CB" w:rsidRPr="00FC3C63">
        <w:rPr>
          <w:rFonts w:asciiTheme="minorHAnsi" w:hAnsiTheme="minorHAnsi" w:cstheme="minorHAnsi"/>
          <w:b/>
          <w:bCs/>
          <w:color w:val="000000" w:themeColor="text1"/>
          <w:kern w:val="2"/>
          <w:sz w:val="22"/>
          <w:szCs w:val="22"/>
        </w:rPr>
        <w:t>S</w:t>
      </w:r>
      <w:r w:rsidR="00D412CD">
        <w:rPr>
          <w:rFonts w:asciiTheme="minorHAnsi" w:hAnsiTheme="minorHAnsi" w:cstheme="minorHAnsi"/>
          <w:b/>
          <w:bCs/>
          <w:color w:val="000000" w:themeColor="text1"/>
          <w:kern w:val="2"/>
          <w:sz w:val="22"/>
          <w:szCs w:val="22"/>
        </w:rPr>
        <w:t>7</w:t>
      </w:r>
      <w:r w:rsidRPr="00FC3C63">
        <w:rPr>
          <w:rFonts w:asciiTheme="minorHAnsi" w:hAnsiTheme="minorHAnsi" w:cstheme="minorHAnsi"/>
          <w:b/>
          <w:bCs/>
          <w:color w:val="000000" w:themeColor="text1"/>
          <w:kern w:val="2"/>
          <w:sz w:val="22"/>
          <w:szCs w:val="22"/>
        </w:rPr>
        <w:t>. Validation of three WRF-GHG simulation scenarios against TCCON Hefei XCH</w:t>
      </w:r>
      <w:r w:rsidRPr="0045108A">
        <w:rPr>
          <w:rFonts w:asciiTheme="minorHAnsi" w:hAnsiTheme="minorHAnsi" w:cstheme="minorHAnsi"/>
          <w:b/>
          <w:bCs/>
          <w:color w:val="000000" w:themeColor="text1"/>
          <w:kern w:val="2"/>
          <w:sz w:val="22"/>
          <w:szCs w:val="22"/>
          <w:vertAlign w:val="subscript"/>
        </w:rPr>
        <w:t>4</w:t>
      </w:r>
      <w:r w:rsidRPr="00FC3C63">
        <w:rPr>
          <w:rFonts w:asciiTheme="minorHAnsi" w:hAnsiTheme="minorHAnsi" w:cstheme="minorHAnsi"/>
          <w:b/>
          <w:bCs/>
          <w:color w:val="000000" w:themeColor="text1"/>
          <w:kern w:val="2"/>
          <w:sz w:val="22"/>
          <w:szCs w:val="22"/>
        </w:rPr>
        <w:t xml:space="preserve"> daily means (31.91° N, 117.17° E; Liu et al., 2023) over 10 July to 15 September 2022. </w:t>
      </w:r>
      <w:r w:rsidRPr="00FC3C63">
        <w:rPr>
          <w:rFonts w:asciiTheme="minorHAnsi" w:hAnsiTheme="minorHAnsi" w:cstheme="minorHAnsi"/>
          <w:color w:val="000000" w:themeColor="text1"/>
          <w:kern w:val="2"/>
          <w:sz w:val="22"/>
          <w:szCs w:val="22"/>
        </w:rPr>
        <w:t>(a) Daily-mean XCH</w:t>
      </w:r>
      <w:r w:rsidRPr="00EA3C15">
        <w:rPr>
          <w:rFonts w:asciiTheme="minorHAnsi" w:hAnsiTheme="minorHAnsi" w:cstheme="minorHAnsi"/>
          <w:color w:val="000000" w:themeColor="text1"/>
          <w:kern w:val="2"/>
          <w:sz w:val="22"/>
          <w:szCs w:val="22"/>
          <w:vertAlign w:val="subscript"/>
        </w:rPr>
        <w:t>4</w:t>
      </w:r>
      <w:r w:rsidRPr="00FC3C63">
        <w:rPr>
          <w:rFonts w:asciiTheme="minorHAnsi" w:hAnsiTheme="minorHAnsi" w:cstheme="minorHAnsi"/>
          <w:color w:val="000000" w:themeColor="text1"/>
          <w:kern w:val="2"/>
          <w:sz w:val="22"/>
          <w:szCs w:val="22"/>
        </w:rPr>
        <w:t xml:space="preserve"> time series. TCCON Hefei daily mean (black filled circles connected by a dashed line) is shown with a daily uncertainty envelope (two grey dashed lines) computed by combining the mean retrieval precision and the intraday standard deviation in quadrature. The three model scenarios are plotted as coloured solid lines: Top-down (green squares; satellite-constrained Shanxi inventory), Top-down (±50%) (orange triangles; Shanxi inventory perturbed by ±50%), and Top-down (BTH-50%) (purple inverted triangles; BTH local inventory reduced by 50%). For each scenario, XCH</w:t>
      </w:r>
      <w:r w:rsidRPr="00FC3C63">
        <w:rPr>
          <w:rFonts w:asciiTheme="minorHAnsi" w:hAnsiTheme="minorHAnsi" w:cstheme="minorHAnsi"/>
          <w:color w:val="000000" w:themeColor="text1"/>
          <w:kern w:val="2"/>
          <w:sz w:val="22"/>
          <w:szCs w:val="22"/>
          <w:vertAlign w:val="subscript"/>
        </w:rPr>
        <w:t>4</w:t>
      </w:r>
      <w:r w:rsidRPr="00FC3C63">
        <w:rPr>
          <w:rFonts w:asciiTheme="minorHAnsi" w:hAnsiTheme="minorHAnsi" w:cstheme="minorHAnsi"/>
          <w:color w:val="000000" w:themeColor="text1"/>
          <w:kern w:val="2"/>
          <w:sz w:val="22"/>
          <w:szCs w:val="22"/>
        </w:rPr>
        <w:t xml:space="preserve"> at the nearest d02 (9 km) grid point was computed as the dry-air-density-weighted column average of the total simulated CH</w:t>
      </w:r>
      <w:r w:rsidRPr="00FC3C63">
        <w:rPr>
          <w:rFonts w:asciiTheme="minorHAnsi" w:hAnsiTheme="minorHAnsi" w:cstheme="minorHAnsi"/>
          <w:color w:val="000000" w:themeColor="text1"/>
          <w:kern w:val="2"/>
          <w:sz w:val="22"/>
          <w:szCs w:val="22"/>
          <w:vertAlign w:val="subscript"/>
        </w:rPr>
        <w:t>4</w:t>
      </w:r>
      <w:r w:rsidRPr="00FC3C63">
        <w:rPr>
          <w:rFonts w:asciiTheme="minorHAnsi" w:hAnsiTheme="minorHAnsi" w:cstheme="minorHAnsi"/>
          <w:color w:val="000000" w:themeColor="text1"/>
          <w:kern w:val="2"/>
          <w:sz w:val="22"/>
          <w:szCs w:val="22"/>
        </w:rPr>
        <w:t xml:space="preserve"> following manuscript Eq. 1–2, and sub-hourly model output was aggregated</w:t>
      </w:r>
      <w:r w:rsidRPr="00FC3C63">
        <w:rPr>
          <w:rFonts w:asciiTheme="minorHAnsi" w:hAnsiTheme="minorHAnsi" w:cstheme="minorHAnsi" w:hint="eastAsia"/>
          <w:color w:val="000000" w:themeColor="text1"/>
          <w:kern w:val="2"/>
          <w:sz w:val="22"/>
          <w:szCs w:val="22"/>
        </w:rPr>
        <w:t xml:space="preserve"> to daily means matched to TCCON daily means by calendar day. TCCON observations were quality-controlled following the GGG2020 standard (xluft within [0.96, 1.04]; solar zenith angle </w:t>
      </w:r>
      <w:r w:rsidRPr="00FC3C63">
        <w:rPr>
          <w:rFonts w:asciiTheme="minorHAnsi" w:hAnsiTheme="minorHAnsi" w:cstheme="minorHAnsi" w:hint="eastAsia"/>
          <w:color w:val="000000" w:themeColor="text1"/>
          <w:kern w:val="2"/>
          <w:sz w:val="22"/>
          <w:szCs w:val="22"/>
        </w:rPr>
        <w:t>≤</w:t>
      </w:r>
      <w:r w:rsidRPr="00FC3C63">
        <w:rPr>
          <w:rFonts w:asciiTheme="minorHAnsi" w:hAnsiTheme="minorHAnsi" w:cstheme="minorHAnsi" w:hint="eastAsia"/>
          <w:color w:val="000000" w:themeColor="text1"/>
          <w:kern w:val="2"/>
          <w:sz w:val="22"/>
          <w:szCs w:val="22"/>
        </w:rPr>
        <w:t xml:space="preserve"> 75</w:t>
      </w:r>
      <w:r w:rsidRPr="00DE76D4">
        <w:rPr>
          <w:rFonts w:asciiTheme="minorHAnsi" w:hAnsiTheme="minorHAnsi" w:cstheme="minorHAnsi"/>
          <w:color w:val="000000" w:themeColor="text1"/>
          <w:kern w:val="2"/>
          <w:sz w:val="22"/>
          <w:szCs w:val="22"/>
        </w:rPr>
        <w:t>°</w:t>
      </w:r>
      <w:r w:rsidRPr="00FC3C63">
        <w:rPr>
          <w:rFonts w:asciiTheme="minorHAnsi" w:hAnsiTheme="minorHAnsi" w:cstheme="minorHAnsi" w:hint="eastAsia"/>
          <w:color w:val="000000" w:themeColor="text1"/>
          <w:kern w:val="2"/>
          <w:sz w:val="22"/>
          <w:szCs w:val="22"/>
        </w:rPr>
        <w:t xml:space="preserve">), yielding n = 25 matched daily means. (b) Daily model-minus-TCCON </w:t>
      </w:r>
      <w:r w:rsidRPr="00FC3C63">
        <w:rPr>
          <w:rFonts w:asciiTheme="minorHAnsi" w:hAnsiTheme="minorHAnsi" w:cstheme="minorHAnsi"/>
          <w:color w:val="000000" w:themeColor="text1"/>
          <w:kern w:val="2"/>
          <w:sz w:val="22"/>
          <w:szCs w:val="22"/>
        </w:rPr>
        <w:t>difference (WRF − TCCON) for each scenario, with bar widths nested for side-by-side comparison. Per-scenario mean bias and RMSE across the 25 matched days are annotated in the legend of panel (a).</w:t>
      </w:r>
    </w:p>
    <w:p w14:paraId="5DE16653" w14:textId="3764A39B" w:rsidR="00A910D1" w:rsidRPr="00A910D1" w:rsidRDefault="00A910D1" w:rsidP="00A910D1">
      <w:pPr>
        <w:pStyle w:val="ae"/>
        <w:spacing w:after="0" w:afterAutospacing="0" w:line="360" w:lineRule="auto"/>
        <w:rPr>
          <w:rFonts w:ascii="Arial" w:hAnsi="Arial" w:cs="Arial"/>
          <w:sz w:val="22"/>
          <w:szCs w:val="22"/>
          <w:lang w:val="en-SG"/>
        </w:rPr>
      </w:pPr>
      <w:r w:rsidRPr="00A910D1">
        <w:rPr>
          <w:rFonts w:ascii="Arial" w:hAnsi="Arial" w:cs="Arial"/>
          <w:b/>
          <w:bCs/>
          <w:sz w:val="22"/>
          <w:szCs w:val="22"/>
          <w:lang w:val="en-SG"/>
        </w:rPr>
        <w:t xml:space="preserve">Validation against </w:t>
      </w:r>
      <w:r w:rsidR="000C155F" w:rsidRPr="000C155F">
        <w:rPr>
          <w:rFonts w:ascii="Arial" w:hAnsi="Arial" w:cs="Arial"/>
          <w:b/>
          <w:bCs/>
          <w:sz w:val="22"/>
          <w:szCs w:val="22"/>
          <w:lang w:val="en-SG"/>
        </w:rPr>
        <w:t>COCCON</w:t>
      </w:r>
      <w:r w:rsidRPr="00A910D1">
        <w:rPr>
          <w:rFonts w:ascii="Arial" w:hAnsi="Arial" w:cs="Arial"/>
          <w:b/>
          <w:bCs/>
          <w:sz w:val="22"/>
          <w:szCs w:val="22"/>
          <w:lang w:val="en-SG"/>
        </w:rPr>
        <w:t xml:space="preserve"> column measurements at the Shanxi source region.</w:t>
      </w:r>
      <w:r w:rsidRPr="00A910D1">
        <w:rPr>
          <w:rFonts w:ascii="Arial" w:hAnsi="Arial" w:cs="Arial"/>
          <w:sz w:val="22"/>
          <w:szCs w:val="22"/>
          <w:lang w:val="en-SG"/>
        </w:rPr>
        <w:t xml:space="preserve"> Column XCH</w:t>
      </w:r>
      <w:r w:rsidR="003A30A7" w:rsidRPr="003A30A7">
        <w:rPr>
          <w:rFonts w:ascii="Arial" w:hAnsi="Arial" w:cs="Arial" w:hint="eastAsia"/>
          <w:sz w:val="22"/>
          <w:szCs w:val="22"/>
          <w:vertAlign w:val="subscript"/>
          <w:lang w:val="en-SG"/>
        </w:rPr>
        <w:t>4</w:t>
      </w:r>
      <w:r w:rsidRPr="00A910D1">
        <w:rPr>
          <w:rFonts w:ascii="Arial" w:hAnsi="Arial" w:cs="Arial"/>
          <w:sz w:val="22"/>
          <w:szCs w:val="22"/>
          <w:lang w:val="en-SG"/>
        </w:rPr>
        <w:t xml:space="preserve"> measurements from two portable EM27/SUN solar absorption spectrometers (</w:t>
      </w:r>
      <w:r w:rsidR="00A84230" w:rsidRPr="00A84230">
        <w:rPr>
          <w:rFonts w:ascii="Arial" w:hAnsi="Arial" w:cs="Arial"/>
          <w:sz w:val="22"/>
          <w:szCs w:val="22"/>
          <w:lang w:val="en-SG"/>
        </w:rPr>
        <w:t>COCCON</w:t>
      </w:r>
      <w:r w:rsidRPr="00A910D1">
        <w:rPr>
          <w:rFonts w:ascii="Arial" w:hAnsi="Arial" w:cs="Arial"/>
          <w:sz w:val="22"/>
          <w:szCs w:val="22"/>
          <w:lang w:val="en-SG"/>
        </w:rPr>
        <w:t xml:space="preserve"> SN38 and SN5</w:t>
      </w:r>
      <w:r w:rsidR="00F16A2A">
        <w:rPr>
          <w:rFonts w:ascii="Arial" w:hAnsi="Arial" w:cs="Arial" w:hint="eastAsia"/>
          <w:sz w:val="22"/>
          <w:szCs w:val="22"/>
          <w:lang w:val="en-SG"/>
        </w:rPr>
        <w:t>3</w:t>
      </w:r>
      <w:r w:rsidRPr="00A910D1">
        <w:rPr>
          <w:rFonts w:ascii="Arial" w:hAnsi="Arial" w:cs="Arial"/>
          <w:sz w:val="22"/>
          <w:szCs w:val="22"/>
          <w:lang w:val="en-SG"/>
        </w:rPr>
        <w:t xml:space="preserve">) were collected at 10 field sites concentrated in the southeastern Shanxi coalfield (35.99 to 36.14 N, 112.88 to 112.96 E) from </w:t>
      </w:r>
      <w:r w:rsidR="00554912">
        <w:rPr>
          <w:rFonts w:ascii="Arial" w:hAnsi="Arial" w:cs="Arial" w:hint="eastAsia"/>
          <w:sz w:val="22"/>
          <w:szCs w:val="22"/>
          <w:lang w:val="en-SG"/>
        </w:rPr>
        <w:t>2</w:t>
      </w:r>
      <w:r w:rsidRPr="00A910D1">
        <w:rPr>
          <w:rFonts w:ascii="Arial" w:hAnsi="Arial" w:cs="Arial"/>
          <w:sz w:val="22"/>
          <w:szCs w:val="22"/>
          <w:lang w:val="en-SG"/>
        </w:rPr>
        <w:t xml:space="preserve"> </w:t>
      </w:r>
      <w:r w:rsidR="00554912">
        <w:rPr>
          <w:rFonts w:ascii="Arial" w:hAnsi="Arial" w:cs="Arial" w:hint="eastAsia"/>
          <w:sz w:val="22"/>
          <w:szCs w:val="22"/>
          <w:lang w:val="en-SG"/>
        </w:rPr>
        <w:t>August</w:t>
      </w:r>
      <w:r w:rsidRPr="00A910D1">
        <w:rPr>
          <w:rFonts w:ascii="Arial" w:hAnsi="Arial" w:cs="Arial"/>
          <w:sz w:val="22"/>
          <w:szCs w:val="22"/>
          <w:lang w:val="en-SG"/>
        </w:rPr>
        <w:t xml:space="preserve"> to </w:t>
      </w:r>
      <w:r w:rsidR="00307669">
        <w:rPr>
          <w:rFonts w:ascii="Arial" w:hAnsi="Arial" w:cs="Arial" w:hint="eastAsia"/>
          <w:sz w:val="22"/>
          <w:szCs w:val="22"/>
          <w:lang w:val="en-SG"/>
        </w:rPr>
        <w:t>7</w:t>
      </w:r>
      <w:r w:rsidRPr="00A910D1">
        <w:rPr>
          <w:rFonts w:ascii="Arial" w:hAnsi="Arial" w:cs="Arial"/>
          <w:sz w:val="22"/>
          <w:szCs w:val="22"/>
          <w:lang w:val="en-SG"/>
        </w:rPr>
        <w:t xml:space="preserve"> </w:t>
      </w:r>
      <w:r w:rsidR="00BE51E6" w:rsidRPr="00BE51E6">
        <w:rPr>
          <w:rFonts w:ascii="Arial" w:hAnsi="Arial" w:cs="Arial"/>
          <w:sz w:val="22"/>
          <w:szCs w:val="22"/>
          <w:lang w:val="en-SG"/>
        </w:rPr>
        <w:t>September</w:t>
      </w:r>
      <w:r w:rsidRPr="00A910D1">
        <w:rPr>
          <w:rFonts w:ascii="Arial" w:hAnsi="Arial" w:cs="Arial"/>
          <w:sz w:val="22"/>
          <w:szCs w:val="22"/>
          <w:lang w:val="en-SG"/>
        </w:rPr>
        <w:t xml:space="preserve"> 2022. All retrievals passed standard GGG quality control (XAIR in 0.99 to 1.01; apparent solar zenith </w:t>
      </w:r>
      <w:r w:rsidRPr="00A910D1">
        <w:rPr>
          <w:rFonts w:ascii="Arial" w:hAnsi="Arial" w:cs="Arial"/>
          <w:sz w:val="22"/>
          <w:szCs w:val="22"/>
          <w:lang w:val="en-SG"/>
        </w:rPr>
        <w:lastRenderedPageBreak/>
        <w:t>angle below 75 degrees). After spatial filtering to the Shanxi source area, 3,672 SN38 measurements and 4,589 SN5</w:t>
      </w:r>
      <w:r w:rsidR="00F16A2A">
        <w:rPr>
          <w:rFonts w:ascii="Arial" w:hAnsi="Arial" w:cs="Arial" w:hint="eastAsia"/>
          <w:sz w:val="22"/>
          <w:szCs w:val="22"/>
          <w:lang w:val="en-SG"/>
        </w:rPr>
        <w:t>3</w:t>
      </w:r>
      <w:r w:rsidRPr="00A910D1">
        <w:rPr>
          <w:rFonts w:ascii="Arial" w:hAnsi="Arial" w:cs="Arial"/>
          <w:sz w:val="22"/>
          <w:szCs w:val="22"/>
          <w:lang w:val="en-SG"/>
        </w:rPr>
        <w:t xml:space="preserve"> measurements were retained.</w:t>
      </w:r>
    </w:p>
    <w:p w14:paraId="2B1F7477" w14:textId="2CE19EE2" w:rsidR="00A910D1" w:rsidRPr="00A910D1" w:rsidRDefault="00DE76D4" w:rsidP="00A910D1">
      <w:pPr>
        <w:pStyle w:val="ae"/>
        <w:spacing w:before="0" w:beforeAutospacing="0" w:after="0" w:afterAutospacing="0" w:line="360" w:lineRule="auto"/>
        <w:rPr>
          <w:rFonts w:ascii="Arial" w:hAnsi="Arial" w:cs="Arial"/>
          <w:sz w:val="22"/>
          <w:szCs w:val="22"/>
          <w:lang w:val="en-SG"/>
        </w:rPr>
      </w:pPr>
      <w:r w:rsidRPr="00DE76D4">
        <w:rPr>
          <w:rFonts w:ascii="Arial" w:hAnsi="Arial" w:cs="Arial"/>
          <w:sz w:val="22"/>
          <w:szCs w:val="22"/>
          <w:lang w:val="en-SG"/>
        </w:rPr>
        <w:t xml:space="preserve">Inter-instrument consistency between SN38 and SN53 was assessed using 355 co-located, QC-passed measurement pairs with inter-instrument distance below 1 km. Bland-Altman analysis yields a mean bias of -0.48 ppb (SN53 minus SN38) with 95% limits of agreement of -5.09 to +4.12 ppb (Fig. </w:t>
      </w:r>
      <w:r w:rsidR="008B27CB" w:rsidRPr="00DE76D4">
        <w:rPr>
          <w:rFonts w:ascii="Arial" w:hAnsi="Arial" w:cs="Arial"/>
          <w:sz w:val="22"/>
          <w:szCs w:val="22"/>
          <w:lang w:val="en-SG"/>
        </w:rPr>
        <w:t>S</w:t>
      </w:r>
      <w:r w:rsidR="00D412CD">
        <w:rPr>
          <w:rFonts w:ascii="Arial" w:hAnsi="Arial" w:cs="Arial"/>
          <w:sz w:val="22"/>
          <w:szCs w:val="22"/>
          <w:lang w:val="en-SG"/>
        </w:rPr>
        <w:t>8</w:t>
      </w:r>
      <w:r w:rsidR="008B27CB" w:rsidRPr="00DE76D4">
        <w:rPr>
          <w:rFonts w:ascii="Arial" w:hAnsi="Arial" w:cs="Arial"/>
          <w:sz w:val="22"/>
          <w:szCs w:val="22"/>
          <w:lang w:val="en-SG"/>
        </w:rPr>
        <w:t>c</w:t>
      </w:r>
      <w:r w:rsidRPr="00DE76D4">
        <w:rPr>
          <w:rFonts w:ascii="Arial" w:hAnsi="Arial" w:cs="Arial"/>
          <w:sz w:val="22"/>
          <w:szCs w:val="22"/>
          <w:lang w:val="en-SG"/>
        </w:rPr>
        <w:t>)</w:t>
      </w:r>
      <w:r w:rsidRPr="00A910D1">
        <w:rPr>
          <w:rFonts w:ascii="Arial" w:hAnsi="Arial" w:cs="Arial"/>
          <w:sz w:val="22"/>
          <w:szCs w:val="22"/>
          <w:lang w:val="en-SG"/>
        </w:rPr>
        <w:t>, confirming that the two instruments are mutually consistent within their combined measurement uncertainty.</w:t>
      </w:r>
    </w:p>
    <w:p w14:paraId="70C3CBCC" w14:textId="1CDACB8D" w:rsidR="00A910D1" w:rsidRPr="00A910D1" w:rsidRDefault="00A910D1" w:rsidP="00A910D1">
      <w:pPr>
        <w:pStyle w:val="ae"/>
        <w:spacing w:before="0" w:beforeAutospacing="0" w:after="0" w:afterAutospacing="0" w:line="360" w:lineRule="auto"/>
        <w:rPr>
          <w:rFonts w:ascii="Arial" w:hAnsi="Arial" w:cs="Arial"/>
          <w:sz w:val="22"/>
          <w:szCs w:val="22"/>
          <w:lang w:val="en-SG"/>
        </w:rPr>
      </w:pPr>
      <w:r w:rsidRPr="00A910D1">
        <w:rPr>
          <w:rFonts w:ascii="Arial" w:hAnsi="Arial" w:cs="Arial"/>
          <w:sz w:val="22"/>
          <w:szCs w:val="22"/>
          <w:lang w:val="en-SG"/>
        </w:rPr>
        <w:t xml:space="preserve">The 10 measurement sites were grouped by location and matched to the nearest WRF-GHG grid points at both d02 (9 km) and d03 (3 km) resolutions. WRF hourly output was sampled at the same UTC hours as </w:t>
      </w:r>
      <w:r w:rsidR="00A84230" w:rsidRPr="00A84230">
        <w:rPr>
          <w:rFonts w:ascii="Arial" w:hAnsi="Arial" w:cs="Arial"/>
          <w:sz w:val="22"/>
          <w:szCs w:val="22"/>
          <w:lang w:val="en-SG"/>
        </w:rPr>
        <w:t>COCCON</w:t>
      </w:r>
      <w:r w:rsidRPr="00A910D1">
        <w:rPr>
          <w:rFonts w:ascii="Arial" w:hAnsi="Arial" w:cs="Arial"/>
          <w:sz w:val="22"/>
          <w:szCs w:val="22"/>
          <w:lang w:val="en-SG"/>
        </w:rPr>
        <w:t xml:space="preserve"> observations and aggregated to daily means per site-grid pairing (minimum 5 observations per day). Statistical results at both resolutions are summarized in Supplementary Table S</w:t>
      </w:r>
      <w:r w:rsidR="00672C1B">
        <w:rPr>
          <w:rFonts w:ascii="Arial" w:hAnsi="Arial" w:cs="Arial" w:hint="eastAsia"/>
          <w:sz w:val="22"/>
          <w:szCs w:val="22"/>
          <w:lang w:val="en-SG"/>
        </w:rPr>
        <w:t>4</w:t>
      </w:r>
      <w:r w:rsidRPr="00A910D1">
        <w:rPr>
          <w:rFonts w:ascii="Arial" w:hAnsi="Arial" w:cs="Arial"/>
          <w:sz w:val="22"/>
          <w:szCs w:val="22"/>
          <w:lang w:val="en-SG"/>
        </w:rPr>
        <w:t>. Pooled SN38 daily-mean correlations against the Top-down simulation are R = 0.18 at d02 and R = 0.30 at d03, with mean biases of +5.1 and +17.0 ppbv respectively; corresponding correlations and biases against EDGAR are R = 0.34 and R = 0.52, with biases of -27.5 and -18.3 ppbv. The two resolutions yield consistent qualitative conclusions across all four model-instrument combinations.</w:t>
      </w:r>
    </w:p>
    <w:p w14:paraId="226E57C2" w14:textId="00141707" w:rsidR="00A910D1" w:rsidRPr="00A910D1" w:rsidRDefault="00A910D1" w:rsidP="00A910D1">
      <w:pPr>
        <w:pStyle w:val="ae"/>
        <w:spacing w:before="0" w:beforeAutospacing="0" w:after="0" w:afterAutospacing="0" w:line="360" w:lineRule="auto"/>
        <w:rPr>
          <w:rFonts w:ascii="Arial" w:hAnsi="Arial" w:cs="Arial"/>
          <w:sz w:val="22"/>
          <w:szCs w:val="22"/>
          <w:lang w:val="en-SG"/>
        </w:rPr>
      </w:pPr>
      <w:r w:rsidRPr="00A910D1">
        <w:rPr>
          <w:rFonts w:ascii="Arial" w:hAnsi="Arial" w:cs="Arial"/>
          <w:sz w:val="22"/>
          <w:szCs w:val="22"/>
          <w:lang w:val="en-SG"/>
        </w:rPr>
        <w:t xml:space="preserve">The contrasting bias signs between Top-down (+5.1 to +17.0 ppbv) and EDGAR (-27.5 to -18.3 ppbv) at this source-region supersite reflect the differing spatial characteristics of the two inventory products. The satellite-constrained Top-down inventory resolves emission hotspots at the native retrieval resolution of approximately 7 km, and small positional offsets between the resolved hotspot and the in-situ measurement site can produce local positive biases in the simulated column. The EDGAR </w:t>
      </w:r>
      <w:r w:rsidR="001C29DB" w:rsidRPr="00A910D1">
        <w:rPr>
          <w:rFonts w:ascii="Arial" w:hAnsi="Arial" w:cs="Arial"/>
          <w:sz w:val="22"/>
          <w:szCs w:val="22"/>
          <w:lang w:val="en-SG"/>
        </w:rPr>
        <w:t>0.1-degree</w:t>
      </w:r>
      <w:r w:rsidRPr="00A910D1">
        <w:rPr>
          <w:rFonts w:ascii="Arial" w:hAnsi="Arial" w:cs="Arial"/>
          <w:sz w:val="22"/>
          <w:szCs w:val="22"/>
          <w:lang w:val="en-SG"/>
        </w:rPr>
        <w:t xml:space="preserve"> gridded climatology, by construction, spatially smooths emission peaks across grid cells and consequently underestimates concentrations at hotspot locations such as the active coal mining clusters sampled here. The two inventories therefore bracket the source-region observations from opposite directions with comparable bias magnitudes of approximately 18 to 28 ppbv, indicating that they provide complementary rather than contradictory constraints on the Shanxi emission field.</w:t>
      </w:r>
    </w:p>
    <w:p w14:paraId="0610ECF1" w14:textId="301484A6" w:rsidR="00A910D1" w:rsidRPr="00A910D1" w:rsidRDefault="00A910D1" w:rsidP="009A7962">
      <w:pPr>
        <w:pStyle w:val="ae"/>
        <w:spacing w:before="0" w:beforeAutospacing="0" w:after="0" w:afterAutospacing="0" w:line="360" w:lineRule="auto"/>
        <w:rPr>
          <w:rFonts w:ascii="Arial" w:hAnsi="Arial" w:cs="Arial"/>
          <w:sz w:val="22"/>
          <w:szCs w:val="22"/>
          <w:lang w:val="en-SG"/>
        </w:rPr>
      </w:pPr>
      <w:r w:rsidRPr="00A910D1">
        <w:rPr>
          <w:rFonts w:ascii="Arial" w:hAnsi="Arial" w:cs="Arial"/>
          <w:sz w:val="22"/>
          <w:szCs w:val="22"/>
          <w:lang w:val="en-SG"/>
        </w:rPr>
        <w:t>This source-region behaviour does not contradict the BTH receptor-region validation reported in the main text. The Top-down inventory</w:t>
      </w:r>
      <w:r>
        <w:rPr>
          <w:rFonts w:ascii="Arial" w:hAnsi="Arial" w:cs="Arial"/>
          <w:sz w:val="22"/>
          <w:szCs w:val="22"/>
          <w:lang w:val="en-SG"/>
        </w:rPr>
        <w:t>’</w:t>
      </w:r>
      <w:r w:rsidRPr="00A910D1">
        <w:rPr>
          <w:rFonts w:ascii="Arial" w:hAnsi="Arial" w:cs="Arial"/>
          <w:sz w:val="22"/>
          <w:szCs w:val="22"/>
          <w:lang w:val="en-SG"/>
        </w:rPr>
        <w:t xml:space="preserve">s advantage emerges most clearly in the region-integrated transboundary transport signal at TCCON Xianghe (Fig. 2e-f and Fig. 7), where the regional total Shanxi source magnitude rather than the precise km-scale spatial distribution controls the downwind column anomaly. The two validation scenarios are therefore consistent: Top-down outperforms EDGAR at the regional and transboundary scale where total source magnitude dominates the simulated signal, while the two inventories provide complementary </w:t>
      </w:r>
      <w:r w:rsidRPr="00A910D1">
        <w:rPr>
          <w:rFonts w:ascii="Arial" w:hAnsi="Arial" w:cs="Arial"/>
          <w:sz w:val="22"/>
          <w:szCs w:val="22"/>
          <w:lang w:val="en-SG"/>
        </w:rPr>
        <w:lastRenderedPageBreak/>
        <w:t>information at the source supersite scale where local spatial positioning becomes the controlling factor.</w:t>
      </w:r>
      <w:r w:rsidR="00EA1FBF">
        <w:rPr>
          <w:rFonts w:ascii="Arial" w:hAnsi="Arial" w:cs="Arial" w:hint="eastAsia"/>
          <w:sz w:val="22"/>
          <w:szCs w:val="22"/>
          <w:lang w:val="en-SG"/>
        </w:rPr>
        <w:t xml:space="preserve"> </w:t>
      </w:r>
      <w:r w:rsidR="00EA1FBF" w:rsidRPr="00EA1FBF">
        <w:rPr>
          <w:rFonts w:ascii="Arial" w:hAnsi="Arial" w:cs="Arial"/>
          <w:sz w:val="22"/>
          <w:szCs w:val="22"/>
          <w:lang w:val="en-SG"/>
        </w:rPr>
        <w:t>The interquartile range of daily model-observation differences spans approximately 70 to 90 ppbv across all four model-inventory combinations (Supplementary Table S</w:t>
      </w:r>
      <w:r w:rsidR="0017795E">
        <w:rPr>
          <w:rFonts w:ascii="Arial" w:hAnsi="Arial" w:cs="Arial" w:hint="eastAsia"/>
          <w:sz w:val="22"/>
          <w:szCs w:val="22"/>
          <w:lang w:val="en-SG"/>
        </w:rPr>
        <w:t>4</w:t>
      </w:r>
      <w:r w:rsidR="00EA1FBF" w:rsidRPr="00EA1FBF">
        <w:rPr>
          <w:rFonts w:ascii="Arial" w:hAnsi="Arial" w:cs="Arial"/>
          <w:sz w:val="22"/>
          <w:szCs w:val="22"/>
          <w:lang w:val="en-SG"/>
        </w:rPr>
        <w:t>), directly quantifying the representativeness error between point-scale column observations and grid-averaged model output in a region of strong sub-grid emission heterogeneity.</w:t>
      </w:r>
    </w:p>
    <w:p w14:paraId="2A6CCF62" w14:textId="28580B84" w:rsidR="009D6590" w:rsidRPr="0083375E" w:rsidRDefault="00A910D1" w:rsidP="009A7962">
      <w:pPr>
        <w:pStyle w:val="ae"/>
        <w:spacing w:before="0" w:beforeAutospacing="0" w:after="0" w:afterAutospacing="0"/>
        <w:rPr>
          <w:rFonts w:ascii="Arial" w:hAnsi="Arial" w:cs="Arial"/>
          <w:sz w:val="22"/>
          <w:szCs w:val="22"/>
        </w:rPr>
      </w:pPr>
      <w:r>
        <w:rPr>
          <w:rFonts w:ascii="Arial" w:hAnsi="Arial" w:cs="Arial"/>
          <w:noProof/>
          <w:sz w:val="22"/>
          <w:szCs w:val="22"/>
        </w:rPr>
        <w:drawing>
          <wp:inline distT="0" distB="0" distL="0" distR="0" wp14:anchorId="54BE9015" wp14:editId="436BA638">
            <wp:extent cx="5943600" cy="1999615"/>
            <wp:effectExtent l="0" t="0" r="0" b="635"/>
            <wp:docPr id="1066960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60168" name="Picture 1066960168"/>
                    <pic:cNvPicPr/>
                  </pic:nvPicPr>
                  <pic:blipFill>
                    <a:blip r:embed="rId18"/>
                    <a:stretch>
                      <a:fillRect/>
                    </a:stretch>
                  </pic:blipFill>
                  <pic:spPr>
                    <a:xfrm>
                      <a:off x="0" y="0"/>
                      <a:ext cx="5943600" cy="1999615"/>
                    </a:xfrm>
                    <a:prstGeom prst="rect">
                      <a:avLst/>
                    </a:prstGeom>
                  </pic:spPr>
                </pic:pic>
              </a:graphicData>
            </a:graphic>
          </wp:inline>
        </w:drawing>
      </w:r>
    </w:p>
    <w:p w14:paraId="776A2BA4" w14:textId="0C5407ED" w:rsidR="0083375E" w:rsidRDefault="00A910D1" w:rsidP="00E9585B">
      <w:pPr>
        <w:pStyle w:val="a3"/>
        <w:widowControl w:val="0"/>
        <w:spacing w:line="276" w:lineRule="auto"/>
        <w:jc w:val="both"/>
        <w:outlineLvl w:val="1"/>
        <w:rPr>
          <w:rFonts w:asciiTheme="minorHAnsi" w:hAnsiTheme="minorHAnsi" w:cstheme="minorHAnsi"/>
          <w:color w:val="000000" w:themeColor="text1"/>
          <w:kern w:val="2"/>
          <w:sz w:val="22"/>
          <w:szCs w:val="22"/>
        </w:rPr>
      </w:pPr>
      <w:r w:rsidRPr="00A910D1">
        <w:rPr>
          <w:rFonts w:asciiTheme="minorHAnsi" w:hAnsiTheme="minorHAnsi" w:cstheme="minorHAnsi"/>
          <w:b/>
          <w:bCs/>
          <w:color w:val="000000" w:themeColor="text1"/>
          <w:kern w:val="2"/>
          <w:sz w:val="22"/>
          <w:szCs w:val="22"/>
        </w:rPr>
        <w:t xml:space="preserve">Supplementary Fig. </w:t>
      </w:r>
      <w:r w:rsidR="008B27CB" w:rsidRPr="00A910D1">
        <w:rPr>
          <w:rFonts w:asciiTheme="minorHAnsi" w:hAnsiTheme="minorHAnsi" w:cstheme="minorHAnsi"/>
          <w:b/>
          <w:bCs/>
          <w:color w:val="000000" w:themeColor="text1"/>
          <w:kern w:val="2"/>
          <w:sz w:val="22"/>
          <w:szCs w:val="22"/>
        </w:rPr>
        <w:t>S</w:t>
      </w:r>
      <w:r w:rsidR="00D412CD">
        <w:rPr>
          <w:rFonts w:asciiTheme="minorHAnsi" w:hAnsiTheme="minorHAnsi" w:cstheme="minorHAnsi"/>
          <w:b/>
          <w:bCs/>
          <w:color w:val="000000" w:themeColor="text1"/>
          <w:kern w:val="2"/>
          <w:sz w:val="22"/>
          <w:szCs w:val="22"/>
        </w:rPr>
        <w:t>8</w:t>
      </w:r>
      <w:r w:rsidRPr="00A910D1">
        <w:rPr>
          <w:rFonts w:asciiTheme="minorHAnsi" w:hAnsiTheme="minorHAnsi" w:cstheme="minorHAnsi"/>
          <w:b/>
          <w:bCs/>
          <w:color w:val="000000" w:themeColor="text1"/>
          <w:kern w:val="2"/>
          <w:sz w:val="22"/>
          <w:szCs w:val="22"/>
        </w:rPr>
        <w:t>.</w:t>
      </w:r>
      <w:r w:rsidRPr="00A910D1">
        <w:rPr>
          <w:rFonts w:asciiTheme="minorHAnsi" w:hAnsiTheme="minorHAnsi" w:cstheme="minorHAnsi"/>
          <w:color w:val="000000" w:themeColor="text1"/>
          <w:kern w:val="2"/>
          <w:sz w:val="22"/>
          <w:szCs w:val="22"/>
        </w:rPr>
        <w:t xml:space="preserve"> </w:t>
      </w:r>
      <w:r w:rsidRPr="00A910D1">
        <w:rPr>
          <w:rFonts w:asciiTheme="minorHAnsi" w:hAnsiTheme="minorHAnsi" w:cstheme="minorHAnsi"/>
          <w:b/>
          <w:bCs/>
          <w:color w:val="000000" w:themeColor="text1"/>
          <w:kern w:val="2"/>
          <w:sz w:val="22"/>
          <w:szCs w:val="22"/>
        </w:rPr>
        <w:t xml:space="preserve">Validation of WRF-GHG d03 (3 km) simulations against </w:t>
      </w:r>
      <w:r w:rsidR="00A84230" w:rsidRPr="00A84230">
        <w:rPr>
          <w:rFonts w:asciiTheme="minorHAnsi" w:hAnsiTheme="minorHAnsi" w:cstheme="minorHAnsi"/>
          <w:b/>
          <w:bCs/>
          <w:color w:val="000000" w:themeColor="text1"/>
          <w:kern w:val="2"/>
          <w:sz w:val="22"/>
          <w:szCs w:val="22"/>
        </w:rPr>
        <w:t>COCCON</w:t>
      </w:r>
      <w:r w:rsidRPr="00A910D1">
        <w:rPr>
          <w:rFonts w:asciiTheme="minorHAnsi" w:hAnsiTheme="minorHAnsi" w:cstheme="minorHAnsi"/>
          <w:b/>
          <w:bCs/>
          <w:color w:val="000000" w:themeColor="text1"/>
          <w:kern w:val="2"/>
          <w:sz w:val="22"/>
          <w:szCs w:val="22"/>
        </w:rPr>
        <w:t xml:space="preserve"> EM27/SUN portable solar absorption spectrometer measurements at 10 sites in the southeastern Shanxi coal mine region (35.99 to 36.14 N, 112.88 to 112.97 E).</w:t>
      </w:r>
      <w:r w:rsidRPr="00A910D1">
        <w:rPr>
          <w:rFonts w:asciiTheme="minorHAnsi" w:hAnsiTheme="minorHAnsi" w:cstheme="minorHAnsi"/>
          <w:color w:val="000000" w:themeColor="text1"/>
          <w:kern w:val="2"/>
          <w:sz w:val="22"/>
          <w:szCs w:val="22"/>
        </w:rPr>
        <w:t xml:space="preserve"> All retrievals passed standard GGG quality control (XAIR in 0.99 to 1.01; apparent solar zenith angle below 75 degrees). (a) Daily-mean XCH</w:t>
      </w:r>
      <w:r w:rsidRPr="00A910D1">
        <w:rPr>
          <w:rFonts w:asciiTheme="minorHAnsi" w:hAnsiTheme="minorHAnsi" w:cstheme="minorHAnsi"/>
          <w:color w:val="000000" w:themeColor="text1"/>
          <w:kern w:val="2"/>
          <w:sz w:val="22"/>
          <w:szCs w:val="22"/>
          <w:vertAlign w:val="subscript"/>
        </w:rPr>
        <w:t>4</w:t>
      </w:r>
      <w:r w:rsidRPr="00A910D1">
        <w:rPr>
          <w:rFonts w:asciiTheme="minorHAnsi" w:hAnsiTheme="minorHAnsi" w:cstheme="minorHAnsi"/>
          <w:color w:val="000000" w:themeColor="text1"/>
          <w:kern w:val="2"/>
          <w:sz w:val="22"/>
          <w:szCs w:val="22"/>
        </w:rPr>
        <w:t xml:space="preserve"> time series from </w:t>
      </w:r>
      <w:r w:rsidR="00A84230" w:rsidRPr="00A84230">
        <w:rPr>
          <w:rFonts w:asciiTheme="minorHAnsi" w:hAnsiTheme="minorHAnsi" w:cstheme="minorHAnsi"/>
          <w:color w:val="000000" w:themeColor="text1"/>
          <w:kern w:val="2"/>
          <w:sz w:val="22"/>
          <w:szCs w:val="22"/>
        </w:rPr>
        <w:t>COCCON</w:t>
      </w:r>
      <w:r w:rsidRPr="00A910D1">
        <w:rPr>
          <w:rFonts w:asciiTheme="minorHAnsi" w:hAnsiTheme="minorHAnsi" w:cstheme="minorHAnsi"/>
          <w:color w:val="000000" w:themeColor="text1"/>
          <w:kern w:val="2"/>
          <w:sz w:val="22"/>
          <w:szCs w:val="22"/>
        </w:rPr>
        <w:t xml:space="preserve"> SN38 (blue circles, error bars show daily standard deviation) and SN5</w:t>
      </w:r>
      <w:r w:rsidR="00F16A2A">
        <w:rPr>
          <w:rFonts w:asciiTheme="minorHAnsi" w:hAnsiTheme="minorHAnsi" w:cstheme="minorHAnsi" w:hint="eastAsia"/>
          <w:color w:val="000000" w:themeColor="text1"/>
          <w:kern w:val="2"/>
          <w:sz w:val="22"/>
          <w:szCs w:val="22"/>
        </w:rPr>
        <w:t>3</w:t>
      </w:r>
      <w:r w:rsidRPr="00A910D1">
        <w:rPr>
          <w:rFonts w:asciiTheme="minorHAnsi" w:hAnsiTheme="minorHAnsi" w:cstheme="minorHAnsi"/>
          <w:color w:val="000000" w:themeColor="text1"/>
          <w:kern w:val="2"/>
          <w:sz w:val="22"/>
          <w:szCs w:val="22"/>
        </w:rPr>
        <w:t xml:space="preserve"> (red squares), compared with WRF-GHG EDGAR (pink) and Top-down (green) simulations averaged over the 3 by 3 d03 grid neighbourhood of each measurement site and sampled at the same UTC hours as </w:t>
      </w:r>
      <w:r w:rsidR="00A84230" w:rsidRPr="00A84230">
        <w:rPr>
          <w:rFonts w:asciiTheme="minorHAnsi" w:hAnsiTheme="minorHAnsi" w:cstheme="minorHAnsi"/>
          <w:color w:val="000000" w:themeColor="text1"/>
          <w:kern w:val="2"/>
          <w:sz w:val="22"/>
          <w:szCs w:val="22"/>
        </w:rPr>
        <w:t>COCCON</w:t>
      </w:r>
      <w:r w:rsidRPr="00A910D1">
        <w:rPr>
          <w:rFonts w:asciiTheme="minorHAnsi" w:hAnsiTheme="minorHAnsi" w:cstheme="minorHAnsi"/>
          <w:color w:val="000000" w:themeColor="text1"/>
          <w:kern w:val="2"/>
          <w:sz w:val="22"/>
          <w:szCs w:val="22"/>
        </w:rPr>
        <w:t xml:space="preserve"> observations. (b) Daily-mean scatter of WRF-GHG Top-down XCH</w:t>
      </w:r>
      <w:r w:rsidRPr="00A910D1">
        <w:rPr>
          <w:rFonts w:asciiTheme="minorHAnsi" w:hAnsiTheme="minorHAnsi" w:cstheme="minorHAnsi"/>
          <w:color w:val="000000" w:themeColor="text1"/>
          <w:kern w:val="2"/>
          <w:sz w:val="22"/>
          <w:szCs w:val="22"/>
          <w:vertAlign w:val="subscript"/>
        </w:rPr>
        <w:t>4</w:t>
      </w:r>
      <w:r w:rsidRPr="00A910D1">
        <w:rPr>
          <w:rFonts w:asciiTheme="minorHAnsi" w:hAnsiTheme="minorHAnsi" w:cstheme="minorHAnsi"/>
          <w:color w:val="000000" w:themeColor="text1"/>
          <w:kern w:val="2"/>
          <w:sz w:val="22"/>
          <w:szCs w:val="22"/>
        </w:rPr>
        <w:t xml:space="preserve"> against </w:t>
      </w:r>
      <w:r w:rsidR="00A84230" w:rsidRPr="00A84230">
        <w:rPr>
          <w:rFonts w:asciiTheme="minorHAnsi" w:hAnsiTheme="minorHAnsi" w:cstheme="minorHAnsi"/>
          <w:color w:val="000000" w:themeColor="text1"/>
          <w:kern w:val="2"/>
          <w:sz w:val="22"/>
          <w:szCs w:val="22"/>
        </w:rPr>
        <w:t>COCCON</w:t>
      </w:r>
      <w:r w:rsidRPr="00A910D1">
        <w:rPr>
          <w:rFonts w:asciiTheme="minorHAnsi" w:hAnsiTheme="minorHAnsi" w:cstheme="minorHAnsi"/>
          <w:color w:val="000000" w:themeColor="text1"/>
          <w:kern w:val="2"/>
          <w:sz w:val="22"/>
          <w:szCs w:val="22"/>
        </w:rPr>
        <w:t xml:space="preserve"> XCH</w:t>
      </w:r>
      <w:r w:rsidRPr="00A910D1">
        <w:rPr>
          <w:rFonts w:asciiTheme="minorHAnsi" w:hAnsiTheme="minorHAnsi" w:cstheme="minorHAnsi"/>
          <w:color w:val="000000" w:themeColor="text1"/>
          <w:kern w:val="2"/>
          <w:sz w:val="22"/>
          <w:szCs w:val="22"/>
          <w:vertAlign w:val="subscript"/>
        </w:rPr>
        <w:t>4</w:t>
      </w:r>
      <w:r w:rsidRPr="00A910D1">
        <w:rPr>
          <w:rFonts w:asciiTheme="minorHAnsi" w:hAnsiTheme="minorHAnsi" w:cstheme="minorHAnsi"/>
          <w:color w:val="000000" w:themeColor="text1"/>
          <w:kern w:val="2"/>
          <w:sz w:val="22"/>
          <w:szCs w:val="22"/>
        </w:rPr>
        <w:t xml:space="preserve"> for SN38 (n = 22 daily pairs) and SN5</w:t>
      </w:r>
      <w:r w:rsidR="00F16A2A">
        <w:rPr>
          <w:rFonts w:asciiTheme="minorHAnsi" w:hAnsiTheme="minorHAnsi" w:cstheme="minorHAnsi" w:hint="eastAsia"/>
          <w:color w:val="000000" w:themeColor="text1"/>
          <w:kern w:val="2"/>
          <w:sz w:val="22"/>
          <w:szCs w:val="22"/>
        </w:rPr>
        <w:t>3</w:t>
      </w:r>
      <w:r w:rsidRPr="00A910D1">
        <w:rPr>
          <w:rFonts w:asciiTheme="minorHAnsi" w:hAnsiTheme="minorHAnsi" w:cstheme="minorHAnsi"/>
          <w:color w:val="000000" w:themeColor="text1"/>
          <w:kern w:val="2"/>
          <w:sz w:val="22"/>
          <w:szCs w:val="22"/>
        </w:rPr>
        <w:t xml:space="preserve"> (n = 19) separately, with linear regression lines and statistical metrics. (c) Bland-Altman analysis of inter-instrument consistency using co-located QC-passed measurement pairs (inter-instrument distance less than 1 km, n = 355); horizontal lines show the mean bias (-0.48 ppb) and 95% limits of agreement (-5.09 to +4.12 ppb). </w:t>
      </w:r>
    </w:p>
    <w:p w14:paraId="02FFCDDE" w14:textId="51959796" w:rsidR="001E1CA9" w:rsidRPr="001E1CA9" w:rsidRDefault="00BE78BB" w:rsidP="001E1CA9">
      <w:pPr>
        <w:pStyle w:val="ae"/>
        <w:spacing w:before="0" w:beforeAutospacing="0" w:after="0" w:afterAutospacing="0" w:line="360" w:lineRule="auto"/>
        <w:rPr>
          <w:rFonts w:ascii="Arial" w:hAnsi="Arial" w:cs="Arial"/>
          <w:sz w:val="22"/>
          <w:szCs w:val="22"/>
          <w:lang w:val="en-SG"/>
        </w:rPr>
      </w:pPr>
      <w:r w:rsidRPr="00BE78BB">
        <w:rPr>
          <w:rFonts w:ascii="Arial" w:hAnsi="Arial" w:cs="Arial"/>
          <w:sz w:val="22"/>
          <w:szCs w:val="22"/>
          <w:lang w:val="en-SG"/>
        </w:rPr>
        <w:t>Statistics are computed from daily-mean XCH</w:t>
      </w:r>
      <w:r w:rsidRPr="00BE78BB">
        <w:rPr>
          <w:rFonts w:ascii="Arial" w:hAnsi="Arial" w:cs="Arial"/>
          <w:sz w:val="22"/>
          <w:szCs w:val="22"/>
          <w:vertAlign w:val="subscript"/>
          <w:lang w:val="en-SG"/>
        </w:rPr>
        <w:t>4</w:t>
      </w:r>
      <w:r w:rsidRPr="00BE78BB">
        <w:rPr>
          <w:rFonts w:ascii="Arial" w:hAnsi="Arial" w:cs="Arial"/>
          <w:sz w:val="22"/>
          <w:szCs w:val="22"/>
          <w:lang w:val="en-SG"/>
        </w:rPr>
        <w:t xml:space="preserve"> pairs between WRF-GHG simulations and </w:t>
      </w:r>
      <w:r w:rsidR="00A84230" w:rsidRPr="00A84230">
        <w:rPr>
          <w:rFonts w:ascii="Arial" w:hAnsi="Arial" w:cs="Arial"/>
          <w:sz w:val="22"/>
          <w:szCs w:val="22"/>
          <w:lang w:val="en-SG"/>
        </w:rPr>
        <w:t>COCCON</w:t>
      </w:r>
      <w:r w:rsidRPr="00BE78BB">
        <w:rPr>
          <w:rFonts w:ascii="Arial" w:hAnsi="Arial" w:cs="Arial"/>
          <w:sz w:val="22"/>
          <w:szCs w:val="22"/>
          <w:lang w:val="en-SG"/>
        </w:rPr>
        <w:t xml:space="preserve"> SN38 observations at 10 measurement sites in the southeastern Shanxi coalfield, after GGG quality control (XAIR in 0.99 to 1.01; apparent solar zenith angle below 75 degrees) and aggregation over the 3 by 3 model grid neighbourhood of each site. WRF output was sampled at the same UTC hours as </w:t>
      </w:r>
      <w:r w:rsidR="00A84230" w:rsidRPr="00A84230">
        <w:rPr>
          <w:rFonts w:ascii="Arial" w:hAnsi="Arial" w:cs="Arial"/>
          <w:sz w:val="22"/>
          <w:szCs w:val="22"/>
          <w:lang w:val="en-SG"/>
        </w:rPr>
        <w:t>COCCON</w:t>
      </w:r>
      <w:r w:rsidRPr="00BE78BB">
        <w:rPr>
          <w:rFonts w:ascii="Arial" w:hAnsi="Arial" w:cs="Arial"/>
          <w:sz w:val="22"/>
          <w:szCs w:val="22"/>
          <w:lang w:val="en-SG"/>
        </w:rPr>
        <w:t xml:space="preserve"> observations. Pearson correlation coefficient R with associated p-value, root-mean-square error (RMSE), and mean bias (WRF minus </w:t>
      </w:r>
      <w:r w:rsidR="00A84230" w:rsidRPr="00A84230">
        <w:rPr>
          <w:rFonts w:ascii="Arial" w:hAnsi="Arial" w:cs="Arial"/>
          <w:sz w:val="22"/>
          <w:szCs w:val="22"/>
          <w:lang w:val="en-SG"/>
        </w:rPr>
        <w:t>COCCON</w:t>
      </w:r>
      <w:r w:rsidRPr="00BE78BB">
        <w:rPr>
          <w:rFonts w:ascii="Arial" w:hAnsi="Arial" w:cs="Arial"/>
          <w:sz w:val="22"/>
          <w:szCs w:val="22"/>
          <w:lang w:val="en-SG"/>
        </w:rPr>
        <w:t>) are reported alongside the median, 25th and 75th percentiles of the daily bias distribution to characterize the non-Gaussian spread of model-observation differences. SN5</w:t>
      </w:r>
      <w:r w:rsidR="00F16A2A">
        <w:rPr>
          <w:rFonts w:ascii="Arial" w:hAnsi="Arial" w:cs="Arial" w:hint="eastAsia"/>
          <w:sz w:val="22"/>
          <w:szCs w:val="22"/>
          <w:lang w:val="en-SG"/>
        </w:rPr>
        <w:t>3</w:t>
      </w:r>
      <w:r w:rsidRPr="00BE78BB">
        <w:rPr>
          <w:rFonts w:ascii="Arial" w:hAnsi="Arial" w:cs="Arial"/>
          <w:sz w:val="22"/>
          <w:szCs w:val="22"/>
          <w:lang w:val="en-SG"/>
        </w:rPr>
        <w:t xml:space="preserve"> daily-mean concentration range was below 70 ppbv across the campaign, compressing the dynamic range available for the correlation statistic and yielding R values near zero at both </w:t>
      </w:r>
      <w:r w:rsidRPr="00BE78BB">
        <w:rPr>
          <w:rFonts w:ascii="Arial" w:hAnsi="Arial" w:cs="Arial"/>
          <w:sz w:val="22"/>
          <w:szCs w:val="22"/>
          <w:lang w:val="en-SG"/>
        </w:rPr>
        <w:lastRenderedPageBreak/>
        <w:t>resolutions (R = -0.012 at d02 and R = -0.016 at d03 against Top-down; R = -0.093 at d02 and R = -0.084 at d03 against EDGAR; n = 19 daily pairs)</w:t>
      </w:r>
      <w:r w:rsidR="004E0BD7">
        <w:rPr>
          <w:rFonts w:ascii="Arial" w:hAnsi="Arial" w:cs="Arial" w:hint="eastAsia"/>
          <w:sz w:val="22"/>
          <w:szCs w:val="22"/>
          <w:lang w:val="en-SG"/>
        </w:rPr>
        <w:t>.</w:t>
      </w:r>
    </w:p>
    <w:p w14:paraId="5DF488EA" w14:textId="47DDCBB7" w:rsidR="00E0354F" w:rsidRPr="00FF7AD6" w:rsidRDefault="00E0354F" w:rsidP="00E9585B">
      <w:pPr>
        <w:pStyle w:val="ae"/>
        <w:spacing w:before="0" w:beforeAutospacing="0" w:after="0" w:afterAutospacing="0"/>
        <w:outlineLvl w:val="1"/>
        <w:rPr>
          <w:rFonts w:asciiTheme="minorHAnsi" w:hAnsiTheme="minorHAnsi" w:cstheme="minorHAnsi"/>
          <w:sz w:val="22"/>
          <w:szCs w:val="22"/>
        </w:rPr>
      </w:pPr>
      <w:r w:rsidRPr="00FF7AD6">
        <w:rPr>
          <w:rFonts w:asciiTheme="minorHAnsi" w:hAnsiTheme="minorHAnsi" w:cstheme="minorHAnsi"/>
          <w:b/>
          <w:bCs/>
          <w:color w:val="000000" w:themeColor="text1"/>
          <w:sz w:val="22"/>
          <w:szCs w:val="22"/>
        </w:rPr>
        <w:t>Supplementary Table S</w:t>
      </w:r>
      <w:r>
        <w:rPr>
          <w:rFonts w:asciiTheme="minorHAnsi" w:hAnsiTheme="minorHAnsi" w:cstheme="minorHAnsi" w:hint="eastAsia"/>
          <w:b/>
          <w:bCs/>
          <w:color w:val="000000" w:themeColor="text1"/>
          <w:sz w:val="22"/>
          <w:szCs w:val="22"/>
        </w:rPr>
        <w:t>4</w:t>
      </w:r>
      <w:r w:rsidRPr="00FF7AD6">
        <w:rPr>
          <w:rFonts w:asciiTheme="minorHAnsi" w:hAnsiTheme="minorHAnsi" w:cstheme="minorHAnsi"/>
          <w:b/>
          <w:bCs/>
          <w:color w:val="000000" w:themeColor="text1"/>
          <w:sz w:val="22"/>
          <w:szCs w:val="22"/>
        </w:rPr>
        <w:t xml:space="preserve">. </w:t>
      </w:r>
      <w:r w:rsidRPr="00E0354F">
        <w:rPr>
          <w:rFonts w:asciiTheme="minorHAnsi" w:hAnsiTheme="minorHAnsi" w:cstheme="minorHAnsi"/>
          <w:sz w:val="22"/>
          <w:szCs w:val="22"/>
          <w:lang w:val="en-SG"/>
        </w:rPr>
        <w:t xml:space="preserve">Resolution-sensitivity intercomparison of WRF-GHG against </w:t>
      </w:r>
      <w:r w:rsidR="00A84230" w:rsidRPr="00A84230">
        <w:rPr>
          <w:rFonts w:asciiTheme="minorHAnsi" w:hAnsiTheme="minorHAnsi" w:cstheme="minorHAnsi"/>
          <w:sz w:val="22"/>
          <w:szCs w:val="22"/>
          <w:lang w:val="en-SG"/>
        </w:rPr>
        <w:t>COCCON</w:t>
      </w:r>
      <w:r w:rsidRPr="00E0354F">
        <w:rPr>
          <w:rFonts w:asciiTheme="minorHAnsi" w:hAnsiTheme="minorHAnsi" w:cstheme="minorHAnsi"/>
          <w:sz w:val="22"/>
          <w:szCs w:val="22"/>
          <w:lang w:val="en-SG"/>
        </w:rPr>
        <w:t xml:space="preserve"> EM27/SUN measurements at the Shanxi coal-mine supersite.</w:t>
      </w:r>
    </w:p>
    <w:tbl>
      <w:tblPr>
        <w:tblStyle w:val="ad"/>
        <w:tblW w:w="907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09"/>
        <w:gridCol w:w="942"/>
        <w:gridCol w:w="1248"/>
        <w:gridCol w:w="851"/>
        <w:gridCol w:w="850"/>
        <w:gridCol w:w="993"/>
        <w:gridCol w:w="1419"/>
      </w:tblGrid>
      <w:tr w:rsidR="001E1CA9" w:rsidRPr="00FF7AD6" w14:paraId="26DBBEBB" w14:textId="77777777" w:rsidTr="00D359F1">
        <w:trPr>
          <w:jc w:val="center"/>
        </w:trPr>
        <w:tc>
          <w:tcPr>
            <w:tcW w:w="1560" w:type="dxa"/>
            <w:tcBorders>
              <w:top w:val="single" w:sz="12" w:space="0" w:color="auto"/>
              <w:bottom w:val="single" w:sz="4" w:space="0" w:color="auto"/>
            </w:tcBorders>
            <w:vAlign w:val="center"/>
          </w:tcPr>
          <w:p w14:paraId="55EBF560" w14:textId="7F0DAB78" w:rsidR="001E1CA9" w:rsidRPr="00FF7AD6" w:rsidRDefault="001E1CA9" w:rsidP="0059201A">
            <w:pPr>
              <w:pStyle w:val="ae"/>
              <w:spacing w:before="0" w:beforeAutospacing="0" w:after="0" w:afterAutospacing="0"/>
              <w:jc w:val="center"/>
              <w:rPr>
                <w:rFonts w:asciiTheme="minorHAnsi" w:hAnsiTheme="minorHAnsi" w:cstheme="minorHAnsi"/>
                <w:b/>
                <w:bCs/>
                <w:sz w:val="20"/>
                <w:szCs w:val="20"/>
              </w:rPr>
            </w:pPr>
            <w:r w:rsidRPr="001E1CA9">
              <w:rPr>
                <w:rFonts w:asciiTheme="minorHAnsi" w:hAnsiTheme="minorHAnsi" w:cstheme="minorHAnsi"/>
                <w:b/>
                <w:bCs/>
                <w:sz w:val="20"/>
                <w:szCs w:val="20"/>
              </w:rPr>
              <w:t>Model resolution</w:t>
            </w:r>
          </w:p>
        </w:tc>
        <w:tc>
          <w:tcPr>
            <w:tcW w:w="1209" w:type="dxa"/>
            <w:tcBorders>
              <w:top w:val="single" w:sz="12" w:space="0" w:color="auto"/>
              <w:bottom w:val="single" w:sz="4" w:space="0" w:color="auto"/>
            </w:tcBorders>
            <w:vAlign w:val="center"/>
          </w:tcPr>
          <w:p w14:paraId="58314535" w14:textId="014F3293" w:rsidR="001E1CA9" w:rsidRPr="00FF7AD6" w:rsidRDefault="001E1CA9" w:rsidP="0059201A">
            <w:pPr>
              <w:pStyle w:val="ae"/>
              <w:spacing w:before="0" w:beforeAutospacing="0" w:after="0" w:afterAutospacing="0"/>
              <w:jc w:val="center"/>
              <w:rPr>
                <w:rFonts w:asciiTheme="minorHAnsi" w:hAnsiTheme="minorHAnsi" w:cstheme="minorHAnsi"/>
                <w:b/>
                <w:bCs/>
                <w:sz w:val="20"/>
                <w:szCs w:val="20"/>
              </w:rPr>
            </w:pPr>
            <w:r w:rsidRPr="001E1CA9">
              <w:rPr>
                <w:rFonts w:asciiTheme="minorHAnsi" w:hAnsiTheme="minorHAnsi" w:cstheme="minorHAnsi"/>
                <w:b/>
                <w:bCs/>
                <w:sz w:val="20"/>
                <w:szCs w:val="20"/>
                <w:lang w:val="en-SG"/>
              </w:rPr>
              <w:t>Inventory</w:t>
            </w:r>
          </w:p>
        </w:tc>
        <w:tc>
          <w:tcPr>
            <w:tcW w:w="942" w:type="dxa"/>
            <w:tcBorders>
              <w:top w:val="single" w:sz="12" w:space="0" w:color="auto"/>
              <w:bottom w:val="single" w:sz="4" w:space="0" w:color="auto"/>
            </w:tcBorders>
            <w:vAlign w:val="center"/>
          </w:tcPr>
          <w:p w14:paraId="7538DA38" w14:textId="4DB461E8" w:rsidR="001E1CA9" w:rsidRPr="00FF7AD6" w:rsidRDefault="001E1CA9" w:rsidP="0059201A">
            <w:pPr>
              <w:pStyle w:val="ae"/>
              <w:spacing w:before="0" w:beforeAutospacing="0" w:after="0" w:afterAutospacing="0"/>
              <w:jc w:val="center"/>
              <w:rPr>
                <w:rFonts w:asciiTheme="minorHAnsi" w:hAnsiTheme="minorHAnsi" w:cstheme="minorHAnsi"/>
                <w:b/>
                <w:bCs/>
                <w:sz w:val="20"/>
                <w:szCs w:val="20"/>
              </w:rPr>
            </w:pPr>
            <w:r>
              <w:rPr>
                <w:rFonts w:asciiTheme="minorHAnsi" w:hAnsiTheme="minorHAnsi" w:cstheme="minorHAnsi" w:hint="eastAsia"/>
                <w:b/>
                <w:bCs/>
                <w:sz w:val="20"/>
                <w:szCs w:val="20"/>
              </w:rPr>
              <w:t>n</w:t>
            </w:r>
          </w:p>
        </w:tc>
        <w:tc>
          <w:tcPr>
            <w:tcW w:w="1248" w:type="dxa"/>
            <w:tcBorders>
              <w:top w:val="single" w:sz="12" w:space="0" w:color="auto"/>
              <w:bottom w:val="single" w:sz="4" w:space="0" w:color="auto"/>
            </w:tcBorders>
            <w:vAlign w:val="center"/>
          </w:tcPr>
          <w:p w14:paraId="211879A0" w14:textId="1CD7E5DD" w:rsidR="001E1CA9" w:rsidRPr="00FF7AD6" w:rsidRDefault="001E1CA9" w:rsidP="0059201A">
            <w:pPr>
              <w:pStyle w:val="ae"/>
              <w:spacing w:before="0" w:beforeAutospacing="0" w:after="0" w:afterAutospacing="0"/>
              <w:jc w:val="center"/>
              <w:rPr>
                <w:rFonts w:asciiTheme="minorHAnsi" w:hAnsiTheme="minorHAnsi" w:cstheme="minorHAnsi"/>
                <w:b/>
                <w:bCs/>
                <w:sz w:val="20"/>
                <w:szCs w:val="20"/>
              </w:rPr>
            </w:pPr>
            <w:r>
              <w:rPr>
                <w:rFonts w:asciiTheme="minorHAnsi" w:hAnsiTheme="minorHAnsi" w:cstheme="minorHAnsi" w:hint="eastAsia"/>
                <w:b/>
                <w:bCs/>
                <w:sz w:val="20"/>
                <w:szCs w:val="20"/>
              </w:rPr>
              <w:t>R</w:t>
            </w:r>
          </w:p>
        </w:tc>
        <w:tc>
          <w:tcPr>
            <w:tcW w:w="851" w:type="dxa"/>
            <w:tcBorders>
              <w:top w:val="single" w:sz="12" w:space="0" w:color="auto"/>
              <w:bottom w:val="single" w:sz="4" w:space="0" w:color="auto"/>
            </w:tcBorders>
            <w:vAlign w:val="center"/>
          </w:tcPr>
          <w:p w14:paraId="42FEBC87" w14:textId="2E686D7E" w:rsidR="001E1CA9" w:rsidRPr="00FF7AD6" w:rsidRDefault="001E1CA9" w:rsidP="0059201A">
            <w:pPr>
              <w:pStyle w:val="ae"/>
              <w:spacing w:before="0" w:beforeAutospacing="0" w:after="0" w:afterAutospacing="0"/>
              <w:jc w:val="center"/>
              <w:rPr>
                <w:rFonts w:asciiTheme="minorHAnsi" w:hAnsiTheme="minorHAnsi" w:cstheme="minorHAnsi"/>
                <w:b/>
                <w:bCs/>
                <w:sz w:val="20"/>
                <w:szCs w:val="20"/>
              </w:rPr>
            </w:pPr>
            <w:r>
              <w:rPr>
                <w:rFonts w:asciiTheme="minorHAnsi" w:hAnsiTheme="minorHAnsi" w:cstheme="minorHAnsi" w:hint="eastAsia"/>
                <w:b/>
                <w:bCs/>
                <w:sz w:val="20"/>
                <w:szCs w:val="20"/>
              </w:rPr>
              <w:t>p</w:t>
            </w:r>
          </w:p>
        </w:tc>
        <w:tc>
          <w:tcPr>
            <w:tcW w:w="850" w:type="dxa"/>
            <w:tcBorders>
              <w:top w:val="single" w:sz="12" w:space="0" w:color="auto"/>
              <w:bottom w:val="single" w:sz="4" w:space="0" w:color="auto"/>
            </w:tcBorders>
            <w:vAlign w:val="center"/>
          </w:tcPr>
          <w:p w14:paraId="419352DF" w14:textId="79FDBBC9" w:rsidR="001E1CA9" w:rsidRPr="00FF7AD6" w:rsidRDefault="001E1CA9" w:rsidP="0059201A">
            <w:pPr>
              <w:pStyle w:val="ae"/>
              <w:spacing w:before="0" w:beforeAutospacing="0" w:after="0" w:afterAutospacing="0"/>
              <w:jc w:val="center"/>
              <w:rPr>
                <w:rFonts w:asciiTheme="minorHAnsi" w:hAnsiTheme="minorHAnsi" w:cstheme="minorHAnsi"/>
                <w:b/>
                <w:bCs/>
                <w:sz w:val="20"/>
                <w:szCs w:val="20"/>
              </w:rPr>
            </w:pPr>
            <w:r>
              <w:rPr>
                <w:rFonts w:asciiTheme="minorHAnsi" w:hAnsiTheme="minorHAnsi" w:cstheme="minorHAnsi" w:hint="eastAsia"/>
                <w:b/>
                <w:bCs/>
                <w:sz w:val="20"/>
                <w:szCs w:val="20"/>
              </w:rPr>
              <w:t>RMSE (ppbv)</w:t>
            </w:r>
          </w:p>
        </w:tc>
        <w:tc>
          <w:tcPr>
            <w:tcW w:w="993" w:type="dxa"/>
            <w:tcBorders>
              <w:top w:val="single" w:sz="12" w:space="0" w:color="auto"/>
              <w:bottom w:val="single" w:sz="4" w:space="0" w:color="auto"/>
            </w:tcBorders>
          </w:tcPr>
          <w:p w14:paraId="7533453D" w14:textId="7FCE5044" w:rsidR="001E1CA9" w:rsidRDefault="001E1CA9" w:rsidP="001E1CA9">
            <w:pPr>
              <w:pStyle w:val="ae"/>
              <w:spacing w:before="0" w:beforeAutospacing="0" w:after="0" w:afterAutospacing="0"/>
              <w:jc w:val="center"/>
              <w:rPr>
                <w:rFonts w:asciiTheme="minorHAnsi" w:hAnsiTheme="minorHAnsi" w:cstheme="minorHAnsi"/>
                <w:b/>
                <w:bCs/>
                <w:sz w:val="20"/>
                <w:szCs w:val="20"/>
              </w:rPr>
            </w:pPr>
            <w:r w:rsidRPr="001E1CA9">
              <w:rPr>
                <w:rFonts w:asciiTheme="minorHAnsi" w:hAnsiTheme="minorHAnsi" w:cstheme="minorHAnsi"/>
                <w:b/>
                <w:bCs/>
                <w:sz w:val="20"/>
                <w:szCs w:val="20"/>
              </w:rPr>
              <w:t>Mean bias (ppbv)</w:t>
            </w:r>
          </w:p>
        </w:tc>
        <w:tc>
          <w:tcPr>
            <w:tcW w:w="1419" w:type="dxa"/>
            <w:tcBorders>
              <w:top w:val="single" w:sz="12" w:space="0" w:color="auto"/>
              <w:bottom w:val="single" w:sz="4" w:space="0" w:color="auto"/>
            </w:tcBorders>
            <w:vAlign w:val="center"/>
          </w:tcPr>
          <w:p w14:paraId="4BDF07F5" w14:textId="3713EB4E" w:rsidR="001E1CA9" w:rsidRPr="00FF7AD6" w:rsidRDefault="00D359F1" w:rsidP="001E1CA9">
            <w:pPr>
              <w:pStyle w:val="ae"/>
              <w:spacing w:before="0" w:beforeAutospacing="0" w:after="0" w:afterAutospacing="0"/>
              <w:jc w:val="center"/>
              <w:rPr>
                <w:rFonts w:asciiTheme="minorHAnsi" w:hAnsiTheme="minorHAnsi" w:cstheme="minorHAnsi"/>
                <w:b/>
                <w:bCs/>
                <w:sz w:val="20"/>
                <w:szCs w:val="20"/>
              </w:rPr>
            </w:pPr>
            <w:r w:rsidRPr="00D359F1">
              <w:rPr>
                <w:rFonts w:asciiTheme="minorHAnsi" w:hAnsiTheme="minorHAnsi" w:cstheme="minorHAnsi"/>
                <w:b/>
                <w:bCs/>
                <w:sz w:val="20"/>
                <w:szCs w:val="20"/>
                <w:lang w:val="en-SG"/>
              </w:rPr>
              <w:t xml:space="preserve">Median bias </w:t>
            </w:r>
            <w:r>
              <w:rPr>
                <w:rFonts w:asciiTheme="minorHAnsi" w:hAnsiTheme="minorHAnsi" w:cstheme="minorHAnsi" w:hint="eastAsia"/>
                <w:b/>
                <w:bCs/>
                <w:sz w:val="20"/>
                <w:szCs w:val="20"/>
                <w:lang w:val="en-SG"/>
              </w:rPr>
              <w:t>(</w:t>
            </w:r>
            <w:r w:rsidRPr="00D359F1">
              <w:rPr>
                <w:rFonts w:asciiTheme="minorHAnsi" w:hAnsiTheme="minorHAnsi" w:cstheme="minorHAnsi"/>
                <w:b/>
                <w:bCs/>
                <w:sz w:val="20"/>
                <w:szCs w:val="20"/>
                <w:lang w:val="en-SG"/>
              </w:rPr>
              <w:t>Q25, Q75</w:t>
            </w:r>
            <w:r>
              <w:rPr>
                <w:rFonts w:asciiTheme="minorHAnsi" w:hAnsiTheme="minorHAnsi" w:cstheme="minorHAnsi" w:hint="eastAsia"/>
                <w:b/>
                <w:bCs/>
                <w:sz w:val="20"/>
                <w:szCs w:val="20"/>
                <w:lang w:val="en-SG"/>
              </w:rPr>
              <w:t xml:space="preserve">) </w:t>
            </w:r>
            <w:r w:rsidRPr="00D359F1">
              <w:rPr>
                <w:rFonts w:asciiTheme="minorHAnsi" w:hAnsiTheme="minorHAnsi" w:cstheme="minorHAnsi"/>
                <w:b/>
                <w:bCs/>
                <w:sz w:val="20"/>
                <w:szCs w:val="20"/>
                <w:lang w:val="en-SG"/>
              </w:rPr>
              <w:t>(ppbv)</w:t>
            </w:r>
          </w:p>
        </w:tc>
      </w:tr>
      <w:tr w:rsidR="00D359F1" w:rsidRPr="00FF7AD6" w14:paraId="3D1A9AD0" w14:textId="77777777" w:rsidTr="00D359F1">
        <w:trPr>
          <w:jc w:val="center"/>
        </w:trPr>
        <w:tc>
          <w:tcPr>
            <w:tcW w:w="1560" w:type="dxa"/>
            <w:tcBorders>
              <w:top w:val="single" w:sz="4" w:space="0" w:color="auto"/>
            </w:tcBorders>
            <w:vAlign w:val="center"/>
          </w:tcPr>
          <w:p w14:paraId="5730C16E" w14:textId="556F23C7"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d02 (9 km)</w:t>
            </w:r>
          </w:p>
        </w:tc>
        <w:tc>
          <w:tcPr>
            <w:tcW w:w="1209" w:type="dxa"/>
            <w:tcBorders>
              <w:top w:val="single" w:sz="4" w:space="0" w:color="auto"/>
            </w:tcBorders>
            <w:vAlign w:val="center"/>
          </w:tcPr>
          <w:p w14:paraId="04798D54" w14:textId="5C9A1282"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Top-down</w:t>
            </w:r>
          </w:p>
        </w:tc>
        <w:tc>
          <w:tcPr>
            <w:tcW w:w="942" w:type="dxa"/>
            <w:tcBorders>
              <w:top w:val="single" w:sz="4" w:space="0" w:color="auto"/>
            </w:tcBorders>
            <w:vAlign w:val="center"/>
          </w:tcPr>
          <w:p w14:paraId="462F865D" w14:textId="32EAD279"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22</w:t>
            </w:r>
          </w:p>
        </w:tc>
        <w:tc>
          <w:tcPr>
            <w:tcW w:w="1248" w:type="dxa"/>
            <w:tcBorders>
              <w:top w:val="single" w:sz="4" w:space="0" w:color="auto"/>
            </w:tcBorders>
            <w:vAlign w:val="center"/>
          </w:tcPr>
          <w:p w14:paraId="28427621" w14:textId="78EC6334"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+0.175</w:t>
            </w:r>
          </w:p>
        </w:tc>
        <w:tc>
          <w:tcPr>
            <w:tcW w:w="851" w:type="dxa"/>
            <w:tcBorders>
              <w:top w:val="single" w:sz="4" w:space="0" w:color="auto"/>
            </w:tcBorders>
            <w:vAlign w:val="center"/>
          </w:tcPr>
          <w:p w14:paraId="18BA8963" w14:textId="76983416"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0.44</w:t>
            </w:r>
          </w:p>
        </w:tc>
        <w:tc>
          <w:tcPr>
            <w:tcW w:w="850" w:type="dxa"/>
            <w:tcBorders>
              <w:top w:val="single" w:sz="4" w:space="0" w:color="auto"/>
            </w:tcBorders>
            <w:vAlign w:val="center"/>
          </w:tcPr>
          <w:p w14:paraId="473553AF" w14:textId="53F4C684"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58.4</w:t>
            </w:r>
          </w:p>
        </w:tc>
        <w:tc>
          <w:tcPr>
            <w:tcW w:w="993" w:type="dxa"/>
            <w:tcBorders>
              <w:top w:val="single" w:sz="4" w:space="0" w:color="auto"/>
            </w:tcBorders>
            <w:vAlign w:val="center"/>
          </w:tcPr>
          <w:p w14:paraId="128B26BF" w14:textId="244A0D29" w:rsidR="00D359F1" w:rsidRPr="001E1CA9" w:rsidRDefault="00D359F1" w:rsidP="00D359F1">
            <w:pPr>
              <w:pStyle w:val="ae"/>
              <w:spacing w:before="0" w:beforeAutospacing="0" w:after="0" w:afterAutospacing="0"/>
              <w:jc w:val="center"/>
              <w:rPr>
                <w:rFonts w:asciiTheme="minorHAnsi" w:hAnsiTheme="minorHAnsi" w:cstheme="minorHAnsi"/>
                <w:sz w:val="20"/>
                <w:szCs w:val="20"/>
                <w:lang w:val="en-SG"/>
              </w:rPr>
            </w:pPr>
            <w:r w:rsidRPr="001E1CA9">
              <w:rPr>
                <w:rFonts w:asciiTheme="minorHAnsi" w:hAnsiTheme="minorHAnsi" w:cstheme="minorHAnsi"/>
                <w:sz w:val="20"/>
                <w:szCs w:val="20"/>
                <w:lang w:val="en-SG"/>
              </w:rPr>
              <w:t>+5.1</w:t>
            </w:r>
          </w:p>
        </w:tc>
        <w:tc>
          <w:tcPr>
            <w:tcW w:w="1419" w:type="dxa"/>
            <w:tcBorders>
              <w:top w:val="single" w:sz="4" w:space="0" w:color="auto"/>
            </w:tcBorders>
            <w:vAlign w:val="center"/>
          </w:tcPr>
          <w:p w14:paraId="14A04755" w14:textId="4A713893" w:rsidR="00D359F1" w:rsidRDefault="00D359F1" w:rsidP="00D359F1">
            <w:pPr>
              <w:pStyle w:val="ae"/>
              <w:spacing w:before="0" w:beforeAutospacing="0" w:after="0" w:afterAutospacing="0"/>
              <w:jc w:val="center"/>
              <w:rPr>
                <w:rFonts w:asciiTheme="minorHAnsi" w:hAnsiTheme="minorHAnsi" w:cstheme="minorHAnsi"/>
                <w:sz w:val="20"/>
                <w:szCs w:val="20"/>
                <w:lang w:val="en-SG"/>
              </w:rPr>
            </w:pPr>
            <w:r w:rsidRPr="00D359F1">
              <w:rPr>
                <w:rFonts w:asciiTheme="minorHAnsi" w:hAnsiTheme="minorHAnsi" w:cstheme="minorHAnsi"/>
                <w:sz w:val="20"/>
                <w:szCs w:val="20"/>
                <w:lang w:val="en-SG"/>
              </w:rPr>
              <w:t>+10.5</w:t>
            </w:r>
          </w:p>
          <w:p w14:paraId="63D84DAB" w14:textId="5E37901B"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D359F1">
              <w:rPr>
                <w:rFonts w:asciiTheme="minorHAnsi" w:hAnsiTheme="minorHAnsi" w:cstheme="minorHAnsi"/>
                <w:sz w:val="20"/>
                <w:szCs w:val="20"/>
                <w:lang w:val="en-SG"/>
              </w:rPr>
              <w:t>(-26.3, +44.4)</w:t>
            </w:r>
          </w:p>
        </w:tc>
      </w:tr>
      <w:tr w:rsidR="00D359F1" w:rsidRPr="00FF7AD6" w14:paraId="5366D6DE" w14:textId="77777777" w:rsidTr="00D359F1">
        <w:trPr>
          <w:jc w:val="center"/>
        </w:trPr>
        <w:tc>
          <w:tcPr>
            <w:tcW w:w="1560" w:type="dxa"/>
            <w:vAlign w:val="center"/>
          </w:tcPr>
          <w:p w14:paraId="40B1DFE0" w14:textId="7033DCE7"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d0</w:t>
            </w:r>
            <w:r>
              <w:rPr>
                <w:rFonts w:asciiTheme="minorHAnsi" w:hAnsiTheme="minorHAnsi" w:cstheme="minorHAnsi" w:hint="eastAsia"/>
                <w:sz w:val="20"/>
                <w:szCs w:val="20"/>
                <w:lang w:val="en-SG"/>
              </w:rPr>
              <w:t>3</w:t>
            </w:r>
            <w:r w:rsidRPr="001E1CA9">
              <w:rPr>
                <w:rFonts w:asciiTheme="minorHAnsi" w:hAnsiTheme="minorHAnsi" w:cstheme="minorHAnsi"/>
                <w:sz w:val="20"/>
                <w:szCs w:val="20"/>
                <w:lang w:val="en-SG"/>
              </w:rPr>
              <w:t xml:space="preserve"> (</w:t>
            </w:r>
            <w:r>
              <w:rPr>
                <w:rFonts w:asciiTheme="minorHAnsi" w:hAnsiTheme="minorHAnsi" w:cstheme="minorHAnsi" w:hint="eastAsia"/>
                <w:sz w:val="20"/>
                <w:szCs w:val="20"/>
                <w:lang w:val="en-SG"/>
              </w:rPr>
              <w:t>3</w:t>
            </w:r>
            <w:r w:rsidRPr="001E1CA9">
              <w:rPr>
                <w:rFonts w:asciiTheme="minorHAnsi" w:hAnsiTheme="minorHAnsi" w:cstheme="minorHAnsi"/>
                <w:sz w:val="20"/>
                <w:szCs w:val="20"/>
                <w:lang w:val="en-SG"/>
              </w:rPr>
              <w:t xml:space="preserve"> km)</w:t>
            </w:r>
          </w:p>
        </w:tc>
        <w:tc>
          <w:tcPr>
            <w:tcW w:w="1209" w:type="dxa"/>
            <w:vAlign w:val="center"/>
          </w:tcPr>
          <w:p w14:paraId="02E664B4" w14:textId="2EA80C50"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Top-down</w:t>
            </w:r>
          </w:p>
        </w:tc>
        <w:tc>
          <w:tcPr>
            <w:tcW w:w="942" w:type="dxa"/>
            <w:vAlign w:val="center"/>
          </w:tcPr>
          <w:p w14:paraId="5BB1F613" w14:textId="4199E841"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22</w:t>
            </w:r>
          </w:p>
        </w:tc>
        <w:tc>
          <w:tcPr>
            <w:tcW w:w="1248" w:type="dxa"/>
            <w:vAlign w:val="center"/>
          </w:tcPr>
          <w:p w14:paraId="553A28F2" w14:textId="64FE0F94"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+0.303</w:t>
            </w:r>
          </w:p>
        </w:tc>
        <w:tc>
          <w:tcPr>
            <w:tcW w:w="851" w:type="dxa"/>
            <w:vAlign w:val="center"/>
          </w:tcPr>
          <w:p w14:paraId="3341A7ED" w14:textId="652B2F60"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0.17</w:t>
            </w:r>
          </w:p>
        </w:tc>
        <w:tc>
          <w:tcPr>
            <w:tcW w:w="850" w:type="dxa"/>
            <w:vAlign w:val="center"/>
          </w:tcPr>
          <w:p w14:paraId="78D40B08" w14:textId="4869BBF2"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60.7</w:t>
            </w:r>
          </w:p>
        </w:tc>
        <w:tc>
          <w:tcPr>
            <w:tcW w:w="993" w:type="dxa"/>
            <w:vAlign w:val="center"/>
          </w:tcPr>
          <w:p w14:paraId="41189F88" w14:textId="47E799FD" w:rsidR="00D359F1" w:rsidRPr="001E1CA9" w:rsidRDefault="00D359F1" w:rsidP="00D359F1">
            <w:pPr>
              <w:pStyle w:val="ae"/>
              <w:spacing w:before="0" w:beforeAutospacing="0" w:after="0" w:afterAutospacing="0"/>
              <w:jc w:val="center"/>
              <w:rPr>
                <w:rFonts w:asciiTheme="minorHAnsi" w:hAnsiTheme="minorHAnsi" w:cstheme="minorHAnsi"/>
                <w:sz w:val="20"/>
                <w:szCs w:val="20"/>
                <w:lang w:val="en-SG"/>
              </w:rPr>
            </w:pPr>
            <w:r w:rsidRPr="001E1CA9">
              <w:rPr>
                <w:rFonts w:asciiTheme="minorHAnsi" w:hAnsiTheme="minorHAnsi" w:cstheme="minorHAnsi"/>
                <w:sz w:val="20"/>
                <w:szCs w:val="20"/>
                <w:lang w:val="en-SG"/>
              </w:rPr>
              <w:t>+17.0</w:t>
            </w:r>
          </w:p>
        </w:tc>
        <w:tc>
          <w:tcPr>
            <w:tcW w:w="1419" w:type="dxa"/>
            <w:vAlign w:val="center"/>
          </w:tcPr>
          <w:p w14:paraId="2606F096" w14:textId="77777777" w:rsidR="00D359F1" w:rsidRDefault="00D359F1" w:rsidP="00D359F1">
            <w:pPr>
              <w:pStyle w:val="ae"/>
              <w:spacing w:before="0" w:beforeAutospacing="0" w:after="0" w:afterAutospacing="0"/>
              <w:jc w:val="center"/>
              <w:rPr>
                <w:rFonts w:asciiTheme="minorHAnsi" w:hAnsiTheme="minorHAnsi" w:cstheme="minorHAnsi"/>
                <w:sz w:val="20"/>
                <w:szCs w:val="20"/>
                <w:lang w:val="en-SG"/>
              </w:rPr>
            </w:pPr>
            <w:r w:rsidRPr="00D359F1">
              <w:rPr>
                <w:rFonts w:asciiTheme="minorHAnsi" w:hAnsiTheme="minorHAnsi" w:cstheme="minorHAnsi"/>
                <w:sz w:val="20"/>
                <w:szCs w:val="20"/>
                <w:lang w:val="en-SG"/>
              </w:rPr>
              <w:t>+21.8</w:t>
            </w:r>
          </w:p>
          <w:p w14:paraId="79B82D3C" w14:textId="4F69B9BA"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D359F1">
              <w:rPr>
                <w:rFonts w:asciiTheme="minorHAnsi" w:hAnsiTheme="minorHAnsi" w:cstheme="minorHAnsi"/>
                <w:sz w:val="20"/>
                <w:szCs w:val="20"/>
                <w:lang w:val="en-SG"/>
              </w:rPr>
              <w:t>(-18.2, +46.6)</w:t>
            </w:r>
          </w:p>
        </w:tc>
      </w:tr>
      <w:tr w:rsidR="00D359F1" w:rsidRPr="00FF7AD6" w14:paraId="5ACB7B4A" w14:textId="77777777" w:rsidTr="00D359F1">
        <w:trPr>
          <w:jc w:val="center"/>
        </w:trPr>
        <w:tc>
          <w:tcPr>
            <w:tcW w:w="1560" w:type="dxa"/>
            <w:vAlign w:val="center"/>
          </w:tcPr>
          <w:p w14:paraId="2B4DEAF3" w14:textId="11EF5CC3"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d02 (9 km)</w:t>
            </w:r>
          </w:p>
        </w:tc>
        <w:tc>
          <w:tcPr>
            <w:tcW w:w="1209" w:type="dxa"/>
            <w:vAlign w:val="center"/>
          </w:tcPr>
          <w:p w14:paraId="673B401F" w14:textId="10DA2BBB"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EDGAR</w:t>
            </w:r>
          </w:p>
        </w:tc>
        <w:tc>
          <w:tcPr>
            <w:tcW w:w="942" w:type="dxa"/>
            <w:vAlign w:val="center"/>
          </w:tcPr>
          <w:p w14:paraId="6717C8EA" w14:textId="0A03F7E1"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22</w:t>
            </w:r>
          </w:p>
        </w:tc>
        <w:tc>
          <w:tcPr>
            <w:tcW w:w="1248" w:type="dxa"/>
            <w:vAlign w:val="center"/>
          </w:tcPr>
          <w:p w14:paraId="1683A92E" w14:textId="5E31239E"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+0.340</w:t>
            </w:r>
          </w:p>
        </w:tc>
        <w:tc>
          <w:tcPr>
            <w:tcW w:w="851" w:type="dxa"/>
            <w:vAlign w:val="center"/>
          </w:tcPr>
          <w:p w14:paraId="53FDF9F7" w14:textId="095A6B29"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0.12</w:t>
            </w:r>
          </w:p>
        </w:tc>
        <w:tc>
          <w:tcPr>
            <w:tcW w:w="850" w:type="dxa"/>
            <w:vAlign w:val="center"/>
          </w:tcPr>
          <w:p w14:paraId="516B51AB" w14:textId="5A88CC34"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53.6</w:t>
            </w:r>
          </w:p>
        </w:tc>
        <w:tc>
          <w:tcPr>
            <w:tcW w:w="993" w:type="dxa"/>
            <w:vAlign w:val="center"/>
          </w:tcPr>
          <w:p w14:paraId="51A2318A" w14:textId="1B0B4C50" w:rsidR="00D359F1" w:rsidRPr="001E1CA9" w:rsidRDefault="00D359F1" w:rsidP="00D359F1">
            <w:pPr>
              <w:pStyle w:val="ae"/>
              <w:spacing w:before="0" w:beforeAutospacing="0" w:after="0" w:afterAutospacing="0"/>
              <w:jc w:val="center"/>
              <w:rPr>
                <w:rFonts w:asciiTheme="minorHAnsi" w:hAnsiTheme="minorHAnsi" w:cstheme="minorHAnsi"/>
                <w:sz w:val="20"/>
                <w:szCs w:val="20"/>
                <w:lang w:val="en-SG"/>
              </w:rPr>
            </w:pPr>
            <w:r w:rsidRPr="001E1CA9">
              <w:rPr>
                <w:rFonts w:asciiTheme="minorHAnsi" w:hAnsiTheme="minorHAnsi" w:cstheme="minorHAnsi"/>
                <w:sz w:val="20"/>
                <w:szCs w:val="20"/>
                <w:lang w:val="en-SG"/>
              </w:rPr>
              <w:t>-27.5</w:t>
            </w:r>
          </w:p>
        </w:tc>
        <w:tc>
          <w:tcPr>
            <w:tcW w:w="1419" w:type="dxa"/>
            <w:vAlign w:val="center"/>
          </w:tcPr>
          <w:p w14:paraId="6D6D9D1D" w14:textId="77777777" w:rsidR="00D359F1" w:rsidRDefault="00D359F1" w:rsidP="00D359F1">
            <w:pPr>
              <w:pStyle w:val="ae"/>
              <w:spacing w:before="0" w:beforeAutospacing="0" w:after="0" w:afterAutospacing="0"/>
              <w:jc w:val="center"/>
              <w:rPr>
                <w:rFonts w:asciiTheme="minorHAnsi" w:hAnsiTheme="minorHAnsi" w:cstheme="minorHAnsi"/>
                <w:sz w:val="20"/>
                <w:szCs w:val="20"/>
                <w:lang w:val="en-SG"/>
              </w:rPr>
            </w:pPr>
            <w:r w:rsidRPr="00D359F1">
              <w:rPr>
                <w:rFonts w:asciiTheme="minorHAnsi" w:hAnsiTheme="minorHAnsi" w:cstheme="minorHAnsi"/>
                <w:sz w:val="20"/>
                <w:szCs w:val="20"/>
                <w:lang w:val="en-SG"/>
              </w:rPr>
              <w:t>-13.3</w:t>
            </w:r>
          </w:p>
          <w:p w14:paraId="1D28FE44" w14:textId="4D8B2094"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D359F1">
              <w:rPr>
                <w:rFonts w:asciiTheme="minorHAnsi" w:hAnsiTheme="minorHAnsi" w:cstheme="minorHAnsi"/>
                <w:sz w:val="20"/>
                <w:szCs w:val="20"/>
                <w:lang w:val="en-SG"/>
              </w:rPr>
              <w:t>(-64.5, +4.7)</w:t>
            </w:r>
          </w:p>
        </w:tc>
      </w:tr>
      <w:tr w:rsidR="00D359F1" w:rsidRPr="00FF7AD6" w14:paraId="17A3A6B5" w14:textId="77777777" w:rsidTr="00D359F1">
        <w:trPr>
          <w:jc w:val="center"/>
        </w:trPr>
        <w:tc>
          <w:tcPr>
            <w:tcW w:w="1560" w:type="dxa"/>
            <w:vAlign w:val="center"/>
          </w:tcPr>
          <w:p w14:paraId="217C721E" w14:textId="69BCA37C"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d0</w:t>
            </w:r>
            <w:r>
              <w:rPr>
                <w:rFonts w:asciiTheme="minorHAnsi" w:hAnsiTheme="minorHAnsi" w:cstheme="minorHAnsi" w:hint="eastAsia"/>
                <w:sz w:val="20"/>
                <w:szCs w:val="20"/>
                <w:lang w:val="en-SG"/>
              </w:rPr>
              <w:t>3</w:t>
            </w:r>
            <w:r w:rsidRPr="001E1CA9">
              <w:rPr>
                <w:rFonts w:asciiTheme="minorHAnsi" w:hAnsiTheme="minorHAnsi" w:cstheme="minorHAnsi"/>
                <w:sz w:val="20"/>
                <w:szCs w:val="20"/>
                <w:lang w:val="en-SG"/>
              </w:rPr>
              <w:t xml:space="preserve"> (</w:t>
            </w:r>
            <w:r>
              <w:rPr>
                <w:rFonts w:asciiTheme="minorHAnsi" w:hAnsiTheme="minorHAnsi" w:cstheme="minorHAnsi" w:hint="eastAsia"/>
                <w:sz w:val="20"/>
                <w:szCs w:val="20"/>
                <w:lang w:val="en-SG"/>
              </w:rPr>
              <w:t>3</w:t>
            </w:r>
            <w:r w:rsidRPr="001E1CA9">
              <w:rPr>
                <w:rFonts w:asciiTheme="minorHAnsi" w:hAnsiTheme="minorHAnsi" w:cstheme="minorHAnsi"/>
                <w:sz w:val="20"/>
                <w:szCs w:val="20"/>
                <w:lang w:val="en-SG"/>
              </w:rPr>
              <w:t xml:space="preserve"> km)</w:t>
            </w:r>
          </w:p>
        </w:tc>
        <w:tc>
          <w:tcPr>
            <w:tcW w:w="1209" w:type="dxa"/>
            <w:vAlign w:val="center"/>
          </w:tcPr>
          <w:p w14:paraId="3E32A96A" w14:textId="4F7DFDBE"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EDGAR</w:t>
            </w:r>
          </w:p>
        </w:tc>
        <w:tc>
          <w:tcPr>
            <w:tcW w:w="942" w:type="dxa"/>
            <w:vAlign w:val="center"/>
          </w:tcPr>
          <w:p w14:paraId="389A0A0B" w14:textId="6306B4A1"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Pr>
                <w:rFonts w:asciiTheme="minorHAnsi" w:hAnsiTheme="minorHAnsi" w:cstheme="minorHAnsi" w:hint="eastAsia"/>
                <w:sz w:val="20"/>
                <w:szCs w:val="20"/>
              </w:rPr>
              <w:t>22</w:t>
            </w:r>
          </w:p>
        </w:tc>
        <w:tc>
          <w:tcPr>
            <w:tcW w:w="1248" w:type="dxa"/>
            <w:vAlign w:val="center"/>
          </w:tcPr>
          <w:p w14:paraId="08802D3A" w14:textId="7EF16B79"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+0.515</w:t>
            </w:r>
          </w:p>
        </w:tc>
        <w:tc>
          <w:tcPr>
            <w:tcW w:w="851" w:type="dxa"/>
            <w:vAlign w:val="center"/>
          </w:tcPr>
          <w:p w14:paraId="3853CCC2" w14:textId="205796A3"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0.014</w:t>
            </w:r>
          </w:p>
        </w:tc>
        <w:tc>
          <w:tcPr>
            <w:tcW w:w="850" w:type="dxa"/>
            <w:vAlign w:val="center"/>
          </w:tcPr>
          <w:p w14:paraId="01E2FB48" w14:textId="30B6705A"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1E1CA9">
              <w:rPr>
                <w:rFonts w:asciiTheme="minorHAnsi" w:hAnsiTheme="minorHAnsi" w:cstheme="minorHAnsi"/>
                <w:sz w:val="20"/>
                <w:szCs w:val="20"/>
                <w:lang w:val="en-SG"/>
              </w:rPr>
              <w:t>46.0</w:t>
            </w:r>
          </w:p>
        </w:tc>
        <w:tc>
          <w:tcPr>
            <w:tcW w:w="993" w:type="dxa"/>
            <w:vAlign w:val="center"/>
          </w:tcPr>
          <w:p w14:paraId="552C2EEC" w14:textId="1B7B64E4" w:rsidR="00D359F1" w:rsidRPr="001E1CA9" w:rsidRDefault="00D359F1" w:rsidP="00D359F1">
            <w:pPr>
              <w:pStyle w:val="ae"/>
              <w:spacing w:before="0" w:beforeAutospacing="0" w:after="0" w:afterAutospacing="0"/>
              <w:jc w:val="center"/>
              <w:rPr>
                <w:rFonts w:asciiTheme="minorHAnsi" w:hAnsiTheme="minorHAnsi" w:cstheme="minorHAnsi"/>
                <w:sz w:val="20"/>
                <w:szCs w:val="20"/>
                <w:lang w:val="en-SG"/>
              </w:rPr>
            </w:pPr>
            <w:r w:rsidRPr="001E1CA9">
              <w:rPr>
                <w:rFonts w:asciiTheme="minorHAnsi" w:hAnsiTheme="minorHAnsi" w:cstheme="minorHAnsi"/>
                <w:sz w:val="20"/>
                <w:szCs w:val="20"/>
                <w:lang w:val="en-SG"/>
              </w:rPr>
              <w:t>-18.3</w:t>
            </w:r>
          </w:p>
        </w:tc>
        <w:tc>
          <w:tcPr>
            <w:tcW w:w="1419" w:type="dxa"/>
            <w:vAlign w:val="center"/>
          </w:tcPr>
          <w:p w14:paraId="3B1A3087" w14:textId="77777777" w:rsidR="00D359F1" w:rsidRDefault="00D359F1" w:rsidP="00D359F1">
            <w:pPr>
              <w:pStyle w:val="ae"/>
              <w:spacing w:before="0" w:beforeAutospacing="0" w:after="0" w:afterAutospacing="0"/>
              <w:jc w:val="center"/>
              <w:rPr>
                <w:rFonts w:asciiTheme="minorHAnsi" w:hAnsiTheme="minorHAnsi" w:cstheme="minorHAnsi"/>
                <w:sz w:val="20"/>
                <w:szCs w:val="20"/>
                <w:lang w:val="en-SG"/>
              </w:rPr>
            </w:pPr>
            <w:r w:rsidRPr="00D359F1">
              <w:rPr>
                <w:rFonts w:asciiTheme="minorHAnsi" w:hAnsiTheme="minorHAnsi" w:cstheme="minorHAnsi"/>
                <w:sz w:val="20"/>
                <w:szCs w:val="20"/>
                <w:lang w:val="en-SG"/>
              </w:rPr>
              <w:t>-10.2</w:t>
            </w:r>
          </w:p>
          <w:p w14:paraId="7BCEB399" w14:textId="42D33161" w:rsidR="00D359F1" w:rsidRPr="00FF7AD6" w:rsidRDefault="00D359F1" w:rsidP="00D359F1">
            <w:pPr>
              <w:pStyle w:val="ae"/>
              <w:spacing w:before="0" w:beforeAutospacing="0" w:after="0" w:afterAutospacing="0"/>
              <w:jc w:val="center"/>
              <w:rPr>
                <w:rFonts w:asciiTheme="minorHAnsi" w:hAnsiTheme="minorHAnsi" w:cstheme="minorHAnsi"/>
                <w:sz w:val="20"/>
                <w:szCs w:val="20"/>
              </w:rPr>
            </w:pPr>
            <w:r w:rsidRPr="00D359F1">
              <w:rPr>
                <w:rFonts w:asciiTheme="minorHAnsi" w:hAnsiTheme="minorHAnsi" w:cstheme="minorHAnsi"/>
                <w:sz w:val="20"/>
                <w:szCs w:val="20"/>
                <w:lang w:val="en-SG"/>
              </w:rPr>
              <w:t>(-49.3, +11.3)</w:t>
            </w:r>
          </w:p>
        </w:tc>
      </w:tr>
    </w:tbl>
    <w:p w14:paraId="0E6645F3" w14:textId="5F2FD073" w:rsidR="00061E8D" w:rsidRPr="00061E8D" w:rsidRDefault="00061E8D" w:rsidP="00172F1F">
      <w:pPr>
        <w:pStyle w:val="ae"/>
        <w:rPr>
          <w:rFonts w:ascii="Arial" w:hAnsi="Arial" w:cs="Arial"/>
          <w:sz w:val="22"/>
          <w:szCs w:val="22"/>
          <w:lang w:val="en-SG"/>
        </w:rPr>
      </w:pPr>
    </w:p>
    <w:p w14:paraId="21FF4293" w14:textId="6A88B5FF" w:rsidR="00A17673" w:rsidRPr="00D32D64" w:rsidRDefault="00A17673" w:rsidP="00E9585B">
      <w:pPr>
        <w:pStyle w:val="ae"/>
        <w:outlineLvl w:val="0"/>
        <w:rPr>
          <w:rFonts w:ascii="Arial" w:hAnsi="Arial" w:cs="Arial"/>
          <w:sz w:val="22"/>
          <w:szCs w:val="22"/>
        </w:rPr>
      </w:pPr>
      <w:r w:rsidRPr="00D32D64">
        <w:rPr>
          <w:rFonts w:ascii="Arial" w:hAnsi="Arial" w:cs="Arial"/>
          <w:b/>
          <w:bCs/>
          <w:sz w:val="22"/>
          <w:szCs w:val="22"/>
        </w:rPr>
        <w:t xml:space="preserve">Supplementary Note </w:t>
      </w:r>
      <w:r w:rsidR="00D27A19">
        <w:rPr>
          <w:rFonts w:ascii="Arial" w:hAnsi="Arial" w:cs="Arial" w:hint="eastAsia"/>
          <w:b/>
          <w:bCs/>
          <w:sz w:val="22"/>
          <w:szCs w:val="22"/>
        </w:rPr>
        <w:t>5</w:t>
      </w:r>
    </w:p>
    <w:p w14:paraId="72F4DB30" w14:textId="4A4EC079" w:rsidR="00A17673" w:rsidRDefault="00A17673" w:rsidP="00A17673">
      <w:pPr>
        <w:pStyle w:val="a3"/>
        <w:spacing w:line="360" w:lineRule="auto"/>
        <w:rPr>
          <w:rFonts w:ascii="Arial" w:hAnsi="Arial" w:cs="Arial"/>
          <w:color w:val="000000" w:themeColor="text1"/>
          <w:sz w:val="22"/>
          <w:szCs w:val="22"/>
          <w:lang w:val="en-GB"/>
        </w:rPr>
      </w:pPr>
      <w:r w:rsidRPr="00A17673">
        <w:rPr>
          <w:rFonts w:ascii="Arial" w:hAnsi="Arial" w:cs="Arial" w:hint="eastAsia"/>
          <w:color w:val="000000" w:themeColor="text1"/>
          <w:sz w:val="22"/>
          <w:szCs w:val="22"/>
          <w:lang w:val="en-GB"/>
        </w:rPr>
        <w:t>E</w:t>
      </w:r>
      <w:r w:rsidRPr="00A17673">
        <w:rPr>
          <w:rFonts w:ascii="Arial" w:hAnsi="Arial" w:cs="Arial"/>
          <w:color w:val="000000" w:themeColor="text1"/>
          <w:sz w:val="22"/>
          <w:szCs w:val="22"/>
          <w:lang w:val="en-GB"/>
        </w:rPr>
        <w:t>valuat</w:t>
      </w:r>
      <w:r w:rsidRPr="00A17673">
        <w:rPr>
          <w:rFonts w:ascii="Arial" w:hAnsi="Arial" w:cs="Arial" w:hint="eastAsia"/>
          <w:color w:val="000000" w:themeColor="text1"/>
          <w:sz w:val="22"/>
          <w:szCs w:val="22"/>
          <w:lang w:val="en-GB"/>
        </w:rPr>
        <w:t>ion</w:t>
      </w:r>
      <w:r w:rsidRPr="00A17673">
        <w:rPr>
          <w:rFonts w:ascii="Arial" w:hAnsi="Arial" w:cs="Arial"/>
          <w:color w:val="000000" w:themeColor="text1"/>
          <w:sz w:val="22"/>
          <w:szCs w:val="22"/>
          <w:lang w:val="en-GB"/>
        </w:rPr>
        <w:t xml:space="preserve"> the simulation performance of the WRF model: Implications for Methane Transport Reliability</w:t>
      </w:r>
    </w:p>
    <w:p w14:paraId="2D6ED176" w14:textId="393336BD" w:rsidR="00DA2AD4" w:rsidRPr="00A17673" w:rsidRDefault="00B91D4C" w:rsidP="00DA2AD4">
      <w:pPr>
        <w:pStyle w:val="a3"/>
        <w:spacing w:line="360" w:lineRule="auto"/>
        <w:rPr>
          <w:rFonts w:ascii="Arial" w:hAnsi="Arial" w:cs="Arial"/>
          <w:b/>
          <w:bCs/>
          <w:color w:val="000000" w:themeColor="text1"/>
          <w:sz w:val="22"/>
          <w:szCs w:val="22"/>
          <w:lang w:val="en-US"/>
        </w:rPr>
      </w:pPr>
      <w:r w:rsidRPr="00B91D4C">
        <w:rPr>
          <w:rFonts w:ascii="Arial" w:hAnsi="Arial" w:cs="Arial"/>
          <w:b/>
          <w:bCs/>
          <w:color w:val="000000" w:themeColor="text1"/>
          <w:sz w:val="22"/>
          <w:szCs w:val="22"/>
          <w:lang w:val="en-US"/>
        </w:rPr>
        <w:t>WRF-GHG model configuration</w:t>
      </w:r>
    </w:p>
    <w:p w14:paraId="09B5F2B9" w14:textId="54205479" w:rsidR="00832E07" w:rsidRPr="00C1014E" w:rsidRDefault="00832E07" w:rsidP="00832E07">
      <w:pPr>
        <w:pStyle w:val="ae"/>
        <w:spacing w:before="0" w:beforeAutospacing="0" w:after="0" w:afterAutospacing="0"/>
        <w:outlineLvl w:val="1"/>
        <w:rPr>
          <w:rFonts w:cs="Times New Roman"/>
          <w:b/>
          <w:bCs/>
          <w:color w:val="000000" w:themeColor="text1"/>
          <w:szCs w:val="18"/>
        </w:rPr>
      </w:pPr>
      <w:r w:rsidRPr="00FF7AD6">
        <w:rPr>
          <w:rFonts w:asciiTheme="minorHAnsi" w:hAnsiTheme="minorHAnsi" w:cstheme="minorHAnsi"/>
          <w:b/>
          <w:bCs/>
          <w:color w:val="000000" w:themeColor="text1"/>
          <w:sz w:val="22"/>
          <w:szCs w:val="22"/>
        </w:rPr>
        <w:t>Supplementary Table S</w:t>
      </w:r>
      <w:r>
        <w:rPr>
          <w:rFonts w:asciiTheme="minorHAnsi" w:hAnsiTheme="minorHAnsi" w:cstheme="minorHAnsi" w:hint="eastAsia"/>
          <w:b/>
          <w:bCs/>
          <w:color w:val="000000" w:themeColor="text1"/>
          <w:sz w:val="22"/>
          <w:szCs w:val="22"/>
        </w:rPr>
        <w:t>5</w:t>
      </w:r>
      <w:r w:rsidRPr="00832E07">
        <w:rPr>
          <w:rFonts w:asciiTheme="minorHAnsi" w:hAnsiTheme="minorHAnsi" w:cstheme="minorHAnsi"/>
          <w:b/>
          <w:bCs/>
          <w:color w:val="000000" w:themeColor="text1"/>
          <w:sz w:val="22"/>
          <w:szCs w:val="22"/>
        </w:rPr>
        <w:t xml:space="preserve">. </w:t>
      </w:r>
      <w:r w:rsidRPr="00832E07">
        <w:rPr>
          <w:rFonts w:asciiTheme="minorHAnsi" w:hAnsiTheme="minorHAnsi" w:cstheme="minorHAnsi"/>
          <w:color w:val="000000" w:themeColor="text1"/>
          <w:sz w:val="22"/>
          <w:szCs w:val="22"/>
        </w:rPr>
        <w:t>Physical parameterization options used for WRF-GHG simulations.</w:t>
      </w:r>
    </w:p>
    <w:tbl>
      <w:tblPr>
        <w:tblStyle w:val="ad"/>
        <w:tblW w:w="4093" w:type="pct"/>
        <w:jc w:val="center"/>
        <w:tblBorders>
          <w:left w:val="none" w:sz="0" w:space="0" w:color="auto"/>
          <w:right w:val="none" w:sz="0" w:space="0" w:color="auto"/>
        </w:tblBorders>
        <w:tblLook w:val="04A0" w:firstRow="1" w:lastRow="0" w:firstColumn="1" w:lastColumn="0" w:noHBand="0" w:noVBand="1"/>
      </w:tblPr>
      <w:tblGrid>
        <w:gridCol w:w="2554"/>
        <w:gridCol w:w="3353"/>
        <w:gridCol w:w="1755"/>
      </w:tblGrid>
      <w:tr w:rsidR="00832E07" w:rsidRPr="00C1014E" w14:paraId="2A36E5E8" w14:textId="77777777" w:rsidTr="00CF79F2">
        <w:trPr>
          <w:jc w:val="center"/>
        </w:trPr>
        <w:tc>
          <w:tcPr>
            <w:tcW w:w="1667" w:type="pct"/>
            <w:tcBorders>
              <w:top w:val="single" w:sz="12" w:space="0" w:color="auto"/>
              <w:bottom w:val="single" w:sz="4" w:space="0" w:color="auto"/>
              <w:right w:val="nil"/>
            </w:tcBorders>
            <w:vAlign w:val="center"/>
          </w:tcPr>
          <w:p w14:paraId="242D56FC" w14:textId="77777777" w:rsidR="00832E07" w:rsidRPr="00C1014E" w:rsidRDefault="00832E07" w:rsidP="00CF79F2">
            <w:pPr>
              <w:contextualSpacing/>
              <w:jc w:val="center"/>
              <w:rPr>
                <w:rFonts w:cs="Times New Roman"/>
                <w:b/>
                <w:szCs w:val="18"/>
              </w:rPr>
            </w:pPr>
            <w:r w:rsidRPr="00C1014E">
              <w:rPr>
                <w:rFonts w:eastAsia="PMingLiU" w:cs="Times New Roman"/>
                <w:b/>
                <w:szCs w:val="18"/>
                <w:lang w:eastAsia="zh-TW"/>
              </w:rPr>
              <w:t>Physics process</w:t>
            </w:r>
          </w:p>
        </w:tc>
        <w:tc>
          <w:tcPr>
            <w:tcW w:w="2188" w:type="pct"/>
            <w:tcBorders>
              <w:top w:val="single" w:sz="12" w:space="0" w:color="auto"/>
              <w:left w:val="nil"/>
              <w:bottom w:val="single" w:sz="4" w:space="0" w:color="auto"/>
              <w:right w:val="nil"/>
            </w:tcBorders>
            <w:vAlign w:val="center"/>
          </w:tcPr>
          <w:p w14:paraId="7A6EC8BA" w14:textId="77777777" w:rsidR="00832E07" w:rsidRPr="00C1014E" w:rsidRDefault="00832E07" w:rsidP="00CF79F2">
            <w:pPr>
              <w:spacing w:before="156"/>
              <w:contextualSpacing/>
              <w:jc w:val="center"/>
              <w:rPr>
                <w:rFonts w:cs="Times New Roman"/>
                <w:b/>
                <w:szCs w:val="18"/>
              </w:rPr>
            </w:pPr>
            <w:r w:rsidRPr="00C1014E">
              <w:rPr>
                <w:rFonts w:eastAsia="PMingLiU" w:cs="Times New Roman"/>
                <w:b/>
                <w:szCs w:val="18"/>
                <w:lang w:eastAsia="zh-TW"/>
              </w:rPr>
              <w:t>Scheme name</w:t>
            </w:r>
          </w:p>
        </w:tc>
        <w:tc>
          <w:tcPr>
            <w:tcW w:w="1146" w:type="pct"/>
            <w:tcBorders>
              <w:top w:val="single" w:sz="12" w:space="0" w:color="auto"/>
              <w:left w:val="nil"/>
              <w:bottom w:val="single" w:sz="4" w:space="0" w:color="auto"/>
            </w:tcBorders>
            <w:vAlign w:val="center"/>
          </w:tcPr>
          <w:p w14:paraId="071776D8" w14:textId="77777777" w:rsidR="00832E07" w:rsidRPr="00C1014E" w:rsidRDefault="00832E07" w:rsidP="00CF79F2">
            <w:pPr>
              <w:spacing w:before="156"/>
              <w:contextualSpacing/>
              <w:jc w:val="center"/>
              <w:rPr>
                <w:rFonts w:cs="Times New Roman"/>
                <w:b/>
                <w:szCs w:val="18"/>
              </w:rPr>
            </w:pPr>
            <w:r w:rsidRPr="00C1014E">
              <w:rPr>
                <w:rFonts w:eastAsia="PMingLiU" w:cs="Times New Roman"/>
                <w:b/>
                <w:szCs w:val="18"/>
                <w:lang w:eastAsia="zh-TW"/>
              </w:rPr>
              <w:t>Option</w:t>
            </w:r>
          </w:p>
        </w:tc>
      </w:tr>
      <w:tr w:rsidR="00832E07" w:rsidRPr="00C1014E" w14:paraId="60C7D5D2" w14:textId="77777777" w:rsidTr="00CF79F2">
        <w:trPr>
          <w:jc w:val="center"/>
        </w:trPr>
        <w:tc>
          <w:tcPr>
            <w:tcW w:w="1667" w:type="pct"/>
            <w:tcBorders>
              <w:bottom w:val="nil"/>
              <w:right w:val="nil"/>
            </w:tcBorders>
            <w:vAlign w:val="center"/>
          </w:tcPr>
          <w:p w14:paraId="171EB9EB"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Microphysics</w:t>
            </w:r>
          </w:p>
        </w:tc>
        <w:tc>
          <w:tcPr>
            <w:tcW w:w="2188" w:type="pct"/>
            <w:tcBorders>
              <w:left w:val="nil"/>
              <w:bottom w:val="nil"/>
              <w:right w:val="nil"/>
            </w:tcBorders>
            <w:vAlign w:val="center"/>
          </w:tcPr>
          <w:p w14:paraId="10CF2E89"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Morrison two-moment</w:t>
            </w:r>
          </w:p>
        </w:tc>
        <w:tc>
          <w:tcPr>
            <w:tcW w:w="1146" w:type="pct"/>
            <w:tcBorders>
              <w:left w:val="nil"/>
              <w:bottom w:val="nil"/>
            </w:tcBorders>
            <w:vAlign w:val="center"/>
          </w:tcPr>
          <w:p w14:paraId="77390027"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10</w:t>
            </w:r>
          </w:p>
        </w:tc>
      </w:tr>
      <w:tr w:rsidR="00832E07" w:rsidRPr="00C1014E" w14:paraId="50D9E2EA" w14:textId="77777777" w:rsidTr="00CF79F2">
        <w:trPr>
          <w:jc w:val="center"/>
        </w:trPr>
        <w:tc>
          <w:tcPr>
            <w:tcW w:w="1667" w:type="pct"/>
            <w:tcBorders>
              <w:top w:val="nil"/>
              <w:bottom w:val="nil"/>
              <w:right w:val="nil"/>
            </w:tcBorders>
            <w:vAlign w:val="center"/>
          </w:tcPr>
          <w:p w14:paraId="6D62CAA7"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Longwave radiation</w:t>
            </w:r>
          </w:p>
        </w:tc>
        <w:tc>
          <w:tcPr>
            <w:tcW w:w="2188" w:type="pct"/>
            <w:tcBorders>
              <w:top w:val="nil"/>
              <w:left w:val="nil"/>
              <w:bottom w:val="nil"/>
              <w:right w:val="nil"/>
            </w:tcBorders>
            <w:vAlign w:val="center"/>
          </w:tcPr>
          <w:p w14:paraId="0205620E"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RRTMG</w:t>
            </w:r>
          </w:p>
        </w:tc>
        <w:tc>
          <w:tcPr>
            <w:tcW w:w="1146" w:type="pct"/>
            <w:tcBorders>
              <w:top w:val="nil"/>
              <w:left w:val="nil"/>
              <w:bottom w:val="nil"/>
            </w:tcBorders>
            <w:vAlign w:val="center"/>
          </w:tcPr>
          <w:p w14:paraId="238F7074"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4</w:t>
            </w:r>
          </w:p>
        </w:tc>
      </w:tr>
      <w:tr w:rsidR="00832E07" w:rsidRPr="00C1014E" w14:paraId="278E5638" w14:textId="77777777" w:rsidTr="00CF79F2">
        <w:trPr>
          <w:jc w:val="center"/>
        </w:trPr>
        <w:tc>
          <w:tcPr>
            <w:tcW w:w="1667" w:type="pct"/>
            <w:tcBorders>
              <w:top w:val="nil"/>
              <w:bottom w:val="nil"/>
              <w:right w:val="nil"/>
            </w:tcBorders>
            <w:vAlign w:val="center"/>
          </w:tcPr>
          <w:p w14:paraId="51E31482"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Shortwave radiation</w:t>
            </w:r>
          </w:p>
        </w:tc>
        <w:tc>
          <w:tcPr>
            <w:tcW w:w="2188" w:type="pct"/>
            <w:tcBorders>
              <w:top w:val="nil"/>
              <w:left w:val="nil"/>
              <w:bottom w:val="nil"/>
              <w:right w:val="nil"/>
            </w:tcBorders>
            <w:vAlign w:val="center"/>
          </w:tcPr>
          <w:p w14:paraId="0F968F7A"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RRTMG</w:t>
            </w:r>
          </w:p>
        </w:tc>
        <w:tc>
          <w:tcPr>
            <w:tcW w:w="1146" w:type="pct"/>
            <w:tcBorders>
              <w:top w:val="nil"/>
              <w:left w:val="nil"/>
              <w:bottom w:val="nil"/>
            </w:tcBorders>
            <w:vAlign w:val="center"/>
          </w:tcPr>
          <w:p w14:paraId="1E0B0367"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4</w:t>
            </w:r>
          </w:p>
        </w:tc>
      </w:tr>
      <w:tr w:rsidR="00832E07" w:rsidRPr="00C1014E" w14:paraId="155AB723" w14:textId="77777777" w:rsidTr="00CF79F2">
        <w:trPr>
          <w:jc w:val="center"/>
        </w:trPr>
        <w:tc>
          <w:tcPr>
            <w:tcW w:w="1667" w:type="pct"/>
            <w:tcBorders>
              <w:top w:val="nil"/>
              <w:bottom w:val="nil"/>
              <w:right w:val="nil"/>
            </w:tcBorders>
            <w:vAlign w:val="center"/>
          </w:tcPr>
          <w:p w14:paraId="1A8E66FB"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Surface layer</w:t>
            </w:r>
          </w:p>
        </w:tc>
        <w:tc>
          <w:tcPr>
            <w:tcW w:w="2188" w:type="pct"/>
            <w:tcBorders>
              <w:top w:val="nil"/>
              <w:left w:val="nil"/>
              <w:bottom w:val="nil"/>
              <w:right w:val="nil"/>
            </w:tcBorders>
            <w:vAlign w:val="center"/>
          </w:tcPr>
          <w:p w14:paraId="64116D58"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MM5 Monin-Obukhov</w:t>
            </w:r>
          </w:p>
        </w:tc>
        <w:tc>
          <w:tcPr>
            <w:tcW w:w="1146" w:type="pct"/>
            <w:tcBorders>
              <w:top w:val="nil"/>
              <w:left w:val="nil"/>
              <w:bottom w:val="nil"/>
            </w:tcBorders>
            <w:vAlign w:val="center"/>
          </w:tcPr>
          <w:p w14:paraId="0B9CB1B9"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2</w:t>
            </w:r>
          </w:p>
        </w:tc>
      </w:tr>
      <w:tr w:rsidR="00832E07" w:rsidRPr="00C1014E" w14:paraId="241EB506" w14:textId="77777777" w:rsidTr="00CF79F2">
        <w:trPr>
          <w:jc w:val="center"/>
        </w:trPr>
        <w:tc>
          <w:tcPr>
            <w:tcW w:w="1667" w:type="pct"/>
            <w:tcBorders>
              <w:top w:val="nil"/>
              <w:bottom w:val="nil"/>
              <w:right w:val="nil"/>
            </w:tcBorders>
            <w:vAlign w:val="center"/>
          </w:tcPr>
          <w:p w14:paraId="543084A4"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Land surface model</w:t>
            </w:r>
          </w:p>
        </w:tc>
        <w:tc>
          <w:tcPr>
            <w:tcW w:w="2188" w:type="pct"/>
            <w:tcBorders>
              <w:top w:val="nil"/>
              <w:left w:val="nil"/>
              <w:bottom w:val="nil"/>
              <w:right w:val="nil"/>
            </w:tcBorders>
            <w:vAlign w:val="center"/>
          </w:tcPr>
          <w:p w14:paraId="645D79FE"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Unified Noah Land Surface Mode</w:t>
            </w:r>
            <w:r>
              <w:rPr>
                <w:rFonts w:eastAsia="PMingLiU" w:cs="Times New Roman"/>
                <w:bCs/>
                <w:szCs w:val="18"/>
                <w:lang w:eastAsia="zh-TW"/>
              </w:rPr>
              <w:t>l</w:t>
            </w:r>
          </w:p>
        </w:tc>
        <w:tc>
          <w:tcPr>
            <w:tcW w:w="1146" w:type="pct"/>
            <w:tcBorders>
              <w:top w:val="nil"/>
              <w:left w:val="nil"/>
              <w:bottom w:val="nil"/>
            </w:tcBorders>
            <w:vAlign w:val="center"/>
          </w:tcPr>
          <w:p w14:paraId="711DED1F"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2</w:t>
            </w:r>
          </w:p>
        </w:tc>
      </w:tr>
      <w:tr w:rsidR="00832E07" w:rsidRPr="00C1014E" w14:paraId="6E91FE8F" w14:textId="77777777" w:rsidTr="00CF79F2">
        <w:trPr>
          <w:jc w:val="center"/>
        </w:trPr>
        <w:tc>
          <w:tcPr>
            <w:tcW w:w="1667" w:type="pct"/>
            <w:tcBorders>
              <w:top w:val="nil"/>
              <w:bottom w:val="nil"/>
              <w:right w:val="nil"/>
            </w:tcBorders>
            <w:vAlign w:val="center"/>
          </w:tcPr>
          <w:p w14:paraId="49137D46"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Planetary boundary layer</w:t>
            </w:r>
          </w:p>
        </w:tc>
        <w:tc>
          <w:tcPr>
            <w:tcW w:w="2188" w:type="pct"/>
            <w:tcBorders>
              <w:top w:val="nil"/>
              <w:left w:val="nil"/>
              <w:bottom w:val="nil"/>
              <w:right w:val="nil"/>
            </w:tcBorders>
            <w:vAlign w:val="center"/>
          </w:tcPr>
          <w:p w14:paraId="0BB9B4F5"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Mellor-Yamada-Janjic (MYJ)</w:t>
            </w:r>
          </w:p>
        </w:tc>
        <w:tc>
          <w:tcPr>
            <w:tcW w:w="1146" w:type="pct"/>
            <w:tcBorders>
              <w:top w:val="nil"/>
              <w:left w:val="nil"/>
              <w:bottom w:val="nil"/>
            </w:tcBorders>
            <w:vAlign w:val="center"/>
          </w:tcPr>
          <w:p w14:paraId="6E5FDC44"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2</w:t>
            </w:r>
          </w:p>
        </w:tc>
      </w:tr>
      <w:tr w:rsidR="00832E07" w:rsidRPr="00C1014E" w14:paraId="0A97A7AA" w14:textId="77777777" w:rsidTr="00CF79F2">
        <w:trPr>
          <w:jc w:val="center"/>
        </w:trPr>
        <w:tc>
          <w:tcPr>
            <w:tcW w:w="1667" w:type="pct"/>
            <w:tcBorders>
              <w:top w:val="nil"/>
              <w:bottom w:val="single" w:sz="12" w:space="0" w:color="auto"/>
              <w:right w:val="nil"/>
            </w:tcBorders>
            <w:vAlign w:val="center"/>
          </w:tcPr>
          <w:p w14:paraId="71DF967A"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Cumulus convection</w:t>
            </w:r>
          </w:p>
          <w:p w14:paraId="299CC121"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(only in d01)</w:t>
            </w:r>
          </w:p>
        </w:tc>
        <w:tc>
          <w:tcPr>
            <w:tcW w:w="2188" w:type="pct"/>
            <w:tcBorders>
              <w:top w:val="nil"/>
              <w:left w:val="nil"/>
              <w:bottom w:val="single" w:sz="12" w:space="0" w:color="auto"/>
              <w:right w:val="nil"/>
            </w:tcBorders>
            <w:vAlign w:val="center"/>
          </w:tcPr>
          <w:p w14:paraId="7DA9DDBC"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Grell-Freitas (GF)</w:t>
            </w:r>
          </w:p>
        </w:tc>
        <w:tc>
          <w:tcPr>
            <w:tcW w:w="1146" w:type="pct"/>
            <w:tcBorders>
              <w:top w:val="nil"/>
              <w:left w:val="nil"/>
              <w:bottom w:val="single" w:sz="12" w:space="0" w:color="auto"/>
            </w:tcBorders>
            <w:vAlign w:val="center"/>
          </w:tcPr>
          <w:p w14:paraId="78AC71D3" w14:textId="77777777" w:rsidR="00832E07" w:rsidRPr="00C1014E" w:rsidRDefault="00832E07" w:rsidP="00CF79F2">
            <w:pPr>
              <w:spacing w:before="156"/>
              <w:contextualSpacing/>
              <w:jc w:val="center"/>
              <w:rPr>
                <w:rFonts w:cs="Times New Roman"/>
                <w:bCs/>
                <w:szCs w:val="18"/>
              </w:rPr>
            </w:pPr>
            <w:r w:rsidRPr="00C1014E">
              <w:rPr>
                <w:rFonts w:eastAsia="PMingLiU" w:cs="Times New Roman"/>
                <w:bCs/>
                <w:szCs w:val="18"/>
                <w:lang w:eastAsia="zh-TW"/>
              </w:rPr>
              <w:t>5</w:t>
            </w:r>
          </w:p>
        </w:tc>
      </w:tr>
    </w:tbl>
    <w:p w14:paraId="723F83F3" w14:textId="77777777" w:rsidR="00832E07" w:rsidRPr="00832E07" w:rsidRDefault="00832E07" w:rsidP="00832E07">
      <w:pPr>
        <w:rPr>
          <w:lang w:val="en-US"/>
        </w:rPr>
      </w:pPr>
    </w:p>
    <w:p w14:paraId="2C8CF3FC" w14:textId="77777777" w:rsidR="00832E07" w:rsidRPr="00C1014E" w:rsidRDefault="00832E07" w:rsidP="00832E07">
      <w:pPr>
        <w:spacing w:before="156"/>
        <w:contextualSpacing/>
        <w:jc w:val="center"/>
        <w:rPr>
          <w:rFonts w:cs="Times New Roman"/>
          <w:bCs/>
          <w:sz w:val="20"/>
          <w:szCs w:val="20"/>
        </w:rPr>
      </w:pPr>
      <w:r w:rsidRPr="00C1014E">
        <w:rPr>
          <w:rFonts w:cs="Times New Roman"/>
          <w:bCs/>
          <w:noProof/>
          <w:sz w:val="20"/>
          <w:szCs w:val="20"/>
        </w:rPr>
        <w:lastRenderedPageBreak/>
        <w:drawing>
          <wp:inline distT="0" distB="0" distL="0" distR="0" wp14:anchorId="55350EC7" wp14:editId="4AD2597D">
            <wp:extent cx="4487938" cy="3593805"/>
            <wp:effectExtent l="0" t="0" r="0" b="635"/>
            <wp:docPr id="2017238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3827" name="Picture 201723827"/>
                    <pic:cNvPicPr/>
                  </pic:nvPicPr>
                  <pic:blipFill>
                    <a:blip r:embed="rId19"/>
                    <a:stretch>
                      <a:fillRect/>
                    </a:stretch>
                  </pic:blipFill>
                  <pic:spPr>
                    <a:xfrm>
                      <a:off x="0" y="0"/>
                      <a:ext cx="4521225" cy="3620461"/>
                    </a:xfrm>
                    <a:prstGeom prst="rect">
                      <a:avLst/>
                    </a:prstGeom>
                  </pic:spPr>
                </pic:pic>
              </a:graphicData>
            </a:graphic>
          </wp:inline>
        </w:drawing>
      </w:r>
    </w:p>
    <w:p w14:paraId="3678D94C" w14:textId="2650044E" w:rsidR="00832E07" w:rsidRPr="00832E07" w:rsidRDefault="00832E07" w:rsidP="00832E07">
      <w:pPr>
        <w:pStyle w:val="a3"/>
        <w:widowControl w:val="0"/>
        <w:spacing w:line="276" w:lineRule="auto"/>
        <w:jc w:val="both"/>
        <w:outlineLvl w:val="1"/>
        <w:rPr>
          <w:rFonts w:asciiTheme="minorHAnsi" w:hAnsiTheme="minorHAnsi" w:cstheme="minorHAnsi"/>
          <w:b/>
          <w:bCs/>
          <w:color w:val="000000" w:themeColor="text1"/>
          <w:kern w:val="2"/>
          <w:sz w:val="22"/>
          <w:szCs w:val="22"/>
        </w:rPr>
      </w:pPr>
      <w:r w:rsidRPr="00A910D1">
        <w:rPr>
          <w:rFonts w:asciiTheme="minorHAnsi" w:hAnsiTheme="minorHAnsi" w:cstheme="minorHAnsi"/>
          <w:b/>
          <w:bCs/>
          <w:color w:val="000000" w:themeColor="text1"/>
          <w:kern w:val="2"/>
          <w:sz w:val="22"/>
          <w:szCs w:val="22"/>
        </w:rPr>
        <w:t xml:space="preserve">Supplementary Fig. </w:t>
      </w:r>
      <w:r w:rsidR="008B27CB" w:rsidRPr="00A910D1">
        <w:rPr>
          <w:rFonts w:asciiTheme="minorHAnsi" w:hAnsiTheme="minorHAnsi" w:cstheme="minorHAnsi"/>
          <w:b/>
          <w:bCs/>
          <w:color w:val="000000" w:themeColor="text1"/>
          <w:kern w:val="2"/>
          <w:sz w:val="22"/>
          <w:szCs w:val="22"/>
        </w:rPr>
        <w:t>S</w:t>
      </w:r>
      <w:r w:rsidR="00D412CD">
        <w:rPr>
          <w:rFonts w:asciiTheme="minorHAnsi" w:hAnsiTheme="minorHAnsi" w:cstheme="minorHAnsi"/>
          <w:b/>
          <w:bCs/>
          <w:color w:val="000000" w:themeColor="text1"/>
          <w:kern w:val="2"/>
          <w:sz w:val="22"/>
          <w:szCs w:val="22"/>
        </w:rPr>
        <w:t>9</w:t>
      </w:r>
      <w:r w:rsidRPr="00832E07">
        <w:rPr>
          <w:rFonts w:asciiTheme="minorHAnsi" w:hAnsiTheme="minorHAnsi" w:cstheme="minorHAnsi"/>
          <w:b/>
          <w:bCs/>
          <w:color w:val="000000" w:themeColor="text1"/>
          <w:kern w:val="2"/>
          <w:sz w:val="22"/>
          <w:szCs w:val="22"/>
        </w:rPr>
        <w:t>. Locations of the 3-nested domains.</w:t>
      </w:r>
    </w:p>
    <w:p w14:paraId="7620EF57" w14:textId="77777777" w:rsidR="00DA2AD4" w:rsidRPr="00DA2AD4" w:rsidRDefault="00DA2AD4" w:rsidP="00DA2AD4">
      <w:pPr>
        <w:rPr>
          <w:lang w:val="en-GB"/>
        </w:rPr>
      </w:pPr>
    </w:p>
    <w:p w14:paraId="3689B686" w14:textId="77777777" w:rsidR="00A17673" w:rsidRPr="00A17673" w:rsidRDefault="00A17673" w:rsidP="00A17673">
      <w:pPr>
        <w:pStyle w:val="a3"/>
        <w:spacing w:line="360" w:lineRule="auto"/>
        <w:rPr>
          <w:rFonts w:ascii="Arial" w:hAnsi="Arial" w:cs="Arial"/>
          <w:b/>
          <w:bCs/>
          <w:color w:val="000000" w:themeColor="text1"/>
          <w:sz w:val="22"/>
          <w:szCs w:val="22"/>
          <w:lang w:val="en-US"/>
        </w:rPr>
      </w:pPr>
      <w:r w:rsidRPr="00A17673">
        <w:rPr>
          <w:rFonts w:ascii="Arial" w:hAnsi="Arial" w:cs="Arial"/>
          <w:b/>
          <w:bCs/>
          <w:color w:val="000000" w:themeColor="text1"/>
          <w:sz w:val="22"/>
          <w:szCs w:val="22"/>
          <w:lang w:val="en-US"/>
        </w:rPr>
        <w:t xml:space="preserve">Validation of the </w:t>
      </w:r>
      <w:r w:rsidRPr="00A17673">
        <w:rPr>
          <w:rFonts w:ascii="Arial" w:hAnsi="Arial" w:cs="Arial" w:hint="eastAsia"/>
          <w:b/>
          <w:bCs/>
          <w:color w:val="000000" w:themeColor="text1"/>
          <w:sz w:val="22"/>
          <w:szCs w:val="22"/>
          <w:lang w:val="en-US"/>
        </w:rPr>
        <w:t>P</w:t>
      </w:r>
      <w:r w:rsidRPr="00A17673">
        <w:rPr>
          <w:rFonts w:ascii="Arial" w:hAnsi="Arial" w:cs="Arial"/>
          <w:b/>
          <w:bCs/>
          <w:color w:val="000000" w:themeColor="text1"/>
          <w:sz w:val="22"/>
          <w:szCs w:val="22"/>
          <w:lang w:val="en-US"/>
        </w:rPr>
        <w:t xml:space="preserve">lanetary </w:t>
      </w:r>
      <w:r w:rsidRPr="00A17673">
        <w:rPr>
          <w:rFonts w:ascii="Arial" w:hAnsi="Arial" w:cs="Arial" w:hint="eastAsia"/>
          <w:b/>
          <w:bCs/>
          <w:color w:val="000000" w:themeColor="text1"/>
          <w:sz w:val="22"/>
          <w:szCs w:val="22"/>
          <w:lang w:val="en-US"/>
        </w:rPr>
        <w:t>B</w:t>
      </w:r>
      <w:r w:rsidRPr="00A17673">
        <w:rPr>
          <w:rFonts w:ascii="Arial" w:hAnsi="Arial" w:cs="Arial"/>
          <w:b/>
          <w:bCs/>
          <w:color w:val="000000" w:themeColor="text1"/>
          <w:sz w:val="22"/>
          <w:szCs w:val="22"/>
          <w:lang w:val="en-US"/>
        </w:rPr>
        <w:t xml:space="preserve">oundary </w:t>
      </w:r>
      <w:r w:rsidRPr="00A17673">
        <w:rPr>
          <w:rFonts w:ascii="Arial" w:hAnsi="Arial" w:cs="Arial" w:hint="eastAsia"/>
          <w:b/>
          <w:bCs/>
          <w:color w:val="000000" w:themeColor="text1"/>
          <w:sz w:val="22"/>
          <w:szCs w:val="22"/>
          <w:lang w:val="en-US"/>
        </w:rPr>
        <w:t>L</w:t>
      </w:r>
      <w:r w:rsidRPr="00A17673">
        <w:rPr>
          <w:rFonts w:ascii="Arial" w:hAnsi="Arial" w:cs="Arial"/>
          <w:b/>
          <w:bCs/>
          <w:color w:val="000000" w:themeColor="text1"/>
          <w:sz w:val="22"/>
          <w:szCs w:val="22"/>
          <w:lang w:val="en-US"/>
        </w:rPr>
        <w:t>ayer</w:t>
      </w:r>
    </w:p>
    <w:p w14:paraId="5C2C16B5" w14:textId="36BA6A24" w:rsidR="00A17673" w:rsidRPr="00A17673" w:rsidRDefault="00A17673" w:rsidP="00A17673">
      <w:pPr>
        <w:pStyle w:val="a3"/>
        <w:spacing w:line="360" w:lineRule="auto"/>
        <w:rPr>
          <w:rFonts w:ascii="Arial" w:hAnsi="Arial" w:cs="Arial"/>
          <w:color w:val="000000" w:themeColor="text1"/>
          <w:sz w:val="22"/>
          <w:szCs w:val="22"/>
          <w:lang w:val="en-US"/>
        </w:rPr>
      </w:pPr>
      <w:r w:rsidRPr="00A17673">
        <w:rPr>
          <w:rFonts w:ascii="Arial" w:hAnsi="Arial" w:cs="Arial"/>
          <w:color w:val="000000" w:themeColor="text1"/>
          <w:sz w:val="22"/>
          <w:szCs w:val="22"/>
          <w:lang w:val="en-US"/>
        </w:rPr>
        <w:t>Atmospheric transport models for methane rely strongly on the proper representation of the planetary boundary layer (PBL) by the numerical weather prediction (NWP) model driving them to properly account for the vertical and horizontal mixing of methane in the near-surface atmosphere. These transport models are fundamental tools for methane emission inversion using top-down approaches (Nisbet and Weiss, 2010), and their reliability is directly tied to the accuracy of simulated PBL dynamics (e.g., diurnal variations in PBL height). The simulated diurnal variations of PBL heights over the entire study period are presented in Fig</w:t>
      </w:r>
      <w:r w:rsidR="00EB18F3">
        <w:rPr>
          <w:rFonts w:ascii="Arial" w:hAnsi="Arial" w:cs="Arial" w:hint="eastAsia"/>
          <w:color w:val="000000" w:themeColor="text1"/>
          <w:sz w:val="22"/>
          <w:szCs w:val="22"/>
          <w:lang w:val="en-US"/>
        </w:rPr>
        <w:t>.</w:t>
      </w:r>
      <w:r w:rsidRPr="00A17673">
        <w:rPr>
          <w:rFonts w:ascii="Arial" w:hAnsi="Arial" w:cs="Arial"/>
          <w:color w:val="000000" w:themeColor="text1"/>
          <w:sz w:val="22"/>
          <w:szCs w:val="22"/>
          <w:lang w:val="en-US"/>
        </w:rPr>
        <w:t xml:space="preserve"> </w:t>
      </w:r>
      <w:r w:rsidR="008B27CB" w:rsidRPr="00A17673">
        <w:rPr>
          <w:rFonts w:ascii="Arial" w:hAnsi="Arial" w:cs="Arial"/>
          <w:color w:val="000000" w:themeColor="text1"/>
          <w:sz w:val="22"/>
          <w:szCs w:val="22"/>
          <w:lang w:val="en-US"/>
        </w:rPr>
        <w:t>S</w:t>
      </w:r>
      <w:r w:rsidR="008B27CB">
        <w:rPr>
          <w:rFonts w:ascii="Arial" w:hAnsi="Arial" w:cs="Arial"/>
          <w:color w:val="000000" w:themeColor="text1"/>
          <w:sz w:val="22"/>
          <w:szCs w:val="22"/>
          <w:lang w:val="en-US"/>
        </w:rPr>
        <w:t>1</w:t>
      </w:r>
      <w:r w:rsidR="00D412CD">
        <w:rPr>
          <w:rFonts w:ascii="Arial" w:hAnsi="Arial" w:cs="Arial"/>
          <w:color w:val="000000" w:themeColor="text1"/>
          <w:sz w:val="22"/>
          <w:szCs w:val="22"/>
          <w:lang w:val="en-US"/>
        </w:rPr>
        <w:t>0</w:t>
      </w:r>
      <w:r w:rsidRPr="00A17673">
        <w:rPr>
          <w:rFonts w:ascii="Arial" w:hAnsi="Arial" w:cs="Arial"/>
          <w:color w:val="000000" w:themeColor="text1"/>
          <w:sz w:val="22"/>
          <w:szCs w:val="22"/>
          <w:lang w:val="en-US"/>
        </w:rPr>
        <w:t>. Indeed, the PBL height simulated by WRF</w:t>
      </w:r>
      <w:r w:rsidRPr="00A17673">
        <w:rPr>
          <w:rFonts w:ascii="Arial" w:hAnsi="Arial" w:cs="Arial"/>
          <w:color w:val="000000" w:themeColor="text1"/>
          <w:sz w:val="22"/>
          <w:szCs w:val="22"/>
          <w:lang w:val="en-US"/>
        </w:rPr>
        <w:noBreakHyphen/>
        <w:t>GHG reaches its maximum in the afternoon (15:00 local time, LTC) when solar radiation and surface heating are strongest—consistent with the diurnal cycle of convective mixing in the PBL and the findings of Callewaert et al. (2025). This realistic simulation of PBL height diurnal trends confirms that WRF-GHG adequately captures the key meteorological process controlling methane mixing in the boundary layer, thereby supporting the reliability of subsequent methane transport simulations.</w:t>
      </w:r>
    </w:p>
    <w:p w14:paraId="22700A67" w14:textId="2522AADA" w:rsidR="00A17673" w:rsidRPr="00A17673" w:rsidRDefault="00A17673" w:rsidP="000C1349">
      <w:pPr>
        <w:pStyle w:val="a3"/>
        <w:spacing w:after="0"/>
        <w:rPr>
          <w:rFonts w:ascii="Arial" w:hAnsi="Arial" w:cs="Arial"/>
          <w:color w:val="000000" w:themeColor="text1"/>
          <w:sz w:val="22"/>
          <w:szCs w:val="22"/>
          <w:lang w:val="en-US"/>
        </w:rPr>
      </w:pPr>
      <w:r>
        <w:rPr>
          <w:rFonts w:ascii="Arial" w:hAnsi="Arial" w:cs="Arial"/>
          <w:noProof/>
          <w:color w:val="000000" w:themeColor="text1"/>
          <w:sz w:val="22"/>
          <w:szCs w:val="22"/>
          <w:lang w:val="en-US"/>
        </w:rPr>
        <w:lastRenderedPageBreak/>
        <w:drawing>
          <wp:inline distT="0" distB="0" distL="0" distR="0" wp14:anchorId="3E013C2C" wp14:editId="02FD19C7">
            <wp:extent cx="5530362" cy="4091050"/>
            <wp:effectExtent l="0" t="0" r="0" b="5080"/>
            <wp:docPr id="11080667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66796" name="Picture 11080667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0884" cy="4091436"/>
                    </a:xfrm>
                    <a:prstGeom prst="rect">
                      <a:avLst/>
                    </a:prstGeom>
                  </pic:spPr>
                </pic:pic>
              </a:graphicData>
            </a:graphic>
          </wp:inline>
        </w:drawing>
      </w:r>
    </w:p>
    <w:p w14:paraId="3F4BD36E" w14:textId="507F18C3" w:rsidR="00A17673" w:rsidRPr="00C25385" w:rsidRDefault="0083375E" w:rsidP="00E9585B">
      <w:pPr>
        <w:pStyle w:val="a3"/>
        <w:widowControl w:val="0"/>
        <w:spacing w:line="276" w:lineRule="auto"/>
        <w:jc w:val="both"/>
        <w:outlineLvl w:val="1"/>
        <w:rPr>
          <w:rFonts w:asciiTheme="minorHAnsi" w:hAnsiTheme="minorHAnsi" w:cstheme="minorHAnsi"/>
          <w:b/>
          <w:bCs/>
          <w:color w:val="000000" w:themeColor="text1"/>
          <w:kern w:val="2"/>
          <w:sz w:val="22"/>
          <w:szCs w:val="22"/>
        </w:rPr>
      </w:pPr>
      <w:r w:rsidRPr="00C25385">
        <w:rPr>
          <w:rFonts w:asciiTheme="minorHAnsi" w:hAnsiTheme="minorHAnsi" w:cstheme="minorHAnsi"/>
          <w:b/>
          <w:bCs/>
          <w:color w:val="000000" w:themeColor="text1"/>
          <w:kern w:val="2"/>
          <w:sz w:val="22"/>
          <w:szCs w:val="22"/>
        </w:rPr>
        <w:t xml:space="preserve">Supplementary Fig. </w:t>
      </w:r>
      <w:r w:rsidR="008B27CB" w:rsidRPr="00C25385">
        <w:rPr>
          <w:rFonts w:asciiTheme="minorHAnsi" w:hAnsiTheme="minorHAnsi" w:cstheme="minorHAnsi" w:hint="eastAsia"/>
          <w:b/>
          <w:bCs/>
          <w:color w:val="000000" w:themeColor="text1"/>
          <w:kern w:val="2"/>
          <w:sz w:val="22"/>
          <w:szCs w:val="22"/>
        </w:rPr>
        <w:t>S</w:t>
      </w:r>
      <w:r w:rsidR="008B27CB">
        <w:rPr>
          <w:rFonts w:asciiTheme="minorHAnsi" w:hAnsiTheme="minorHAnsi" w:cstheme="minorHAnsi"/>
          <w:b/>
          <w:bCs/>
          <w:color w:val="000000" w:themeColor="text1"/>
          <w:kern w:val="2"/>
          <w:sz w:val="22"/>
          <w:szCs w:val="22"/>
        </w:rPr>
        <w:t>1</w:t>
      </w:r>
      <w:r w:rsidR="00D412CD">
        <w:rPr>
          <w:rFonts w:asciiTheme="minorHAnsi" w:hAnsiTheme="minorHAnsi" w:cstheme="minorHAnsi"/>
          <w:b/>
          <w:bCs/>
          <w:color w:val="000000" w:themeColor="text1"/>
          <w:kern w:val="2"/>
          <w:sz w:val="22"/>
          <w:szCs w:val="22"/>
        </w:rPr>
        <w:t>0</w:t>
      </w:r>
      <w:r w:rsidRPr="00C25385">
        <w:rPr>
          <w:rFonts w:asciiTheme="minorHAnsi" w:hAnsiTheme="minorHAnsi" w:cstheme="minorHAnsi"/>
          <w:b/>
          <w:bCs/>
          <w:color w:val="000000" w:themeColor="text1"/>
          <w:kern w:val="2"/>
          <w:sz w:val="22"/>
          <w:szCs w:val="22"/>
        </w:rPr>
        <w:t xml:space="preserve">. </w:t>
      </w:r>
      <w:r w:rsidR="00A17673" w:rsidRPr="00C25385">
        <w:rPr>
          <w:rFonts w:asciiTheme="minorHAnsi" w:hAnsiTheme="minorHAnsi" w:cstheme="minorHAnsi"/>
          <w:b/>
          <w:bCs/>
          <w:color w:val="000000" w:themeColor="text1"/>
          <w:kern w:val="2"/>
          <w:sz w:val="22"/>
          <w:szCs w:val="22"/>
        </w:rPr>
        <w:t xml:space="preserve">Simulated </w:t>
      </w:r>
      <w:r w:rsidR="00A17673" w:rsidRPr="00C25385">
        <w:rPr>
          <w:rFonts w:asciiTheme="minorHAnsi" w:hAnsiTheme="minorHAnsi" w:cstheme="minorHAnsi" w:hint="eastAsia"/>
          <w:b/>
          <w:bCs/>
          <w:color w:val="000000" w:themeColor="text1"/>
          <w:kern w:val="2"/>
          <w:sz w:val="22"/>
          <w:szCs w:val="22"/>
        </w:rPr>
        <w:t>d</w:t>
      </w:r>
      <w:r w:rsidR="00A17673" w:rsidRPr="00C25385">
        <w:rPr>
          <w:rFonts w:asciiTheme="minorHAnsi" w:hAnsiTheme="minorHAnsi" w:cstheme="minorHAnsi"/>
          <w:b/>
          <w:bCs/>
          <w:color w:val="000000" w:themeColor="text1"/>
          <w:kern w:val="2"/>
          <w:sz w:val="22"/>
          <w:szCs w:val="22"/>
        </w:rPr>
        <w:t xml:space="preserve">iurnal variations of PBLH at Xianghe </w:t>
      </w:r>
      <w:r w:rsidR="00A17673" w:rsidRPr="00C25385">
        <w:rPr>
          <w:rFonts w:asciiTheme="minorHAnsi" w:hAnsiTheme="minorHAnsi" w:cstheme="minorHAnsi" w:hint="eastAsia"/>
          <w:b/>
          <w:bCs/>
          <w:color w:val="000000" w:themeColor="text1"/>
          <w:kern w:val="2"/>
          <w:sz w:val="22"/>
          <w:szCs w:val="22"/>
        </w:rPr>
        <w:t>S</w:t>
      </w:r>
      <w:r w:rsidR="00A17673" w:rsidRPr="00C25385">
        <w:rPr>
          <w:rFonts w:asciiTheme="minorHAnsi" w:hAnsiTheme="minorHAnsi" w:cstheme="minorHAnsi"/>
          <w:b/>
          <w:bCs/>
          <w:color w:val="000000" w:themeColor="text1"/>
          <w:kern w:val="2"/>
          <w:sz w:val="22"/>
          <w:szCs w:val="22"/>
        </w:rPr>
        <w:t>tation</w:t>
      </w:r>
      <w:r w:rsidR="00C25385">
        <w:rPr>
          <w:rFonts w:asciiTheme="minorHAnsi" w:hAnsiTheme="minorHAnsi" w:cstheme="minorHAnsi" w:hint="eastAsia"/>
          <w:b/>
          <w:bCs/>
          <w:color w:val="000000" w:themeColor="text1"/>
          <w:kern w:val="2"/>
          <w:sz w:val="22"/>
          <w:szCs w:val="22"/>
        </w:rPr>
        <w:t>.</w:t>
      </w:r>
    </w:p>
    <w:p w14:paraId="5AFAFDC6" w14:textId="77777777" w:rsidR="00A17673" w:rsidRPr="00A17673" w:rsidRDefault="00A17673" w:rsidP="00A17673">
      <w:pPr>
        <w:pStyle w:val="a3"/>
        <w:spacing w:line="360" w:lineRule="auto"/>
        <w:rPr>
          <w:rFonts w:ascii="Arial" w:hAnsi="Arial" w:cs="Arial"/>
          <w:b/>
          <w:bCs/>
          <w:color w:val="000000" w:themeColor="text1"/>
          <w:sz w:val="22"/>
          <w:szCs w:val="22"/>
          <w:lang w:val="en-US"/>
        </w:rPr>
      </w:pPr>
      <w:bookmarkStart w:id="11" w:name="_Hlk224158032"/>
      <w:r w:rsidRPr="00A17673">
        <w:rPr>
          <w:rFonts w:ascii="Arial" w:hAnsi="Arial" w:cs="Arial"/>
          <w:b/>
          <w:bCs/>
          <w:color w:val="000000" w:themeColor="text1"/>
          <w:sz w:val="22"/>
          <w:szCs w:val="22"/>
          <w:lang w:val="en-US"/>
        </w:rPr>
        <w:t xml:space="preserve">Validation of </w:t>
      </w:r>
      <w:r w:rsidRPr="00A17673">
        <w:rPr>
          <w:rFonts w:ascii="Arial" w:hAnsi="Arial" w:cs="Arial" w:hint="eastAsia"/>
          <w:b/>
          <w:bCs/>
          <w:color w:val="000000" w:themeColor="text1"/>
          <w:sz w:val="22"/>
          <w:szCs w:val="22"/>
          <w:lang w:val="en-US"/>
        </w:rPr>
        <w:t xml:space="preserve">the </w:t>
      </w:r>
      <w:r w:rsidRPr="00A17673">
        <w:rPr>
          <w:rFonts w:ascii="Arial" w:hAnsi="Arial" w:cs="Arial"/>
          <w:b/>
          <w:bCs/>
          <w:color w:val="000000" w:themeColor="text1"/>
          <w:sz w:val="22"/>
          <w:szCs w:val="22"/>
          <w:lang w:val="en-US"/>
        </w:rPr>
        <w:t>Meteorological Fields</w:t>
      </w:r>
    </w:p>
    <w:bookmarkEnd w:id="11"/>
    <w:p w14:paraId="69E67476" w14:textId="77777777" w:rsidR="00A17673" w:rsidRDefault="00A17673" w:rsidP="00A17673">
      <w:pPr>
        <w:pStyle w:val="a3"/>
        <w:spacing w:line="360" w:lineRule="auto"/>
        <w:rPr>
          <w:rFonts w:ascii="Arial" w:hAnsi="Arial" w:cs="Arial"/>
          <w:color w:val="000000" w:themeColor="text1"/>
          <w:sz w:val="22"/>
          <w:szCs w:val="22"/>
          <w:lang w:val="en-US"/>
        </w:rPr>
      </w:pPr>
      <w:r w:rsidRPr="00A17673">
        <w:rPr>
          <w:rFonts w:ascii="Arial" w:hAnsi="Arial" w:cs="Arial"/>
          <w:color w:val="000000" w:themeColor="text1"/>
          <w:sz w:val="22"/>
          <w:szCs w:val="22"/>
          <w:lang w:val="en-US"/>
        </w:rPr>
        <w:t>To ensure the reliability of meteorological fields driving CMM transport simulations, we</w:t>
      </w:r>
      <w:r w:rsidRPr="00A17673">
        <w:rPr>
          <w:rFonts w:ascii="Arial" w:hAnsi="Arial" w:cs="Arial" w:hint="eastAsia"/>
          <w:color w:val="000000" w:themeColor="text1"/>
          <w:sz w:val="22"/>
          <w:szCs w:val="22"/>
          <w:lang w:val="en-US"/>
        </w:rPr>
        <w:t xml:space="preserve"> also</w:t>
      </w:r>
      <w:r w:rsidRPr="00A17673">
        <w:rPr>
          <w:rFonts w:ascii="Arial" w:hAnsi="Arial" w:cs="Arial"/>
          <w:color w:val="000000" w:themeColor="text1"/>
          <w:sz w:val="22"/>
          <w:szCs w:val="22"/>
          <w:lang w:val="en-US"/>
        </w:rPr>
        <w:t xml:space="preserve"> validated </w:t>
      </w:r>
      <w:r w:rsidRPr="00A17673">
        <w:rPr>
          <w:rFonts w:ascii="Arial" w:hAnsi="Arial" w:cs="Arial" w:hint="eastAsia"/>
          <w:color w:val="000000" w:themeColor="text1"/>
          <w:sz w:val="22"/>
          <w:szCs w:val="22"/>
          <w:lang w:val="en-US"/>
        </w:rPr>
        <w:t>model</w:t>
      </w:r>
      <w:r w:rsidRPr="00A17673">
        <w:rPr>
          <w:rFonts w:ascii="Arial" w:hAnsi="Arial" w:cs="Arial"/>
          <w:color w:val="000000" w:themeColor="text1"/>
          <w:sz w:val="22"/>
          <w:szCs w:val="22"/>
          <w:lang w:val="en-US"/>
        </w:rPr>
        <w:t xml:space="preserve"> outputs against NCDC Integrated Surface Database (ISD) observations at </w:t>
      </w:r>
      <w:r w:rsidRPr="00A17673">
        <w:rPr>
          <w:rFonts w:ascii="Arial" w:hAnsi="Arial" w:cs="Arial" w:hint="eastAsia"/>
          <w:color w:val="000000" w:themeColor="text1"/>
          <w:sz w:val="22"/>
          <w:szCs w:val="22"/>
          <w:lang w:val="en-US"/>
        </w:rPr>
        <w:t>four</w:t>
      </w:r>
      <w:r w:rsidRPr="00A17673">
        <w:rPr>
          <w:rFonts w:ascii="Arial" w:hAnsi="Arial" w:cs="Arial"/>
          <w:color w:val="000000" w:themeColor="text1"/>
          <w:sz w:val="22"/>
          <w:szCs w:val="22"/>
          <w:lang w:val="en-US"/>
        </w:rPr>
        <w:t xml:space="preserve"> key stations along the Shanxi–BTH transport </w:t>
      </w:r>
      <w:r w:rsidRPr="00A17673">
        <w:rPr>
          <w:rFonts w:ascii="Arial" w:hAnsi="Arial" w:cs="Arial" w:hint="eastAsia"/>
          <w:color w:val="000000" w:themeColor="text1"/>
          <w:sz w:val="22"/>
          <w:szCs w:val="22"/>
          <w:lang w:val="en-US"/>
        </w:rPr>
        <w:t>corridors</w:t>
      </w:r>
      <w:r w:rsidRPr="00A17673">
        <w:rPr>
          <w:rFonts w:ascii="Arial" w:hAnsi="Arial" w:cs="Arial"/>
          <w:color w:val="000000" w:themeColor="text1"/>
          <w:sz w:val="22"/>
          <w:szCs w:val="22"/>
          <w:lang w:val="en-US"/>
        </w:rPr>
        <w:t>: Datong (</w:t>
      </w:r>
      <w:r w:rsidRPr="00A17673">
        <w:rPr>
          <w:rFonts w:ascii="Arial" w:hAnsi="Arial" w:cs="Arial" w:hint="eastAsia"/>
          <w:color w:val="000000" w:themeColor="text1"/>
          <w:sz w:val="22"/>
          <w:szCs w:val="22"/>
          <w:lang w:val="en-US"/>
        </w:rPr>
        <w:t>NE</w:t>
      </w:r>
      <w:r w:rsidRPr="00A17673">
        <w:rPr>
          <w:rFonts w:ascii="Arial" w:hAnsi="Arial" w:cs="Arial"/>
          <w:color w:val="000000" w:themeColor="text1"/>
          <w:sz w:val="22"/>
          <w:szCs w:val="22"/>
          <w:lang w:val="en-US"/>
        </w:rPr>
        <w:t xml:space="preserve"> </w:t>
      </w:r>
      <w:r w:rsidRPr="00A17673">
        <w:rPr>
          <w:rFonts w:ascii="Arial" w:hAnsi="Arial" w:cs="Arial" w:hint="eastAsia"/>
          <w:color w:val="000000" w:themeColor="text1"/>
          <w:sz w:val="22"/>
          <w:szCs w:val="22"/>
          <w:lang w:val="en-US"/>
        </w:rPr>
        <w:t xml:space="preserve">Shanxi </w:t>
      </w:r>
      <w:r w:rsidRPr="00A17673">
        <w:rPr>
          <w:rFonts w:ascii="Arial" w:hAnsi="Arial" w:cs="Arial"/>
          <w:color w:val="000000" w:themeColor="text1"/>
          <w:sz w:val="22"/>
          <w:szCs w:val="22"/>
          <w:lang w:val="en-US"/>
        </w:rPr>
        <w:t>core source region),</w:t>
      </w:r>
      <w:r w:rsidRPr="00A17673">
        <w:rPr>
          <w:rFonts w:ascii="Arial" w:hAnsi="Arial" w:cs="Arial" w:hint="eastAsia"/>
          <w:color w:val="000000" w:themeColor="text1"/>
          <w:sz w:val="22"/>
          <w:szCs w:val="22"/>
          <w:lang w:val="en-US"/>
        </w:rPr>
        <w:t xml:space="preserve"> Zhangzi (SE</w:t>
      </w:r>
      <w:r w:rsidRPr="00A17673">
        <w:rPr>
          <w:rFonts w:ascii="Arial" w:hAnsi="Arial" w:cs="Arial"/>
          <w:color w:val="000000" w:themeColor="text1"/>
          <w:sz w:val="22"/>
          <w:szCs w:val="22"/>
          <w:lang w:val="en-US"/>
        </w:rPr>
        <w:t xml:space="preserve"> </w:t>
      </w:r>
      <w:r w:rsidRPr="00A17673">
        <w:rPr>
          <w:rFonts w:ascii="Arial" w:hAnsi="Arial" w:cs="Arial" w:hint="eastAsia"/>
          <w:color w:val="000000" w:themeColor="text1"/>
          <w:sz w:val="22"/>
          <w:szCs w:val="22"/>
          <w:lang w:val="en-US"/>
        </w:rPr>
        <w:t xml:space="preserve">Shanxi </w:t>
      </w:r>
      <w:r w:rsidRPr="00A17673">
        <w:rPr>
          <w:rFonts w:ascii="Arial" w:hAnsi="Arial" w:cs="Arial"/>
          <w:color w:val="000000" w:themeColor="text1"/>
          <w:sz w:val="22"/>
          <w:szCs w:val="22"/>
          <w:lang w:val="en-US"/>
        </w:rPr>
        <w:t>core source region</w:t>
      </w:r>
      <w:r w:rsidRPr="00A17673">
        <w:rPr>
          <w:rFonts w:ascii="Arial" w:hAnsi="Arial" w:cs="Arial" w:hint="eastAsia"/>
          <w:color w:val="000000" w:themeColor="text1"/>
          <w:sz w:val="22"/>
          <w:szCs w:val="22"/>
          <w:lang w:val="en-US"/>
        </w:rPr>
        <w:t>),</w:t>
      </w:r>
      <w:r w:rsidRPr="00A17673">
        <w:rPr>
          <w:rFonts w:ascii="Arial" w:hAnsi="Arial" w:cs="Arial"/>
          <w:color w:val="000000" w:themeColor="text1"/>
          <w:sz w:val="22"/>
          <w:szCs w:val="22"/>
          <w:lang w:val="en-US"/>
        </w:rPr>
        <w:t xml:space="preserve"> </w:t>
      </w:r>
      <w:r w:rsidRPr="00A17673">
        <w:rPr>
          <w:rFonts w:ascii="Arial" w:hAnsi="Arial" w:cs="Arial" w:hint="eastAsia"/>
          <w:color w:val="000000" w:themeColor="text1"/>
          <w:sz w:val="22"/>
          <w:szCs w:val="22"/>
          <w:lang w:val="en-US"/>
        </w:rPr>
        <w:t>Yuxian</w:t>
      </w:r>
      <w:r w:rsidRPr="00A17673">
        <w:rPr>
          <w:rFonts w:ascii="Arial" w:hAnsi="Arial" w:cs="Arial"/>
          <w:color w:val="000000" w:themeColor="text1"/>
          <w:sz w:val="22"/>
          <w:szCs w:val="22"/>
          <w:lang w:val="en-US"/>
        </w:rPr>
        <w:t xml:space="preserve"> (terrain-modulated transitional zone), and Xingtai (EOF3-dominated transitional zone). </w:t>
      </w:r>
      <w:r w:rsidRPr="00A17673">
        <w:rPr>
          <w:rFonts w:ascii="Arial" w:hAnsi="Arial" w:cs="Arial" w:hint="eastAsia"/>
          <w:color w:val="000000" w:themeColor="text1"/>
          <w:sz w:val="22"/>
          <w:szCs w:val="22"/>
          <w:lang w:val="en-US"/>
        </w:rPr>
        <w:t>Tree</w:t>
      </w:r>
      <w:r w:rsidRPr="00A17673">
        <w:rPr>
          <w:rFonts w:ascii="Arial" w:hAnsi="Arial" w:cs="Arial"/>
          <w:color w:val="000000" w:themeColor="text1"/>
          <w:sz w:val="22"/>
          <w:szCs w:val="22"/>
          <w:lang w:val="en-US"/>
        </w:rPr>
        <w:t xml:space="preserve"> parameters were evaluated: </w:t>
      </w:r>
      <w:r w:rsidRPr="00A17673">
        <w:rPr>
          <w:rFonts w:ascii="Arial" w:hAnsi="Arial" w:cs="Arial" w:hint="eastAsia"/>
          <w:color w:val="000000" w:themeColor="text1"/>
          <w:sz w:val="22"/>
          <w:szCs w:val="22"/>
          <w:lang w:val="en-US"/>
        </w:rPr>
        <w:t>a</w:t>
      </w:r>
      <w:r w:rsidRPr="00A17673">
        <w:rPr>
          <w:rFonts w:ascii="Arial" w:hAnsi="Arial" w:cs="Arial"/>
          <w:color w:val="000000" w:themeColor="text1"/>
          <w:sz w:val="22"/>
          <w:szCs w:val="22"/>
          <w:lang w:val="en-US"/>
        </w:rPr>
        <w:t xml:space="preserve">ir </w:t>
      </w:r>
      <w:r w:rsidRPr="00A17673">
        <w:rPr>
          <w:rFonts w:ascii="Arial" w:hAnsi="Arial" w:cs="Arial" w:hint="eastAsia"/>
          <w:color w:val="000000" w:themeColor="text1"/>
          <w:sz w:val="22"/>
          <w:szCs w:val="22"/>
          <w:lang w:val="en-US"/>
        </w:rPr>
        <w:t>t</w:t>
      </w:r>
      <w:r w:rsidRPr="00A17673">
        <w:rPr>
          <w:rFonts w:ascii="Arial" w:hAnsi="Arial" w:cs="Arial"/>
          <w:color w:val="000000" w:themeColor="text1"/>
          <w:sz w:val="22"/>
          <w:szCs w:val="22"/>
          <w:lang w:val="en-US"/>
        </w:rPr>
        <w:t xml:space="preserve">emperature, </w:t>
      </w:r>
      <w:r w:rsidRPr="00A17673">
        <w:rPr>
          <w:rFonts w:ascii="Arial" w:hAnsi="Arial" w:cs="Arial" w:hint="eastAsia"/>
          <w:color w:val="000000" w:themeColor="text1"/>
          <w:sz w:val="22"/>
          <w:szCs w:val="22"/>
          <w:lang w:val="en-US"/>
        </w:rPr>
        <w:t>p</w:t>
      </w:r>
      <w:r w:rsidRPr="00A17673">
        <w:rPr>
          <w:rFonts w:ascii="Arial" w:hAnsi="Arial" w:cs="Arial"/>
          <w:color w:val="000000" w:themeColor="text1"/>
          <w:sz w:val="22"/>
          <w:szCs w:val="22"/>
          <w:lang w:val="en-US"/>
        </w:rPr>
        <w:t xml:space="preserve">ressure, </w:t>
      </w:r>
      <w:r w:rsidRPr="00A17673">
        <w:rPr>
          <w:rFonts w:ascii="Arial" w:hAnsi="Arial" w:cs="Arial" w:hint="eastAsia"/>
          <w:color w:val="000000" w:themeColor="text1"/>
          <w:sz w:val="22"/>
          <w:szCs w:val="22"/>
          <w:lang w:val="en-US"/>
        </w:rPr>
        <w:t>and wind fields,</w:t>
      </w:r>
      <w:r w:rsidRPr="00A17673">
        <w:rPr>
          <w:rFonts w:ascii="Arial" w:hAnsi="Arial" w:cs="Arial"/>
          <w:color w:val="000000" w:themeColor="text1"/>
          <w:sz w:val="22"/>
          <w:szCs w:val="22"/>
          <w:lang w:val="en-US"/>
        </w:rPr>
        <w:t xml:space="preserve"> covering August 2022 with prominent transport phenomena</w:t>
      </w:r>
      <w:r w:rsidRPr="00A17673">
        <w:rPr>
          <w:rFonts w:ascii="Arial" w:hAnsi="Arial" w:cs="Arial" w:hint="eastAsia"/>
          <w:color w:val="000000" w:themeColor="text1"/>
          <w:sz w:val="22"/>
          <w:szCs w:val="22"/>
          <w:lang w:val="en-US"/>
        </w:rPr>
        <w:t>.</w:t>
      </w:r>
    </w:p>
    <w:p w14:paraId="0FBA5F31" w14:textId="35AFAB01" w:rsidR="00C92468" w:rsidRPr="00A17673" w:rsidRDefault="00C92468" w:rsidP="00C92468">
      <w:pPr>
        <w:pStyle w:val="a3"/>
        <w:spacing w:line="360" w:lineRule="auto"/>
        <w:rPr>
          <w:rFonts w:ascii="Arial" w:hAnsi="Arial" w:cs="Arial"/>
          <w:color w:val="000000" w:themeColor="text1"/>
          <w:sz w:val="22"/>
          <w:szCs w:val="22"/>
          <w:lang w:val="en-US"/>
        </w:rPr>
      </w:pPr>
      <w:r w:rsidRPr="00A17673">
        <w:rPr>
          <w:rFonts w:ascii="Arial" w:hAnsi="Arial" w:cs="Arial"/>
          <w:color w:val="000000" w:themeColor="text1"/>
          <w:sz w:val="22"/>
          <w:szCs w:val="22"/>
          <w:lang w:val="en-US"/>
        </w:rPr>
        <w:t>For spatial interpolation, variable values at the target station were extracted from gridded WRF output via bilinear interpolation, which weighted the four nearest valid grid points by their relative latitudinal and longitudinal distances to the target location.</w:t>
      </w:r>
      <w:r w:rsidRPr="00A17673">
        <w:rPr>
          <w:rFonts w:ascii="Arial" w:hAnsi="Arial" w:cs="Arial" w:hint="eastAsia"/>
          <w:color w:val="000000" w:themeColor="text1"/>
          <w:sz w:val="22"/>
          <w:szCs w:val="22"/>
          <w:lang w:val="en-US"/>
        </w:rPr>
        <w:t xml:space="preserve"> </w:t>
      </w:r>
      <w:r w:rsidRPr="00A17673">
        <w:rPr>
          <w:rFonts w:ascii="Arial" w:hAnsi="Arial" w:cs="Arial"/>
          <w:color w:val="000000" w:themeColor="text1"/>
          <w:sz w:val="22"/>
          <w:szCs w:val="22"/>
          <w:lang w:val="en-US"/>
        </w:rPr>
        <w:t>For vertical interpolation, since the WRF model</w:t>
      </w:r>
      <w:r w:rsidR="00A910D1">
        <w:rPr>
          <w:rFonts w:ascii="Arial" w:hAnsi="Arial" w:cs="Arial"/>
          <w:color w:val="000000" w:themeColor="text1"/>
          <w:sz w:val="22"/>
          <w:szCs w:val="22"/>
          <w:lang w:val="en-US"/>
        </w:rPr>
        <w:t>’</w:t>
      </w:r>
      <w:r w:rsidRPr="00A17673">
        <w:rPr>
          <w:rFonts w:ascii="Arial" w:hAnsi="Arial" w:cs="Arial"/>
          <w:color w:val="000000" w:themeColor="text1"/>
          <w:sz w:val="22"/>
          <w:szCs w:val="22"/>
          <w:lang w:val="en-US"/>
        </w:rPr>
        <w:t>s coordinates (</w:t>
      </w:r>
      <w:r w:rsidR="00814FFD" w:rsidRPr="00814FFD">
        <w:rPr>
          <w:rFonts w:ascii="Arial" w:hAnsi="Arial" w:cs="Arial"/>
          <w:color w:val="000000" w:themeColor="text1"/>
          <w:sz w:val="22"/>
          <w:szCs w:val="22"/>
          <w:lang w:val="en-US"/>
        </w:rPr>
        <w:t>sigma levels</w:t>
      </w:r>
      <w:r w:rsidRPr="00A17673">
        <w:rPr>
          <w:rFonts w:ascii="Arial" w:hAnsi="Arial" w:cs="Arial"/>
          <w:color w:val="000000" w:themeColor="text1"/>
          <w:sz w:val="22"/>
          <w:szCs w:val="22"/>
          <w:lang w:val="en-US"/>
        </w:rPr>
        <w:t>) do not explicitly coincide with the fixed heights of the tower sensor, a logarithmic height-weighted interpolation was employed to bridge the vertical gap. Furthermore, a geographic coordinate transformation was applied to align the model’s grid-relative wind vectors with the observed geographical north, ensuring a physically consistent comparison.</w:t>
      </w:r>
    </w:p>
    <w:p w14:paraId="7BE283C9" w14:textId="32E8D647" w:rsidR="00C92468" w:rsidRPr="00A17673" w:rsidRDefault="00C92468" w:rsidP="00C92468">
      <w:pPr>
        <w:pStyle w:val="a3"/>
        <w:spacing w:line="360" w:lineRule="auto"/>
        <w:rPr>
          <w:rFonts w:ascii="Arial" w:hAnsi="Arial" w:cs="Arial"/>
          <w:color w:val="000000" w:themeColor="text1"/>
          <w:sz w:val="22"/>
          <w:szCs w:val="22"/>
          <w:lang w:val="en-US"/>
        </w:rPr>
      </w:pPr>
      <w:r w:rsidRPr="00A17673">
        <w:rPr>
          <w:rFonts w:ascii="Arial" w:hAnsi="Arial" w:cs="Arial"/>
          <w:color w:val="000000" w:themeColor="text1"/>
          <w:sz w:val="22"/>
          <w:szCs w:val="22"/>
          <w:lang w:val="en-US"/>
        </w:rPr>
        <w:lastRenderedPageBreak/>
        <w:t>Validation results (Fig</w:t>
      </w:r>
      <w:r w:rsidR="00EB18F3">
        <w:rPr>
          <w:rFonts w:ascii="Arial" w:hAnsi="Arial" w:cs="Arial" w:hint="eastAsia"/>
          <w:color w:val="000000" w:themeColor="text1"/>
          <w:sz w:val="22"/>
          <w:szCs w:val="22"/>
          <w:lang w:val="en-US"/>
        </w:rPr>
        <w:t>.</w:t>
      </w:r>
      <w:r w:rsidRPr="00A17673">
        <w:rPr>
          <w:rFonts w:ascii="Arial" w:hAnsi="Arial" w:cs="Arial"/>
          <w:color w:val="000000" w:themeColor="text1"/>
          <w:sz w:val="22"/>
          <w:szCs w:val="22"/>
          <w:lang w:val="en-US"/>
        </w:rPr>
        <w:t xml:space="preserve"> </w:t>
      </w:r>
      <w:r w:rsidR="008B27CB" w:rsidRPr="00A17673">
        <w:rPr>
          <w:rFonts w:ascii="Arial" w:hAnsi="Arial" w:cs="Arial"/>
          <w:color w:val="000000" w:themeColor="text1"/>
          <w:sz w:val="22"/>
          <w:szCs w:val="22"/>
          <w:lang w:val="en-US"/>
        </w:rPr>
        <w:t>S</w:t>
      </w:r>
      <w:r w:rsidR="008B27CB">
        <w:rPr>
          <w:rFonts w:ascii="Arial" w:hAnsi="Arial" w:cs="Arial" w:hint="eastAsia"/>
          <w:color w:val="000000" w:themeColor="text1"/>
          <w:sz w:val="22"/>
          <w:szCs w:val="22"/>
          <w:lang w:val="en-US"/>
        </w:rPr>
        <w:t>1</w:t>
      </w:r>
      <w:r w:rsidR="00D412CD">
        <w:rPr>
          <w:rFonts w:ascii="Arial" w:hAnsi="Arial" w:cs="Arial"/>
          <w:color w:val="000000" w:themeColor="text1"/>
          <w:sz w:val="22"/>
          <w:szCs w:val="22"/>
          <w:lang w:val="en-US"/>
        </w:rPr>
        <w:t>1</w:t>
      </w:r>
      <w:r w:rsidRPr="00A17673">
        <w:rPr>
          <w:rFonts w:ascii="Arial" w:hAnsi="Arial" w:cs="Arial"/>
          <w:color w:val="000000" w:themeColor="text1"/>
          <w:sz w:val="22"/>
          <w:szCs w:val="22"/>
          <w:lang w:val="en-US"/>
        </w:rPr>
        <w:t>–</w:t>
      </w:r>
      <w:r w:rsidR="008B27CB" w:rsidRPr="00A17673">
        <w:rPr>
          <w:rFonts w:ascii="Arial" w:hAnsi="Arial" w:cs="Arial"/>
          <w:color w:val="000000" w:themeColor="text1"/>
          <w:sz w:val="22"/>
          <w:szCs w:val="22"/>
          <w:lang w:val="en-US"/>
        </w:rPr>
        <w:t>S</w:t>
      </w:r>
      <w:r w:rsidR="008B27CB">
        <w:rPr>
          <w:rFonts w:ascii="Arial" w:hAnsi="Arial" w:cs="Arial" w:hint="eastAsia"/>
          <w:color w:val="000000" w:themeColor="text1"/>
          <w:sz w:val="22"/>
          <w:szCs w:val="22"/>
          <w:lang w:val="en-US"/>
        </w:rPr>
        <w:t>1</w:t>
      </w:r>
      <w:r w:rsidR="00D412CD">
        <w:rPr>
          <w:rFonts w:ascii="Arial" w:hAnsi="Arial" w:cs="Arial"/>
          <w:color w:val="000000" w:themeColor="text1"/>
          <w:sz w:val="22"/>
          <w:szCs w:val="22"/>
          <w:lang w:val="en-US"/>
        </w:rPr>
        <w:t>4</w:t>
      </w:r>
      <w:r w:rsidRPr="00A17673">
        <w:rPr>
          <w:rFonts w:ascii="Arial" w:hAnsi="Arial" w:cs="Arial"/>
          <w:color w:val="000000" w:themeColor="text1"/>
          <w:sz w:val="22"/>
          <w:szCs w:val="22"/>
          <w:lang w:val="en-US"/>
        </w:rPr>
        <w:t>)</w:t>
      </w:r>
      <w:r w:rsidRPr="00A17673">
        <w:rPr>
          <w:rFonts w:ascii="Arial" w:hAnsi="Arial" w:cs="Arial" w:hint="eastAsia"/>
          <w:color w:val="000000" w:themeColor="text1"/>
          <w:sz w:val="22"/>
          <w:szCs w:val="22"/>
          <w:lang w:val="en-US"/>
        </w:rPr>
        <w:t xml:space="preserve"> </w:t>
      </w:r>
      <w:r w:rsidRPr="00A17673">
        <w:rPr>
          <w:rFonts w:ascii="Arial" w:hAnsi="Arial" w:cs="Arial"/>
          <w:color w:val="000000" w:themeColor="text1"/>
          <w:sz w:val="22"/>
          <w:szCs w:val="22"/>
          <w:lang w:val="en-US"/>
        </w:rPr>
        <w:t>confirm that the model’s meteorological inputs are physically consistent with observations, providing a solid foundation for both large-scale (EOF1) and local (EOF3) CMM transport analyses.</w:t>
      </w:r>
    </w:p>
    <w:p w14:paraId="3BE69D92" w14:textId="77777777" w:rsidR="00C92468" w:rsidRPr="00A17673" w:rsidRDefault="00C92468" w:rsidP="00C92468">
      <w:pPr>
        <w:pStyle w:val="a3"/>
        <w:spacing w:line="360" w:lineRule="auto"/>
        <w:rPr>
          <w:rFonts w:ascii="Arial" w:hAnsi="Arial" w:cs="Arial"/>
          <w:color w:val="000000" w:themeColor="text1"/>
          <w:sz w:val="22"/>
          <w:szCs w:val="22"/>
          <w:lang w:val="en-US"/>
        </w:rPr>
      </w:pPr>
      <w:r w:rsidRPr="00A17673">
        <w:rPr>
          <w:rFonts w:ascii="Arial" w:hAnsi="Arial" w:cs="Arial"/>
          <w:color w:val="000000" w:themeColor="text1"/>
          <w:sz w:val="22"/>
          <w:szCs w:val="22"/>
          <w:lang w:val="en-US"/>
        </w:rPr>
        <w:t>Th</w:t>
      </w:r>
      <w:r w:rsidRPr="00A17673">
        <w:rPr>
          <w:rFonts w:ascii="Arial" w:hAnsi="Arial" w:cs="Arial" w:hint="eastAsia"/>
          <w:color w:val="000000" w:themeColor="text1"/>
          <w:sz w:val="22"/>
          <w:szCs w:val="22"/>
          <w:lang w:val="en-US"/>
        </w:rPr>
        <w:t>ese</w:t>
      </w:r>
      <w:r w:rsidRPr="00A17673">
        <w:rPr>
          <w:rFonts w:ascii="Arial" w:hAnsi="Arial" w:cs="Arial"/>
          <w:color w:val="000000" w:themeColor="text1"/>
          <w:sz w:val="22"/>
          <w:szCs w:val="22"/>
          <w:lang w:val="en-US"/>
        </w:rPr>
        <w:t xml:space="preserve"> validation</w:t>
      </w:r>
      <w:r w:rsidRPr="00A17673">
        <w:rPr>
          <w:rFonts w:ascii="Arial" w:hAnsi="Arial" w:cs="Arial" w:hint="eastAsia"/>
          <w:color w:val="000000" w:themeColor="text1"/>
          <w:sz w:val="22"/>
          <w:szCs w:val="22"/>
          <w:lang w:val="en-US"/>
        </w:rPr>
        <w:t>s</w:t>
      </w:r>
      <w:r w:rsidRPr="00A17673">
        <w:rPr>
          <w:rFonts w:ascii="Arial" w:hAnsi="Arial" w:cs="Arial"/>
          <w:color w:val="000000" w:themeColor="text1"/>
          <w:sz w:val="22"/>
          <w:szCs w:val="22"/>
          <w:lang w:val="en-US"/>
        </w:rPr>
        <w:t xml:space="preserve"> strengthen the credibility of our core findings, ensuring that identified transport corridor</w:t>
      </w:r>
      <w:r w:rsidRPr="00A17673">
        <w:rPr>
          <w:rFonts w:ascii="Arial" w:hAnsi="Arial" w:cs="Arial" w:hint="eastAsia"/>
          <w:color w:val="000000" w:themeColor="text1"/>
          <w:sz w:val="22"/>
          <w:szCs w:val="22"/>
          <w:lang w:val="en-US"/>
        </w:rPr>
        <w:t xml:space="preserve">s </w:t>
      </w:r>
      <w:r w:rsidRPr="00A17673">
        <w:rPr>
          <w:rFonts w:ascii="Arial" w:hAnsi="Arial" w:cs="Arial"/>
          <w:color w:val="000000" w:themeColor="text1"/>
          <w:sz w:val="22"/>
          <w:szCs w:val="22"/>
          <w:lang w:val="en-US"/>
        </w:rPr>
        <w:t>and mitigation nodes are grounded in robust atmospheric dynamics, and supports the policy-directed trans-regional methane control strategies proposed in this study.</w:t>
      </w:r>
    </w:p>
    <w:p w14:paraId="490EC369" w14:textId="58F25F89" w:rsidR="00A17673" w:rsidRPr="00A17673" w:rsidRDefault="00A17673" w:rsidP="00E02A74">
      <w:pPr>
        <w:pStyle w:val="a3"/>
        <w:spacing w:after="0"/>
        <w:rPr>
          <w:rFonts w:ascii="Arial" w:hAnsi="Arial" w:cs="Arial"/>
          <w:color w:val="000000" w:themeColor="text1"/>
          <w:sz w:val="22"/>
          <w:szCs w:val="22"/>
          <w:lang w:val="en-US"/>
        </w:rPr>
      </w:pPr>
      <w:r>
        <w:rPr>
          <w:rFonts w:ascii="Arial" w:hAnsi="Arial" w:cs="Arial"/>
          <w:noProof/>
          <w:color w:val="000000" w:themeColor="text1"/>
          <w:sz w:val="22"/>
          <w:szCs w:val="22"/>
          <w:lang w:val="en-US"/>
        </w:rPr>
        <w:drawing>
          <wp:inline distT="0" distB="0" distL="0" distR="0" wp14:anchorId="6547DE9D" wp14:editId="536190A3">
            <wp:extent cx="5943600" cy="3906520"/>
            <wp:effectExtent l="0" t="0" r="0" b="0"/>
            <wp:docPr id="10561565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56540" name="Picture 10561565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06520"/>
                    </a:xfrm>
                    <a:prstGeom prst="rect">
                      <a:avLst/>
                    </a:prstGeom>
                  </pic:spPr>
                </pic:pic>
              </a:graphicData>
            </a:graphic>
          </wp:inline>
        </w:drawing>
      </w:r>
    </w:p>
    <w:p w14:paraId="566B663D" w14:textId="68F058A1" w:rsidR="00A17673" w:rsidRPr="00C25385" w:rsidRDefault="0083375E" w:rsidP="00E9585B">
      <w:pPr>
        <w:pStyle w:val="a3"/>
        <w:widowControl w:val="0"/>
        <w:spacing w:line="276" w:lineRule="auto"/>
        <w:jc w:val="both"/>
        <w:outlineLvl w:val="1"/>
        <w:rPr>
          <w:rFonts w:asciiTheme="minorHAnsi" w:hAnsiTheme="minorHAnsi" w:cstheme="minorHAnsi"/>
          <w:b/>
          <w:bCs/>
          <w:color w:val="000000" w:themeColor="text1"/>
          <w:kern w:val="2"/>
          <w:sz w:val="22"/>
          <w:szCs w:val="22"/>
        </w:rPr>
      </w:pPr>
      <w:r w:rsidRPr="00C25385">
        <w:rPr>
          <w:rFonts w:asciiTheme="minorHAnsi" w:hAnsiTheme="minorHAnsi" w:cstheme="minorHAnsi"/>
          <w:b/>
          <w:bCs/>
          <w:color w:val="000000" w:themeColor="text1"/>
          <w:kern w:val="2"/>
          <w:sz w:val="22"/>
          <w:szCs w:val="22"/>
        </w:rPr>
        <w:t xml:space="preserve">Supplementary Fig. </w:t>
      </w:r>
      <w:r w:rsidR="008B27CB" w:rsidRPr="00C25385">
        <w:rPr>
          <w:rFonts w:asciiTheme="minorHAnsi" w:hAnsiTheme="minorHAnsi" w:cstheme="minorHAnsi" w:hint="eastAsia"/>
          <w:b/>
          <w:bCs/>
          <w:color w:val="000000" w:themeColor="text1"/>
          <w:kern w:val="2"/>
          <w:sz w:val="22"/>
          <w:szCs w:val="22"/>
        </w:rPr>
        <w:t>S</w:t>
      </w:r>
      <w:r w:rsidR="008B27CB">
        <w:rPr>
          <w:rFonts w:asciiTheme="minorHAnsi" w:hAnsiTheme="minorHAnsi" w:cstheme="minorHAnsi" w:hint="eastAsia"/>
          <w:b/>
          <w:bCs/>
          <w:color w:val="000000" w:themeColor="text1"/>
          <w:kern w:val="2"/>
          <w:sz w:val="22"/>
          <w:szCs w:val="22"/>
        </w:rPr>
        <w:t>1</w:t>
      </w:r>
      <w:r w:rsidR="00D412CD">
        <w:rPr>
          <w:rFonts w:asciiTheme="minorHAnsi" w:hAnsiTheme="minorHAnsi" w:cstheme="minorHAnsi"/>
          <w:b/>
          <w:bCs/>
          <w:color w:val="000000" w:themeColor="text1"/>
          <w:kern w:val="2"/>
          <w:sz w:val="22"/>
          <w:szCs w:val="22"/>
        </w:rPr>
        <w:t>1</w:t>
      </w:r>
      <w:r w:rsidRPr="00C25385">
        <w:rPr>
          <w:rFonts w:asciiTheme="minorHAnsi" w:hAnsiTheme="minorHAnsi" w:cstheme="minorHAnsi"/>
          <w:b/>
          <w:bCs/>
          <w:color w:val="000000" w:themeColor="text1"/>
          <w:kern w:val="2"/>
          <w:sz w:val="22"/>
          <w:szCs w:val="22"/>
        </w:rPr>
        <w:t xml:space="preserve">. </w:t>
      </w:r>
      <w:r w:rsidR="00A17673" w:rsidRPr="00C25385">
        <w:rPr>
          <w:rFonts w:asciiTheme="minorHAnsi" w:hAnsiTheme="minorHAnsi" w:cstheme="minorHAnsi"/>
          <w:b/>
          <w:bCs/>
          <w:color w:val="000000" w:themeColor="text1"/>
          <w:kern w:val="2"/>
          <w:sz w:val="22"/>
          <w:szCs w:val="22"/>
        </w:rPr>
        <w:t>Comparison of observed and simulated meteorological variables at Datong Station (</w:t>
      </w:r>
      <w:r w:rsidR="00A17673" w:rsidRPr="00C25385">
        <w:rPr>
          <w:rFonts w:asciiTheme="minorHAnsi" w:hAnsiTheme="minorHAnsi" w:cstheme="minorHAnsi" w:hint="eastAsia"/>
          <w:b/>
          <w:bCs/>
          <w:color w:val="000000" w:themeColor="text1"/>
          <w:kern w:val="2"/>
          <w:sz w:val="22"/>
          <w:szCs w:val="22"/>
        </w:rPr>
        <w:t xml:space="preserve">NE </w:t>
      </w:r>
      <w:r w:rsidR="00A17673" w:rsidRPr="00C25385">
        <w:rPr>
          <w:rFonts w:asciiTheme="minorHAnsi" w:hAnsiTheme="minorHAnsi" w:cstheme="minorHAnsi"/>
          <w:b/>
          <w:bCs/>
          <w:color w:val="000000" w:themeColor="text1"/>
          <w:kern w:val="2"/>
          <w:sz w:val="22"/>
          <w:szCs w:val="22"/>
        </w:rPr>
        <w:t>Shanxi core source region)</w:t>
      </w:r>
      <w:r w:rsidR="00A17673" w:rsidRPr="00C25385">
        <w:rPr>
          <w:rFonts w:asciiTheme="minorHAnsi" w:hAnsiTheme="minorHAnsi" w:cstheme="minorHAnsi" w:hint="eastAsia"/>
          <w:b/>
          <w:bCs/>
          <w:color w:val="000000" w:themeColor="text1"/>
          <w:kern w:val="2"/>
          <w:sz w:val="22"/>
          <w:szCs w:val="22"/>
        </w:rPr>
        <w:t>.</w:t>
      </w:r>
    </w:p>
    <w:p w14:paraId="713E1CDB" w14:textId="62CC1D1C" w:rsidR="00A17673" w:rsidRPr="00A17673" w:rsidRDefault="00A17673" w:rsidP="00E02A74">
      <w:pPr>
        <w:pStyle w:val="a3"/>
        <w:spacing w:after="0"/>
        <w:rPr>
          <w:rFonts w:ascii="Arial" w:hAnsi="Arial" w:cs="Arial"/>
          <w:color w:val="000000" w:themeColor="text1"/>
          <w:sz w:val="22"/>
          <w:szCs w:val="22"/>
          <w:lang w:val="en-US"/>
        </w:rPr>
      </w:pPr>
      <w:r>
        <w:rPr>
          <w:rFonts w:ascii="Arial" w:hAnsi="Arial" w:cs="Arial"/>
          <w:noProof/>
          <w:color w:val="000000" w:themeColor="text1"/>
          <w:sz w:val="22"/>
          <w:szCs w:val="22"/>
          <w:lang w:val="en-US"/>
        </w:rPr>
        <w:lastRenderedPageBreak/>
        <w:drawing>
          <wp:inline distT="0" distB="0" distL="0" distR="0" wp14:anchorId="44AD8B35" wp14:editId="04D3FB6F">
            <wp:extent cx="5943600" cy="3906520"/>
            <wp:effectExtent l="0" t="0" r="0" b="0"/>
            <wp:docPr id="15828984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98441" name="Picture 15828984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06520"/>
                    </a:xfrm>
                    <a:prstGeom prst="rect">
                      <a:avLst/>
                    </a:prstGeom>
                  </pic:spPr>
                </pic:pic>
              </a:graphicData>
            </a:graphic>
          </wp:inline>
        </w:drawing>
      </w:r>
    </w:p>
    <w:p w14:paraId="76E5F092" w14:textId="4997846C" w:rsidR="00A17673" w:rsidRPr="00C25385" w:rsidRDefault="0083375E" w:rsidP="00E9585B">
      <w:pPr>
        <w:pStyle w:val="a3"/>
        <w:widowControl w:val="0"/>
        <w:spacing w:line="276" w:lineRule="auto"/>
        <w:jc w:val="both"/>
        <w:outlineLvl w:val="1"/>
        <w:rPr>
          <w:rFonts w:asciiTheme="minorHAnsi" w:hAnsiTheme="minorHAnsi" w:cstheme="minorHAnsi"/>
          <w:b/>
          <w:bCs/>
          <w:color w:val="000000" w:themeColor="text1"/>
          <w:kern w:val="2"/>
          <w:sz w:val="22"/>
          <w:szCs w:val="22"/>
        </w:rPr>
      </w:pPr>
      <w:r w:rsidRPr="00C25385">
        <w:rPr>
          <w:rFonts w:asciiTheme="minorHAnsi" w:hAnsiTheme="minorHAnsi" w:cstheme="minorHAnsi"/>
          <w:b/>
          <w:bCs/>
          <w:color w:val="000000" w:themeColor="text1"/>
          <w:kern w:val="2"/>
          <w:sz w:val="22"/>
          <w:szCs w:val="22"/>
        </w:rPr>
        <w:t xml:space="preserve">Supplementary Fig. </w:t>
      </w:r>
      <w:r w:rsidR="008B27CB" w:rsidRPr="00C25385">
        <w:rPr>
          <w:rFonts w:asciiTheme="minorHAnsi" w:hAnsiTheme="minorHAnsi" w:cstheme="minorHAnsi" w:hint="eastAsia"/>
          <w:b/>
          <w:bCs/>
          <w:color w:val="000000" w:themeColor="text1"/>
          <w:kern w:val="2"/>
          <w:sz w:val="22"/>
          <w:szCs w:val="22"/>
        </w:rPr>
        <w:t>S1</w:t>
      </w:r>
      <w:r w:rsidR="00D412CD">
        <w:rPr>
          <w:rFonts w:asciiTheme="minorHAnsi" w:hAnsiTheme="minorHAnsi" w:cstheme="minorHAnsi"/>
          <w:b/>
          <w:bCs/>
          <w:color w:val="000000" w:themeColor="text1"/>
          <w:kern w:val="2"/>
          <w:sz w:val="22"/>
          <w:szCs w:val="22"/>
        </w:rPr>
        <w:t>2</w:t>
      </w:r>
      <w:r w:rsidRPr="00C25385">
        <w:rPr>
          <w:rFonts w:asciiTheme="minorHAnsi" w:hAnsiTheme="minorHAnsi" w:cstheme="minorHAnsi"/>
          <w:b/>
          <w:bCs/>
          <w:color w:val="000000" w:themeColor="text1"/>
          <w:kern w:val="2"/>
          <w:sz w:val="22"/>
          <w:szCs w:val="22"/>
        </w:rPr>
        <w:t xml:space="preserve">. </w:t>
      </w:r>
      <w:r w:rsidR="00A17673" w:rsidRPr="00C25385">
        <w:rPr>
          <w:rFonts w:asciiTheme="minorHAnsi" w:hAnsiTheme="minorHAnsi" w:cstheme="minorHAnsi"/>
          <w:b/>
          <w:bCs/>
          <w:color w:val="000000" w:themeColor="text1"/>
          <w:kern w:val="2"/>
          <w:sz w:val="22"/>
          <w:szCs w:val="22"/>
        </w:rPr>
        <w:t xml:space="preserve">Comparison of observed and simulated meteorological variables at </w:t>
      </w:r>
      <w:r w:rsidR="00A17673" w:rsidRPr="00C25385">
        <w:rPr>
          <w:rFonts w:asciiTheme="minorHAnsi" w:hAnsiTheme="minorHAnsi" w:cstheme="minorHAnsi" w:hint="eastAsia"/>
          <w:b/>
          <w:bCs/>
          <w:color w:val="000000" w:themeColor="text1"/>
          <w:kern w:val="2"/>
          <w:sz w:val="22"/>
          <w:szCs w:val="22"/>
        </w:rPr>
        <w:t>Zhangzi</w:t>
      </w:r>
      <w:r w:rsidR="00A17673" w:rsidRPr="00C25385">
        <w:rPr>
          <w:rFonts w:asciiTheme="minorHAnsi" w:hAnsiTheme="minorHAnsi" w:cstheme="minorHAnsi"/>
          <w:b/>
          <w:bCs/>
          <w:color w:val="000000" w:themeColor="text1"/>
          <w:kern w:val="2"/>
          <w:sz w:val="22"/>
          <w:szCs w:val="22"/>
        </w:rPr>
        <w:t xml:space="preserve"> Station (SE</w:t>
      </w:r>
      <w:r w:rsidR="00A17673" w:rsidRPr="00C25385">
        <w:rPr>
          <w:rFonts w:asciiTheme="minorHAnsi" w:hAnsiTheme="minorHAnsi" w:cstheme="minorHAnsi" w:hint="eastAsia"/>
          <w:b/>
          <w:bCs/>
          <w:color w:val="000000" w:themeColor="text1"/>
          <w:kern w:val="2"/>
          <w:sz w:val="22"/>
          <w:szCs w:val="22"/>
        </w:rPr>
        <w:t xml:space="preserve"> Shanxi</w:t>
      </w:r>
      <w:r w:rsidR="00A17673" w:rsidRPr="00C25385">
        <w:rPr>
          <w:rFonts w:asciiTheme="minorHAnsi" w:hAnsiTheme="minorHAnsi" w:cstheme="minorHAnsi"/>
          <w:b/>
          <w:bCs/>
          <w:color w:val="000000" w:themeColor="text1"/>
          <w:kern w:val="2"/>
          <w:sz w:val="22"/>
          <w:szCs w:val="22"/>
        </w:rPr>
        <w:t xml:space="preserve"> core source region)</w:t>
      </w:r>
      <w:r w:rsidR="00A17673" w:rsidRPr="00C25385">
        <w:rPr>
          <w:rFonts w:asciiTheme="minorHAnsi" w:hAnsiTheme="minorHAnsi" w:cstheme="minorHAnsi" w:hint="eastAsia"/>
          <w:b/>
          <w:bCs/>
          <w:color w:val="000000" w:themeColor="text1"/>
          <w:kern w:val="2"/>
          <w:sz w:val="22"/>
          <w:szCs w:val="22"/>
        </w:rPr>
        <w:t>.</w:t>
      </w:r>
    </w:p>
    <w:p w14:paraId="6E4B0A58" w14:textId="18270F20" w:rsidR="00A17673" w:rsidRPr="00A17673" w:rsidRDefault="00A17673" w:rsidP="00E02A74">
      <w:pPr>
        <w:pStyle w:val="a3"/>
        <w:spacing w:after="0"/>
        <w:rPr>
          <w:rFonts w:ascii="Arial" w:hAnsi="Arial" w:cs="Arial"/>
          <w:color w:val="000000" w:themeColor="text1"/>
          <w:sz w:val="22"/>
          <w:szCs w:val="22"/>
          <w:lang w:val="en-US"/>
        </w:rPr>
      </w:pPr>
      <w:r>
        <w:rPr>
          <w:rFonts w:ascii="Arial" w:hAnsi="Arial" w:cs="Arial"/>
          <w:noProof/>
          <w:color w:val="000000" w:themeColor="text1"/>
          <w:sz w:val="22"/>
          <w:szCs w:val="22"/>
          <w:lang w:val="en-US"/>
        </w:rPr>
        <w:lastRenderedPageBreak/>
        <w:drawing>
          <wp:inline distT="0" distB="0" distL="0" distR="0" wp14:anchorId="2D7C085B" wp14:editId="4B07C9C2">
            <wp:extent cx="5943600" cy="3906520"/>
            <wp:effectExtent l="0" t="0" r="0" b="0"/>
            <wp:docPr id="15018370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37048" name="Picture 15018370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06520"/>
                    </a:xfrm>
                    <a:prstGeom prst="rect">
                      <a:avLst/>
                    </a:prstGeom>
                  </pic:spPr>
                </pic:pic>
              </a:graphicData>
            </a:graphic>
          </wp:inline>
        </w:drawing>
      </w:r>
    </w:p>
    <w:p w14:paraId="4FD8D52B" w14:textId="3EA478A4" w:rsidR="00A17673" w:rsidRPr="00C25385" w:rsidRDefault="0083375E" w:rsidP="00E9585B">
      <w:pPr>
        <w:pStyle w:val="a3"/>
        <w:widowControl w:val="0"/>
        <w:spacing w:line="276" w:lineRule="auto"/>
        <w:jc w:val="both"/>
        <w:outlineLvl w:val="1"/>
        <w:rPr>
          <w:rFonts w:asciiTheme="minorHAnsi" w:hAnsiTheme="minorHAnsi" w:cstheme="minorHAnsi"/>
          <w:b/>
          <w:bCs/>
          <w:color w:val="000000" w:themeColor="text1"/>
          <w:kern w:val="2"/>
          <w:sz w:val="22"/>
          <w:szCs w:val="22"/>
        </w:rPr>
      </w:pPr>
      <w:r w:rsidRPr="00C25385">
        <w:rPr>
          <w:rFonts w:asciiTheme="minorHAnsi" w:hAnsiTheme="minorHAnsi" w:cstheme="minorHAnsi"/>
          <w:b/>
          <w:bCs/>
          <w:color w:val="000000" w:themeColor="text1"/>
          <w:kern w:val="2"/>
          <w:sz w:val="22"/>
          <w:szCs w:val="22"/>
        </w:rPr>
        <w:t xml:space="preserve">Supplementary Fig. </w:t>
      </w:r>
      <w:r w:rsidR="008B27CB" w:rsidRPr="00C25385">
        <w:rPr>
          <w:rFonts w:asciiTheme="minorHAnsi" w:hAnsiTheme="minorHAnsi" w:cstheme="minorHAnsi" w:hint="eastAsia"/>
          <w:b/>
          <w:bCs/>
          <w:color w:val="000000" w:themeColor="text1"/>
          <w:kern w:val="2"/>
          <w:sz w:val="22"/>
          <w:szCs w:val="22"/>
        </w:rPr>
        <w:t>S</w:t>
      </w:r>
      <w:r w:rsidR="00D412CD">
        <w:rPr>
          <w:rFonts w:asciiTheme="minorHAnsi" w:hAnsiTheme="minorHAnsi" w:cstheme="minorHAnsi"/>
          <w:b/>
          <w:bCs/>
          <w:color w:val="000000" w:themeColor="text1"/>
          <w:kern w:val="2"/>
          <w:sz w:val="22"/>
          <w:szCs w:val="22"/>
        </w:rPr>
        <w:t>13</w:t>
      </w:r>
      <w:r w:rsidRPr="00C25385">
        <w:rPr>
          <w:rFonts w:asciiTheme="minorHAnsi" w:hAnsiTheme="minorHAnsi" w:cstheme="minorHAnsi"/>
          <w:b/>
          <w:bCs/>
          <w:color w:val="000000" w:themeColor="text1"/>
          <w:kern w:val="2"/>
          <w:sz w:val="22"/>
          <w:szCs w:val="22"/>
        </w:rPr>
        <w:t xml:space="preserve">. </w:t>
      </w:r>
      <w:r w:rsidR="00A17673" w:rsidRPr="00C25385">
        <w:rPr>
          <w:rFonts w:asciiTheme="minorHAnsi" w:hAnsiTheme="minorHAnsi" w:cstheme="minorHAnsi"/>
          <w:b/>
          <w:bCs/>
          <w:color w:val="000000" w:themeColor="text1"/>
          <w:kern w:val="2"/>
          <w:sz w:val="22"/>
          <w:szCs w:val="22"/>
        </w:rPr>
        <w:t xml:space="preserve">Comparison of observed and simulated meteorological variables at </w:t>
      </w:r>
      <w:r w:rsidR="00A17673" w:rsidRPr="00C25385">
        <w:rPr>
          <w:rFonts w:asciiTheme="minorHAnsi" w:hAnsiTheme="minorHAnsi" w:cstheme="minorHAnsi" w:hint="eastAsia"/>
          <w:b/>
          <w:bCs/>
          <w:color w:val="000000" w:themeColor="text1"/>
          <w:kern w:val="2"/>
          <w:sz w:val="22"/>
          <w:szCs w:val="22"/>
        </w:rPr>
        <w:t>Yuxian</w:t>
      </w:r>
      <w:r w:rsidR="00A17673" w:rsidRPr="00C25385">
        <w:rPr>
          <w:rFonts w:asciiTheme="minorHAnsi" w:hAnsiTheme="minorHAnsi" w:cstheme="minorHAnsi"/>
          <w:b/>
          <w:bCs/>
          <w:color w:val="000000" w:themeColor="text1"/>
          <w:kern w:val="2"/>
          <w:sz w:val="22"/>
          <w:szCs w:val="22"/>
        </w:rPr>
        <w:t xml:space="preserve"> Station (terrain-modulated transitional zone)</w:t>
      </w:r>
      <w:r w:rsidR="00A17673" w:rsidRPr="00C25385">
        <w:rPr>
          <w:rFonts w:asciiTheme="minorHAnsi" w:hAnsiTheme="minorHAnsi" w:cstheme="minorHAnsi" w:hint="eastAsia"/>
          <w:b/>
          <w:bCs/>
          <w:color w:val="000000" w:themeColor="text1"/>
          <w:kern w:val="2"/>
          <w:sz w:val="22"/>
          <w:szCs w:val="22"/>
        </w:rPr>
        <w:t>.</w:t>
      </w:r>
    </w:p>
    <w:p w14:paraId="4C76AE8F" w14:textId="1C37BAA9" w:rsidR="00A17673" w:rsidRPr="00A17673" w:rsidRDefault="00A17673" w:rsidP="00A17673">
      <w:pPr>
        <w:pStyle w:val="a3"/>
        <w:spacing w:after="0" w:line="360" w:lineRule="auto"/>
        <w:rPr>
          <w:rFonts w:ascii="Arial" w:hAnsi="Arial" w:cs="Arial"/>
          <w:color w:val="000000" w:themeColor="text1"/>
          <w:sz w:val="22"/>
          <w:szCs w:val="22"/>
          <w:lang w:val="en-US"/>
        </w:rPr>
      </w:pPr>
      <w:r>
        <w:rPr>
          <w:rFonts w:ascii="Arial" w:hAnsi="Arial" w:cs="Arial"/>
          <w:noProof/>
          <w:color w:val="000000" w:themeColor="text1"/>
          <w:sz w:val="22"/>
          <w:szCs w:val="22"/>
          <w:lang w:val="en-US"/>
        </w:rPr>
        <w:lastRenderedPageBreak/>
        <w:drawing>
          <wp:inline distT="0" distB="0" distL="0" distR="0" wp14:anchorId="2100ADB4" wp14:editId="1ECA1EAE">
            <wp:extent cx="5943600" cy="4923790"/>
            <wp:effectExtent l="0" t="0" r="0" b="0"/>
            <wp:docPr id="11505828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82816" name="Picture 11505828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923790"/>
                    </a:xfrm>
                    <a:prstGeom prst="rect">
                      <a:avLst/>
                    </a:prstGeom>
                  </pic:spPr>
                </pic:pic>
              </a:graphicData>
            </a:graphic>
          </wp:inline>
        </w:drawing>
      </w:r>
    </w:p>
    <w:p w14:paraId="001378EC" w14:textId="7F9BDC0C" w:rsidR="00A17673" w:rsidRPr="00C25385" w:rsidRDefault="0083375E" w:rsidP="00E9585B">
      <w:pPr>
        <w:pStyle w:val="a3"/>
        <w:widowControl w:val="0"/>
        <w:spacing w:line="276" w:lineRule="auto"/>
        <w:jc w:val="both"/>
        <w:outlineLvl w:val="1"/>
        <w:rPr>
          <w:rFonts w:asciiTheme="minorHAnsi" w:hAnsiTheme="minorHAnsi" w:cstheme="minorHAnsi"/>
          <w:b/>
          <w:bCs/>
          <w:color w:val="000000" w:themeColor="text1"/>
          <w:kern w:val="2"/>
          <w:sz w:val="22"/>
          <w:szCs w:val="22"/>
        </w:rPr>
      </w:pPr>
      <w:r w:rsidRPr="00C25385">
        <w:rPr>
          <w:rFonts w:asciiTheme="minorHAnsi" w:hAnsiTheme="minorHAnsi" w:cstheme="minorHAnsi"/>
          <w:b/>
          <w:bCs/>
          <w:color w:val="000000" w:themeColor="text1"/>
          <w:kern w:val="2"/>
          <w:sz w:val="22"/>
          <w:szCs w:val="22"/>
        </w:rPr>
        <w:t xml:space="preserve">Supplementary Fig. </w:t>
      </w:r>
      <w:r w:rsidR="008B27CB" w:rsidRPr="00C25385">
        <w:rPr>
          <w:rFonts w:asciiTheme="minorHAnsi" w:hAnsiTheme="minorHAnsi" w:cstheme="minorHAnsi" w:hint="eastAsia"/>
          <w:b/>
          <w:bCs/>
          <w:color w:val="000000" w:themeColor="text1"/>
          <w:kern w:val="2"/>
          <w:sz w:val="22"/>
          <w:szCs w:val="22"/>
        </w:rPr>
        <w:t>S</w:t>
      </w:r>
      <w:r w:rsidR="008B27CB" w:rsidRPr="00C25385">
        <w:rPr>
          <w:rFonts w:asciiTheme="minorHAnsi" w:hAnsiTheme="minorHAnsi" w:cstheme="minorHAnsi"/>
          <w:b/>
          <w:bCs/>
          <w:color w:val="000000" w:themeColor="text1"/>
          <w:kern w:val="2"/>
          <w:sz w:val="22"/>
          <w:szCs w:val="22"/>
        </w:rPr>
        <w:t>1</w:t>
      </w:r>
      <w:r w:rsidR="00D412CD">
        <w:rPr>
          <w:rFonts w:asciiTheme="minorHAnsi" w:hAnsiTheme="minorHAnsi" w:cstheme="minorHAnsi"/>
          <w:b/>
          <w:bCs/>
          <w:color w:val="000000" w:themeColor="text1"/>
          <w:kern w:val="2"/>
          <w:sz w:val="22"/>
          <w:szCs w:val="22"/>
        </w:rPr>
        <w:t>4</w:t>
      </w:r>
      <w:r w:rsidRPr="00C25385">
        <w:rPr>
          <w:rFonts w:asciiTheme="minorHAnsi" w:hAnsiTheme="minorHAnsi" w:cstheme="minorHAnsi"/>
          <w:b/>
          <w:bCs/>
          <w:color w:val="000000" w:themeColor="text1"/>
          <w:kern w:val="2"/>
          <w:sz w:val="22"/>
          <w:szCs w:val="22"/>
        </w:rPr>
        <w:t xml:space="preserve">. </w:t>
      </w:r>
      <w:r w:rsidR="00A17673" w:rsidRPr="00C25385">
        <w:rPr>
          <w:rFonts w:asciiTheme="minorHAnsi" w:hAnsiTheme="minorHAnsi" w:cstheme="minorHAnsi"/>
          <w:b/>
          <w:bCs/>
          <w:color w:val="000000" w:themeColor="text1"/>
          <w:kern w:val="2"/>
          <w:sz w:val="22"/>
          <w:szCs w:val="22"/>
        </w:rPr>
        <w:t>Comparison of observed and simulated meteorological variables at Xingtai Station (EOF3-dominated transitional zone)</w:t>
      </w:r>
      <w:r w:rsidR="00A17673" w:rsidRPr="00C25385">
        <w:rPr>
          <w:rFonts w:asciiTheme="minorHAnsi" w:hAnsiTheme="minorHAnsi" w:cstheme="minorHAnsi" w:hint="eastAsia"/>
          <w:b/>
          <w:bCs/>
          <w:color w:val="000000" w:themeColor="text1"/>
          <w:kern w:val="2"/>
          <w:sz w:val="22"/>
          <w:szCs w:val="22"/>
        </w:rPr>
        <w:t>.</w:t>
      </w:r>
    </w:p>
    <w:p w14:paraId="1FE31092" w14:textId="1E1FDE63" w:rsidR="00432D1A" w:rsidRPr="00D32D64" w:rsidRDefault="00432D1A" w:rsidP="00E9585B">
      <w:pPr>
        <w:pStyle w:val="ae"/>
        <w:outlineLvl w:val="0"/>
        <w:rPr>
          <w:rFonts w:ascii="Arial" w:hAnsi="Arial" w:cs="Arial"/>
          <w:sz w:val="22"/>
          <w:szCs w:val="22"/>
        </w:rPr>
      </w:pPr>
      <w:r w:rsidRPr="00D32D64">
        <w:rPr>
          <w:rFonts w:ascii="Arial" w:hAnsi="Arial" w:cs="Arial"/>
          <w:b/>
          <w:bCs/>
          <w:sz w:val="22"/>
          <w:szCs w:val="22"/>
        </w:rPr>
        <w:t xml:space="preserve">Supplementary Note </w:t>
      </w:r>
      <w:r w:rsidR="00D27A19">
        <w:rPr>
          <w:rFonts w:ascii="Arial" w:hAnsi="Arial" w:cs="Arial" w:hint="eastAsia"/>
          <w:b/>
          <w:bCs/>
          <w:sz w:val="22"/>
          <w:szCs w:val="22"/>
        </w:rPr>
        <w:t>6</w:t>
      </w:r>
    </w:p>
    <w:p w14:paraId="2D3F7F10" w14:textId="7C5165BD" w:rsidR="00A17673" w:rsidRDefault="00936385" w:rsidP="005C3BB1">
      <w:pPr>
        <w:pStyle w:val="a3"/>
        <w:spacing w:line="360" w:lineRule="auto"/>
        <w:rPr>
          <w:rFonts w:ascii="Arial" w:hAnsi="Arial" w:cs="Arial"/>
          <w:color w:val="000000" w:themeColor="text1"/>
          <w:sz w:val="22"/>
          <w:szCs w:val="22"/>
          <w:lang w:val="en-GB"/>
        </w:rPr>
      </w:pPr>
      <w:r w:rsidRPr="00936385">
        <w:rPr>
          <w:rFonts w:ascii="Arial" w:hAnsi="Arial" w:cs="Arial"/>
          <w:color w:val="000000" w:themeColor="text1"/>
          <w:sz w:val="22"/>
          <w:szCs w:val="22"/>
        </w:rPr>
        <w:t>Decomposition of BTH contributions and robustness of the Beijing-specific attribution at Xianghe</w:t>
      </w:r>
    </w:p>
    <w:p w14:paraId="276EE2B6" w14:textId="6FDC3C45" w:rsidR="00936385" w:rsidRDefault="00936385" w:rsidP="00E13A74">
      <w:pPr>
        <w:pStyle w:val="a3"/>
        <w:spacing w:line="360" w:lineRule="auto"/>
        <w:rPr>
          <w:rFonts w:ascii="Arial" w:hAnsi="Arial" w:cs="Arial"/>
          <w:color w:val="000000" w:themeColor="text1"/>
          <w:sz w:val="22"/>
          <w:szCs w:val="22"/>
          <w:lang w:val="en-US"/>
        </w:rPr>
      </w:pPr>
      <w:r w:rsidRPr="00936385">
        <w:rPr>
          <w:rFonts w:ascii="Arial" w:hAnsi="Arial" w:cs="Arial"/>
          <w:b/>
          <w:bCs/>
          <w:color w:val="000000" w:themeColor="text1"/>
          <w:sz w:val="22"/>
          <w:szCs w:val="22"/>
          <w:lang w:val="en-US"/>
        </w:rPr>
        <w:t>Rationale and attribution framework.</w:t>
      </w:r>
      <w:r w:rsidRPr="00936385">
        <w:rPr>
          <w:rFonts w:ascii="Arial" w:hAnsi="Arial" w:cs="Arial"/>
          <w:color w:val="000000" w:themeColor="text1"/>
          <w:sz w:val="22"/>
          <w:szCs w:val="22"/>
          <w:lang w:val="en-US"/>
        </w:rPr>
        <w:t xml:space="preserve"> The local contribution of emissions within the Beijing-Tianjin-Hebei (BTH) domain to the simulated XCH</w:t>
      </w:r>
      <w:r w:rsidRPr="00936385">
        <w:rPr>
          <w:rFonts w:ascii="Arial" w:hAnsi="Arial" w:cs="Arial"/>
          <w:color w:val="000000" w:themeColor="text1"/>
          <w:sz w:val="22"/>
          <w:szCs w:val="22"/>
          <w:vertAlign w:val="subscript"/>
          <w:lang w:val="en-US"/>
        </w:rPr>
        <w:t>4</w:t>
      </w:r>
      <w:r w:rsidRPr="00936385">
        <w:rPr>
          <w:rFonts w:ascii="Arial" w:hAnsi="Arial" w:cs="Arial"/>
          <w:color w:val="000000" w:themeColor="text1"/>
          <w:sz w:val="22"/>
          <w:szCs w:val="22"/>
          <w:lang w:val="en-US"/>
        </w:rPr>
        <w:t xml:space="preserve"> column at the TCCON Xianghe station is isolated through the difference metrics Δ</w:t>
      </w:r>
      <w:r w:rsidRPr="00936385">
        <w:rPr>
          <w:rFonts w:ascii="Arial" w:hAnsi="Arial" w:cs="Arial"/>
          <w:color w:val="000000" w:themeColor="text1"/>
          <w:sz w:val="22"/>
          <w:szCs w:val="22"/>
          <w:vertAlign w:val="subscript"/>
          <w:lang w:val="en-US"/>
        </w:rPr>
        <w:t>BTH</w:t>
      </w:r>
      <w:r w:rsidRPr="00936385">
        <w:rPr>
          <w:rFonts w:ascii="Arial" w:hAnsi="Arial" w:cs="Arial"/>
          <w:color w:val="000000" w:themeColor="text1"/>
          <w:sz w:val="22"/>
          <w:szCs w:val="22"/>
          <w:lang w:val="en-US"/>
        </w:rPr>
        <w:t xml:space="preserve"> = Top-down − BTH-50%, Δ</w:t>
      </w:r>
      <w:r w:rsidRPr="00936385">
        <w:rPr>
          <w:rFonts w:ascii="Arial" w:hAnsi="Arial" w:cs="Arial"/>
          <w:color w:val="000000" w:themeColor="text1"/>
          <w:sz w:val="22"/>
          <w:szCs w:val="22"/>
          <w:vertAlign w:val="subscript"/>
          <w:lang w:val="en-US"/>
        </w:rPr>
        <w:t>BJ</w:t>
      </w:r>
      <w:r w:rsidRPr="00936385">
        <w:rPr>
          <w:rFonts w:ascii="Arial" w:hAnsi="Arial" w:cs="Arial"/>
          <w:color w:val="000000" w:themeColor="text1"/>
          <w:sz w:val="22"/>
          <w:szCs w:val="22"/>
          <w:lang w:val="en-US"/>
        </w:rPr>
        <w:t xml:space="preserve"> = Top-down − BJ-50%, and Δ</w:t>
      </w:r>
      <w:r w:rsidRPr="00936385">
        <w:rPr>
          <w:rFonts w:ascii="Arial" w:hAnsi="Arial" w:cs="Arial"/>
          <w:color w:val="000000" w:themeColor="text1"/>
          <w:sz w:val="22"/>
          <w:szCs w:val="22"/>
          <w:vertAlign w:val="subscript"/>
          <w:lang w:val="en-US"/>
        </w:rPr>
        <w:t>TH</w:t>
      </w:r>
      <w:r w:rsidRPr="00936385">
        <w:rPr>
          <w:rFonts w:ascii="Arial" w:hAnsi="Arial" w:cs="Arial"/>
          <w:color w:val="000000" w:themeColor="text1"/>
          <w:sz w:val="22"/>
          <w:szCs w:val="22"/>
          <w:lang w:val="en-US"/>
        </w:rPr>
        <w:t xml:space="preserve"> = Δ</w:t>
      </w:r>
      <w:r w:rsidRPr="00936385">
        <w:rPr>
          <w:rFonts w:ascii="Arial" w:hAnsi="Arial" w:cs="Arial"/>
          <w:color w:val="000000" w:themeColor="text1"/>
          <w:sz w:val="22"/>
          <w:szCs w:val="22"/>
          <w:vertAlign w:val="subscript"/>
          <w:lang w:val="en-US"/>
        </w:rPr>
        <w:t>BTH</w:t>
      </w:r>
      <w:r w:rsidRPr="00936385">
        <w:rPr>
          <w:rFonts w:ascii="Arial" w:hAnsi="Arial" w:cs="Arial"/>
          <w:color w:val="000000" w:themeColor="text1"/>
          <w:sz w:val="22"/>
          <w:szCs w:val="22"/>
          <w:lang w:val="en-US"/>
        </w:rPr>
        <w:t xml:space="preserve"> − Δ</w:t>
      </w:r>
      <w:r w:rsidRPr="00936385">
        <w:rPr>
          <w:rFonts w:ascii="Arial" w:hAnsi="Arial" w:cs="Arial"/>
          <w:color w:val="000000" w:themeColor="text1"/>
          <w:sz w:val="22"/>
          <w:szCs w:val="22"/>
          <w:vertAlign w:val="subscript"/>
          <w:lang w:val="en-US"/>
        </w:rPr>
        <w:t>BJ</w:t>
      </w:r>
      <w:r w:rsidRPr="00936385">
        <w:rPr>
          <w:rFonts w:ascii="Arial" w:hAnsi="Arial" w:cs="Arial"/>
          <w:color w:val="000000" w:themeColor="text1"/>
          <w:sz w:val="22"/>
          <w:szCs w:val="22"/>
          <w:lang w:val="en-US"/>
        </w:rPr>
        <w:t>, where each perturbation simulation halves the anthropogenic emissions of the indicated administrative region while holding all other sources and meteorology fixed. For a passive tracer under identical transport, these differences are linear by construction, and the decomposition Δ</w:t>
      </w:r>
      <w:r w:rsidRPr="00936385">
        <w:rPr>
          <w:rFonts w:ascii="Arial" w:hAnsi="Arial" w:cs="Arial"/>
          <w:color w:val="000000" w:themeColor="text1"/>
          <w:sz w:val="22"/>
          <w:szCs w:val="22"/>
          <w:vertAlign w:val="subscript"/>
          <w:lang w:val="en-US"/>
        </w:rPr>
        <w:t>BTH</w:t>
      </w:r>
      <w:r w:rsidRPr="00936385">
        <w:rPr>
          <w:rFonts w:ascii="Arial" w:hAnsi="Arial" w:cs="Arial"/>
          <w:color w:val="000000" w:themeColor="text1"/>
          <w:sz w:val="22"/>
          <w:szCs w:val="22"/>
          <w:lang w:val="en-US"/>
        </w:rPr>
        <w:t xml:space="preserve"> = Δ</w:t>
      </w:r>
      <w:r w:rsidRPr="00936385">
        <w:rPr>
          <w:rFonts w:ascii="Arial" w:hAnsi="Arial" w:cs="Arial"/>
          <w:color w:val="000000" w:themeColor="text1"/>
          <w:sz w:val="22"/>
          <w:szCs w:val="22"/>
          <w:vertAlign w:val="subscript"/>
          <w:lang w:val="en-US"/>
        </w:rPr>
        <w:t>BJ</w:t>
      </w:r>
      <w:r w:rsidRPr="00936385">
        <w:rPr>
          <w:rFonts w:ascii="Arial" w:hAnsi="Arial" w:cs="Arial"/>
          <w:color w:val="000000" w:themeColor="text1"/>
          <w:sz w:val="22"/>
          <w:szCs w:val="22"/>
          <w:lang w:val="en-US"/>
        </w:rPr>
        <w:t xml:space="preserve"> + Δ</w:t>
      </w:r>
      <w:r w:rsidRPr="00936385">
        <w:rPr>
          <w:rFonts w:ascii="Arial" w:hAnsi="Arial" w:cs="Arial"/>
          <w:color w:val="000000" w:themeColor="text1"/>
          <w:sz w:val="22"/>
          <w:szCs w:val="22"/>
          <w:vertAlign w:val="subscript"/>
          <w:lang w:val="en-US"/>
        </w:rPr>
        <w:t>TH</w:t>
      </w:r>
      <w:r w:rsidRPr="00936385">
        <w:rPr>
          <w:rFonts w:ascii="Arial" w:hAnsi="Arial" w:cs="Arial"/>
          <w:color w:val="000000" w:themeColor="text1"/>
          <w:sz w:val="22"/>
          <w:szCs w:val="22"/>
          <w:lang w:val="en-US"/>
        </w:rPr>
        <w:t xml:space="preserve"> holds to within numerical precision (maximum residual &lt; 10</w:t>
      </w:r>
      <w:r w:rsidRPr="00936385">
        <w:rPr>
          <w:rFonts w:ascii="Arial" w:hAnsi="Arial" w:cs="Arial"/>
          <w:color w:val="000000" w:themeColor="text1"/>
          <w:sz w:val="22"/>
          <w:szCs w:val="22"/>
          <w:vertAlign w:val="superscript"/>
          <w:lang w:val="en-US"/>
        </w:rPr>
        <w:t>–13</w:t>
      </w:r>
      <w:r w:rsidRPr="00936385">
        <w:rPr>
          <w:rFonts w:ascii="Arial" w:hAnsi="Arial" w:cs="Arial"/>
          <w:color w:val="000000" w:themeColor="text1"/>
          <w:sz w:val="22"/>
          <w:szCs w:val="22"/>
          <w:lang w:val="en-US"/>
        </w:rPr>
        <w:t xml:space="preserve"> ppbv across all matched timesteps).</w:t>
      </w:r>
    </w:p>
    <w:p w14:paraId="6ACA4A95" w14:textId="6D7AA4D4" w:rsidR="00936385" w:rsidRPr="00936385" w:rsidRDefault="00936385" w:rsidP="00936385">
      <w:pPr>
        <w:pStyle w:val="a3"/>
        <w:spacing w:line="360" w:lineRule="auto"/>
        <w:rPr>
          <w:rFonts w:ascii="Arial" w:hAnsi="Arial" w:cs="Arial"/>
          <w:b/>
          <w:bCs/>
          <w:color w:val="000000" w:themeColor="text1"/>
          <w:sz w:val="22"/>
          <w:szCs w:val="22"/>
          <w:lang w:val="en-US"/>
        </w:rPr>
      </w:pPr>
      <w:r w:rsidRPr="00936385">
        <w:rPr>
          <w:rFonts w:ascii="Arial" w:hAnsi="Arial" w:cs="Arial"/>
          <w:b/>
          <w:bCs/>
          <w:color w:val="000000" w:themeColor="text1"/>
          <w:sz w:val="22"/>
          <w:szCs w:val="22"/>
          <w:lang w:val="en-US"/>
        </w:rPr>
        <w:lastRenderedPageBreak/>
        <w:t xml:space="preserve">Temporal alignment of the attribution. </w:t>
      </w:r>
      <w:r w:rsidRPr="00936385">
        <w:rPr>
          <w:rFonts w:ascii="Arial" w:hAnsi="Arial" w:cs="Arial"/>
          <w:color w:val="000000" w:themeColor="text1"/>
          <w:sz w:val="22"/>
          <w:szCs w:val="22"/>
          <w:lang w:val="en-US"/>
        </w:rPr>
        <w:t>The Top-down baseline is archived at hourly resolution, whereas the BJ-50%, BTH-50% and Perturb±50% experiments are archived at 30-minute resolution. A physically meaningful tracer difference requires that both terms be sampled at an identical model output time. We therefore restrict the entire Δ</w:t>
      </w:r>
      <w:r w:rsidRPr="00936385">
        <w:rPr>
          <w:rFonts w:ascii="Arial" w:hAnsi="Arial" w:cs="Arial"/>
          <w:color w:val="000000" w:themeColor="text1"/>
          <w:sz w:val="22"/>
          <w:szCs w:val="22"/>
          <w:vertAlign w:val="subscript"/>
          <w:lang w:val="en-US"/>
        </w:rPr>
        <w:t>BJ</w:t>
      </w:r>
      <w:r w:rsidRPr="00936385">
        <w:rPr>
          <w:rFonts w:ascii="Arial" w:hAnsi="Arial" w:cs="Arial"/>
          <w:color w:val="000000" w:themeColor="text1"/>
          <w:sz w:val="22"/>
          <w:szCs w:val="22"/>
          <w:lang w:val="en-US"/>
        </w:rPr>
        <w:t>, Δ</w:t>
      </w:r>
      <w:r w:rsidRPr="00936385">
        <w:rPr>
          <w:rFonts w:ascii="Arial" w:hAnsi="Arial" w:cs="Arial"/>
          <w:color w:val="000000" w:themeColor="text1"/>
          <w:sz w:val="22"/>
          <w:szCs w:val="22"/>
          <w:vertAlign w:val="subscript"/>
          <w:lang w:val="en-US"/>
        </w:rPr>
        <w:t>TH</w:t>
      </w:r>
      <w:r w:rsidRPr="00936385">
        <w:rPr>
          <w:rFonts w:ascii="Arial" w:hAnsi="Arial" w:cs="Arial"/>
          <w:color w:val="000000" w:themeColor="text1"/>
          <w:sz w:val="22"/>
          <w:szCs w:val="22"/>
          <w:lang w:val="en-US"/>
        </w:rPr>
        <w:t xml:space="preserve"> and Δ</w:t>
      </w:r>
      <w:r w:rsidRPr="00936385">
        <w:rPr>
          <w:rFonts w:ascii="Arial" w:hAnsi="Arial" w:cs="Arial"/>
          <w:color w:val="000000" w:themeColor="text1"/>
          <w:sz w:val="22"/>
          <w:szCs w:val="22"/>
          <w:vertAlign w:val="subscript"/>
          <w:lang w:val="en-US"/>
        </w:rPr>
        <w:t>BTH</w:t>
      </w:r>
      <w:r w:rsidRPr="00936385">
        <w:rPr>
          <w:rFonts w:ascii="Arial" w:hAnsi="Arial" w:cs="Arial"/>
          <w:color w:val="000000" w:themeColor="text1"/>
          <w:sz w:val="22"/>
          <w:szCs w:val="22"/>
          <w:lang w:val="en-US"/>
        </w:rPr>
        <w:t xml:space="preserve"> decomposition to the integer-hour timestamps present in both archives (335 common hours over 10 July to 15 September 2022, of which 134 fall in August), at which the hourly Top-down field and the corresponding half-hourly perturbation field share a true, co-incident model state. This eliminates the spurious sub-hourly drift that arises if an hourly value is carried forward to a half-hour timestamp during periods of rapid plume evolution, when the column can change by 10-30 ppbv within 30 minutes.</w:t>
      </w:r>
    </w:p>
    <w:p w14:paraId="32032AAA" w14:textId="35F264A0" w:rsidR="00E13A74" w:rsidRPr="00E13A74" w:rsidRDefault="00936385" w:rsidP="00E13A74">
      <w:pPr>
        <w:pStyle w:val="a3"/>
        <w:spacing w:line="360" w:lineRule="auto"/>
        <w:rPr>
          <w:rFonts w:ascii="Arial" w:hAnsi="Arial" w:cs="Arial"/>
          <w:color w:val="000000" w:themeColor="text1"/>
          <w:sz w:val="22"/>
          <w:szCs w:val="22"/>
          <w:lang w:val="en-US"/>
        </w:rPr>
      </w:pPr>
      <w:r w:rsidRPr="00936385">
        <w:rPr>
          <w:rFonts w:ascii="Arial" w:hAnsi="Arial" w:cs="Arial"/>
          <w:b/>
          <w:bCs/>
          <w:color w:val="000000" w:themeColor="text1"/>
          <w:sz w:val="22"/>
          <w:szCs w:val="22"/>
          <w:lang w:val="en-US"/>
        </w:rPr>
        <w:t>Full-period and August statistics.</w:t>
      </w:r>
      <w:r w:rsidRPr="00936385">
        <w:rPr>
          <w:rFonts w:ascii="Arial" w:hAnsi="Arial" w:cs="Arial"/>
          <w:color w:val="000000" w:themeColor="text1"/>
          <w:sz w:val="22"/>
          <w:szCs w:val="22"/>
          <w:lang w:val="en-US"/>
        </w:rPr>
        <w:t xml:space="preserve"> Over all 316 valid integer hours with a defined Δ</w:t>
      </w:r>
      <w:r w:rsidRPr="00936385">
        <w:rPr>
          <w:rFonts w:ascii="Arial" w:hAnsi="Arial" w:cs="Arial"/>
          <w:color w:val="000000" w:themeColor="text1"/>
          <w:sz w:val="22"/>
          <w:szCs w:val="22"/>
          <w:vertAlign w:val="subscript"/>
          <w:lang w:val="en-US"/>
        </w:rPr>
        <w:t>BJ</w:t>
      </w:r>
      <w:r w:rsidRPr="00936385">
        <w:rPr>
          <w:rFonts w:ascii="Arial" w:hAnsi="Arial" w:cs="Arial"/>
          <w:color w:val="000000" w:themeColor="text1"/>
          <w:sz w:val="22"/>
          <w:szCs w:val="22"/>
          <w:lang w:val="en-US"/>
        </w:rPr>
        <w:t xml:space="preserve">, the Beijing-specific anomaly at Xianghe has a mean of −0.8 ppbv but a median of +0.5 ppbv, with 55.1% of hours positive (Supplementary Fig. </w:t>
      </w:r>
      <w:r w:rsidR="008B27CB" w:rsidRPr="00936385">
        <w:rPr>
          <w:rFonts w:ascii="Arial" w:hAnsi="Arial" w:cs="Arial"/>
          <w:color w:val="000000" w:themeColor="text1"/>
          <w:sz w:val="22"/>
          <w:szCs w:val="22"/>
          <w:lang w:val="en-US"/>
        </w:rPr>
        <w:t>S1</w:t>
      </w:r>
      <w:r w:rsidR="00D412CD">
        <w:rPr>
          <w:rFonts w:ascii="Arial" w:hAnsi="Arial" w:cs="Arial"/>
          <w:color w:val="000000" w:themeColor="text1"/>
          <w:sz w:val="22"/>
          <w:szCs w:val="22"/>
          <w:lang w:val="en-US"/>
        </w:rPr>
        <w:t>5</w:t>
      </w:r>
      <w:r w:rsidR="008B27CB" w:rsidRPr="00936385">
        <w:rPr>
          <w:rFonts w:ascii="Arial" w:hAnsi="Arial" w:cs="Arial"/>
          <w:color w:val="000000" w:themeColor="text1"/>
          <w:sz w:val="22"/>
          <w:szCs w:val="22"/>
          <w:lang w:val="en-US"/>
        </w:rPr>
        <w:t>a</w:t>
      </w:r>
      <w:r w:rsidRPr="00936385">
        <w:rPr>
          <w:rFonts w:ascii="Arial" w:hAnsi="Arial" w:cs="Arial"/>
          <w:color w:val="000000" w:themeColor="text1"/>
          <w:sz w:val="22"/>
          <w:szCs w:val="22"/>
          <w:lang w:val="en-US"/>
        </w:rPr>
        <w:t>). The August subset (134 hours) is consistent, with a mean of −1.3 ppbv, a median of +0.1 ppbv, and 52.2% of hours positive. The positive median together with the majority-positive fraction demonstrates that the central tendency of the Beijing contribution is small and positive, and that the slightly negative mean is not a systematic feature but is controlled by a small number of strongly negative outlier hours in the left tail of the distribution. By contrast, the Tianjin-Hebei contribution (Δ</w:t>
      </w:r>
      <w:r w:rsidRPr="00936385">
        <w:rPr>
          <w:rFonts w:ascii="Arial" w:hAnsi="Arial" w:cs="Arial"/>
          <w:color w:val="000000" w:themeColor="text1"/>
          <w:sz w:val="22"/>
          <w:szCs w:val="22"/>
          <w:vertAlign w:val="subscript"/>
          <w:lang w:val="en-US"/>
        </w:rPr>
        <w:t>TH</w:t>
      </w:r>
      <w:r w:rsidRPr="00936385">
        <w:rPr>
          <w:rFonts w:ascii="Arial" w:hAnsi="Arial" w:cs="Arial"/>
          <w:color w:val="000000" w:themeColor="text1"/>
          <w:sz w:val="22"/>
          <w:szCs w:val="22"/>
          <w:lang w:val="en-US"/>
        </w:rPr>
        <w:t>) is robustly positive throughout, with a domain-integrated mean of 31.9×10</w:t>
      </w:r>
      <w:r>
        <w:rPr>
          <w:rFonts w:ascii="Arial" w:hAnsi="Arial" w:cs="Arial" w:hint="eastAsia"/>
          <w:color w:val="000000" w:themeColor="text1"/>
          <w:sz w:val="22"/>
          <w:szCs w:val="22"/>
          <w:vertAlign w:val="superscript"/>
          <w:lang w:val="en-US"/>
        </w:rPr>
        <w:t>3</w:t>
      </w:r>
      <w:r w:rsidRPr="00936385">
        <w:rPr>
          <w:rFonts w:ascii="Arial" w:hAnsi="Arial" w:cs="Arial"/>
          <w:color w:val="000000" w:themeColor="text1"/>
          <w:sz w:val="22"/>
          <w:szCs w:val="22"/>
          <w:lang w:val="en-US"/>
        </w:rPr>
        <w:t xml:space="preserve"> tons (10.2% of the EDGAR baseline emissions) over BTH</w:t>
      </w:r>
      <w:r w:rsidR="00E13A74" w:rsidRPr="00E13A74">
        <w:rPr>
          <w:rFonts w:ascii="Arial" w:hAnsi="Arial" w:cs="Arial"/>
          <w:color w:val="000000" w:themeColor="text1"/>
          <w:sz w:val="22"/>
          <w:szCs w:val="22"/>
          <w:lang w:val="en-US"/>
        </w:rPr>
        <w:t>.</w:t>
      </w:r>
    </w:p>
    <w:p w14:paraId="3E8886E9" w14:textId="4B0AC648" w:rsidR="00E13A74" w:rsidRDefault="00936385" w:rsidP="00E13A74">
      <w:pPr>
        <w:pStyle w:val="a3"/>
        <w:spacing w:line="360" w:lineRule="auto"/>
        <w:rPr>
          <w:rFonts w:ascii="Arial" w:hAnsi="Arial" w:cs="Arial"/>
          <w:color w:val="000000" w:themeColor="text1"/>
          <w:sz w:val="22"/>
          <w:szCs w:val="22"/>
          <w:lang w:val="en-US"/>
        </w:rPr>
      </w:pPr>
      <w:r w:rsidRPr="00931734">
        <w:rPr>
          <w:rFonts w:ascii="Arial" w:hAnsi="Arial" w:cs="Arial"/>
          <w:b/>
          <w:bCs/>
          <w:color w:val="000000" w:themeColor="text1"/>
          <w:sz w:val="22"/>
          <w:szCs w:val="22"/>
          <w:lang w:val="en-US"/>
        </w:rPr>
        <w:t>Robustness to subset choice.</w:t>
      </w:r>
      <w:r w:rsidRPr="00936385">
        <w:rPr>
          <w:rFonts w:ascii="Arial" w:hAnsi="Arial" w:cs="Arial"/>
          <w:color w:val="000000" w:themeColor="text1"/>
          <w:sz w:val="22"/>
          <w:szCs w:val="22"/>
          <w:lang w:val="en-US"/>
        </w:rPr>
        <w:t xml:space="preserve"> To confirm that the near-zero Beijing attribution is not an artifact of a particular averaging window, Δ</w:t>
      </w:r>
      <w:r w:rsidRPr="00936385">
        <w:rPr>
          <w:rFonts w:ascii="Arial" w:hAnsi="Arial" w:cs="Arial"/>
          <w:color w:val="000000" w:themeColor="text1"/>
          <w:sz w:val="22"/>
          <w:szCs w:val="22"/>
          <w:vertAlign w:val="subscript"/>
          <w:lang w:val="en-US"/>
        </w:rPr>
        <w:t>BJ</w:t>
      </w:r>
      <w:r w:rsidRPr="00936385">
        <w:rPr>
          <w:rFonts w:ascii="Arial" w:hAnsi="Arial" w:cs="Arial"/>
          <w:color w:val="000000" w:themeColor="text1"/>
          <w:sz w:val="22"/>
          <w:szCs w:val="22"/>
          <w:lang w:val="en-US"/>
        </w:rPr>
        <w:t xml:space="preserve"> statistics were recomputed under three independent subsetting choices (Supplementary Table S6). Restricting to hours with a valid TCCON retrieval (n = 316) reproduces the full-period statistics identically (mean −0.8 ppbv, median +0.5 ppbv, 55.1% positive), because the model decomposition is defined at every common integer hour irrespective of TCCON sampling. Restricting to daytime UTC hours (00-09 UTC, approximately 08-17 local time; n = 295) yields a mean of −0.8 ppbv, a median of +0.5 ppbv, and 55.6% positive. The central tendency is therefore stable across all subset definitions, and the conclusion that the Beijing-specific contribution is statistically indistinguishable from zero is independent of the subsetting choice.</w:t>
      </w:r>
    </w:p>
    <w:p w14:paraId="51051DA9" w14:textId="0F505DD5" w:rsidR="00C25385" w:rsidRPr="00C25385" w:rsidRDefault="00C25385" w:rsidP="00C25385">
      <w:pPr>
        <w:pStyle w:val="a3"/>
        <w:spacing w:line="360" w:lineRule="auto"/>
        <w:rPr>
          <w:rFonts w:ascii="Arial" w:hAnsi="Arial" w:cs="Arial"/>
          <w:color w:val="000000" w:themeColor="text1"/>
          <w:sz w:val="22"/>
          <w:szCs w:val="22"/>
          <w:lang w:val="en-US"/>
        </w:rPr>
      </w:pPr>
      <w:r w:rsidRPr="00C25385">
        <w:rPr>
          <w:rFonts w:ascii="Arial" w:hAnsi="Arial" w:cs="Arial"/>
          <w:b/>
          <w:bCs/>
          <w:color w:val="000000" w:themeColor="text1"/>
          <w:sz w:val="22"/>
          <w:szCs w:val="22"/>
          <w:lang w:val="en-US"/>
        </w:rPr>
        <w:t xml:space="preserve">Behavior during extreme peak events. </w:t>
      </w:r>
      <w:r w:rsidRPr="00C25385">
        <w:rPr>
          <w:rFonts w:ascii="Arial" w:hAnsi="Arial" w:cs="Arial"/>
          <w:color w:val="000000" w:themeColor="text1"/>
          <w:sz w:val="22"/>
          <w:szCs w:val="22"/>
          <w:lang w:val="en-US"/>
        </w:rPr>
        <w:t>The ten TCCON extreme XCH</w:t>
      </w:r>
      <w:r w:rsidRPr="00C25385">
        <w:rPr>
          <w:rFonts w:ascii="Arial" w:hAnsi="Arial" w:cs="Arial"/>
          <w:color w:val="000000" w:themeColor="text1"/>
          <w:sz w:val="22"/>
          <w:szCs w:val="22"/>
          <w:vertAlign w:val="subscript"/>
          <w:lang w:val="en-US"/>
        </w:rPr>
        <w:t>4</w:t>
      </w:r>
      <w:r w:rsidRPr="00C25385">
        <w:rPr>
          <w:rFonts w:ascii="Arial" w:hAnsi="Arial" w:cs="Arial"/>
          <w:color w:val="000000" w:themeColor="text1"/>
          <w:sz w:val="22"/>
          <w:szCs w:val="22"/>
          <w:lang w:val="en-US"/>
        </w:rPr>
        <w:t xml:space="preserve"> peak events (identified on the common integer-hour TCCON series using the 90th-percentile threshold of 1957.4 ppbv </w:t>
      </w:r>
      <w:r w:rsidRPr="00C25385">
        <w:rPr>
          <w:rFonts w:ascii="Arial" w:hAnsi="Arial" w:cs="Arial"/>
          <w:color w:val="000000" w:themeColor="text1"/>
          <w:sz w:val="22"/>
          <w:szCs w:val="22"/>
          <w:lang w:val="en-US"/>
        </w:rPr>
        <w:lastRenderedPageBreak/>
        <w:t xml:space="preserve">and a 12-hour minimum separation, consistent with the main-text Fig. 7c criterion) reveal a systematic divergence between the two contributions (Supplementary Fig. </w:t>
      </w:r>
      <w:r w:rsidR="008B27CB" w:rsidRPr="00C25385">
        <w:rPr>
          <w:rFonts w:ascii="Arial" w:hAnsi="Arial" w:cs="Arial"/>
          <w:color w:val="000000" w:themeColor="text1"/>
          <w:sz w:val="22"/>
          <w:szCs w:val="22"/>
          <w:lang w:val="en-US"/>
        </w:rPr>
        <w:t>S1</w:t>
      </w:r>
      <w:r w:rsidR="00D412CD">
        <w:rPr>
          <w:rFonts w:ascii="Arial" w:hAnsi="Arial" w:cs="Arial"/>
          <w:color w:val="000000" w:themeColor="text1"/>
          <w:sz w:val="22"/>
          <w:szCs w:val="22"/>
          <w:lang w:val="en-US"/>
        </w:rPr>
        <w:t>5</w:t>
      </w:r>
      <w:r w:rsidR="008B27CB" w:rsidRPr="00C25385">
        <w:rPr>
          <w:rFonts w:ascii="Arial" w:hAnsi="Arial" w:cs="Arial"/>
          <w:color w:val="000000" w:themeColor="text1"/>
          <w:sz w:val="22"/>
          <w:szCs w:val="22"/>
          <w:lang w:val="en-US"/>
        </w:rPr>
        <w:t>b</w:t>
      </w:r>
      <w:r w:rsidRPr="00C25385">
        <w:rPr>
          <w:rFonts w:ascii="Arial" w:hAnsi="Arial" w:cs="Arial"/>
          <w:color w:val="000000" w:themeColor="text1"/>
          <w:sz w:val="22"/>
          <w:szCs w:val="22"/>
          <w:lang w:val="en-US"/>
        </w:rPr>
        <w:t>). During these events the Tianjin-Hebei signal rises to a median of +29.4 ppbv (mean +25.2 ppbv, maximum +70.1 ppbv), whereas the Beijing term turns systematically negative (median −7.6 ppbv, mean −5.1 ppbv, with 40% of events positive). The negative Beijing contribution during these strong southwesterly regimes is a transport redistribution effect rather than a numerical error: halving Beijing</w:t>
      </w:r>
      <w:r>
        <w:rPr>
          <w:rFonts w:ascii="Arial" w:hAnsi="Arial" w:cs="Arial"/>
          <w:color w:val="000000" w:themeColor="text1"/>
          <w:sz w:val="22"/>
          <w:szCs w:val="22"/>
          <w:lang w:val="en-US"/>
        </w:rPr>
        <w:t>’</w:t>
      </w:r>
      <w:r w:rsidRPr="00C25385">
        <w:rPr>
          <w:rFonts w:ascii="Arial" w:hAnsi="Arial" w:cs="Arial"/>
          <w:color w:val="000000" w:themeColor="text1"/>
          <w:sz w:val="22"/>
          <w:szCs w:val="22"/>
          <w:lang w:val="en-US"/>
        </w:rPr>
        <w:t>s local emissions slightly raises the simulated column at Xianghe because, under southwesterly flow, Beijing</w:t>
      </w:r>
      <w:r>
        <w:rPr>
          <w:rFonts w:ascii="Arial" w:hAnsi="Arial" w:cs="Arial"/>
          <w:color w:val="000000" w:themeColor="text1"/>
          <w:sz w:val="22"/>
          <w:szCs w:val="22"/>
          <w:lang w:val="en-US"/>
        </w:rPr>
        <w:t>’</w:t>
      </w:r>
      <w:r w:rsidRPr="00C25385">
        <w:rPr>
          <w:rFonts w:ascii="Arial" w:hAnsi="Arial" w:cs="Arial"/>
          <w:color w:val="000000" w:themeColor="text1"/>
          <w:sz w:val="22"/>
          <w:szCs w:val="22"/>
          <w:lang w:val="en-US"/>
        </w:rPr>
        <w:t>s own emissions are advected north-eastward away from the receptor, while the column at Xianghe is dominated by the upwind Tianjin-Hebei and Shanxi plumes. This behavior is physically consistent with the location of Xianghe upwind of, and to the south of, the Beijing municipality under the prevailing transport regime.</w:t>
      </w:r>
    </w:p>
    <w:p w14:paraId="2100E6FB" w14:textId="7F1B0B33" w:rsidR="005C3BB1" w:rsidRPr="00144EB9" w:rsidRDefault="00144EB9" w:rsidP="00144EB9">
      <w:pPr>
        <w:jc w:val="center"/>
        <w:rPr>
          <w:lang w:val="en-US"/>
        </w:rPr>
      </w:pPr>
      <w:r>
        <w:rPr>
          <w:noProof/>
          <w:lang w:val="en-US"/>
        </w:rPr>
        <w:drawing>
          <wp:inline distT="0" distB="0" distL="0" distR="0" wp14:anchorId="793F5381" wp14:editId="2AAB0CE9">
            <wp:extent cx="5055577" cy="4842767"/>
            <wp:effectExtent l="0" t="0" r="0" b="0"/>
            <wp:docPr id="1175815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5096" name="Picture 1175815096"/>
                    <pic:cNvPicPr/>
                  </pic:nvPicPr>
                  <pic:blipFill>
                    <a:blip r:embed="rId25"/>
                    <a:stretch>
                      <a:fillRect/>
                    </a:stretch>
                  </pic:blipFill>
                  <pic:spPr>
                    <a:xfrm>
                      <a:off x="0" y="0"/>
                      <a:ext cx="5056686" cy="4843829"/>
                    </a:xfrm>
                    <a:prstGeom prst="rect">
                      <a:avLst/>
                    </a:prstGeom>
                  </pic:spPr>
                </pic:pic>
              </a:graphicData>
            </a:graphic>
          </wp:inline>
        </w:drawing>
      </w:r>
    </w:p>
    <w:p w14:paraId="33644F35" w14:textId="56263EEA" w:rsidR="005C3BB1" w:rsidRDefault="00C25385" w:rsidP="00E9585B">
      <w:pPr>
        <w:pStyle w:val="a3"/>
        <w:widowControl w:val="0"/>
        <w:spacing w:line="276" w:lineRule="auto"/>
        <w:jc w:val="both"/>
        <w:outlineLvl w:val="1"/>
        <w:rPr>
          <w:rFonts w:asciiTheme="minorHAnsi" w:hAnsiTheme="minorHAnsi" w:cstheme="minorHAnsi"/>
          <w:color w:val="000000" w:themeColor="text1"/>
          <w:kern w:val="2"/>
          <w:sz w:val="22"/>
          <w:szCs w:val="22"/>
        </w:rPr>
      </w:pPr>
      <w:r w:rsidRPr="00C25385">
        <w:rPr>
          <w:rFonts w:asciiTheme="minorHAnsi" w:hAnsiTheme="minorHAnsi" w:cstheme="minorHAnsi"/>
          <w:b/>
          <w:bCs/>
          <w:color w:val="000000" w:themeColor="text1"/>
          <w:kern w:val="2"/>
          <w:sz w:val="22"/>
          <w:szCs w:val="22"/>
        </w:rPr>
        <w:t xml:space="preserve">Supplementary Fig. </w:t>
      </w:r>
      <w:r w:rsidR="008B27CB" w:rsidRPr="00C25385">
        <w:rPr>
          <w:rFonts w:asciiTheme="minorHAnsi" w:hAnsiTheme="minorHAnsi" w:cstheme="minorHAnsi"/>
          <w:b/>
          <w:bCs/>
          <w:color w:val="000000" w:themeColor="text1"/>
          <w:kern w:val="2"/>
          <w:sz w:val="22"/>
          <w:szCs w:val="22"/>
        </w:rPr>
        <w:t>S1</w:t>
      </w:r>
      <w:r w:rsidR="00D412CD">
        <w:rPr>
          <w:rFonts w:asciiTheme="minorHAnsi" w:hAnsiTheme="minorHAnsi" w:cstheme="minorHAnsi"/>
          <w:b/>
          <w:bCs/>
          <w:color w:val="000000" w:themeColor="text1"/>
          <w:kern w:val="2"/>
          <w:sz w:val="22"/>
          <w:szCs w:val="22"/>
        </w:rPr>
        <w:t>5</w:t>
      </w:r>
      <w:r w:rsidRPr="00C25385">
        <w:rPr>
          <w:rFonts w:asciiTheme="minorHAnsi" w:hAnsiTheme="minorHAnsi" w:cstheme="minorHAnsi"/>
          <w:b/>
          <w:bCs/>
          <w:color w:val="000000" w:themeColor="text1"/>
          <w:kern w:val="2"/>
          <w:sz w:val="22"/>
          <w:szCs w:val="22"/>
        </w:rPr>
        <w:t>. Robustness of the Beijing-specific attribution (Δ</w:t>
      </w:r>
      <w:r w:rsidRPr="00C25385">
        <w:rPr>
          <w:rFonts w:asciiTheme="minorHAnsi" w:hAnsiTheme="minorHAnsi" w:cstheme="minorHAnsi"/>
          <w:b/>
          <w:bCs/>
          <w:color w:val="000000" w:themeColor="text1"/>
          <w:kern w:val="2"/>
          <w:sz w:val="22"/>
          <w:szCs w:val="22"/>
          <w:vertAlign w:val="subscript"/>
        </w:rPr>
        <w:t>BJ</w:t>
      </w:r>
      <w:r w:rsidRPr="00C25385">
        <w:rPr>
          <w:rFonts w:asciiTheme="minorHAnsi" w:hAnsiTheme="minorHAnsi" w:cstheme="minorHAnsi"/>
          <w:b/>
          <w:bCs/>
          <w:color w:val="000000" w:themeColor="text1"/>
          <w:kern w:val="2"/>
          <w:sz w:val="22"/>
          <w:szCs w:val="22"/>
        </w:rPr>
        <w:t>) at TCCON Xianghe.</w:t>
      </w:r>
      <w:r w:rsidRPr="00C25385">
        <w:rPr>
          <w:rFonts w:asciiTheme="minorHAnsi" w:hAnsiTheme="minorHAnsi" w:cstheme="minorHAnsi"/>
          <w:color w:val="000000" w:themeColor="text1"/>
          <w:kern w:val="2"/>
          <w:sz w:val="22"/>
          <w:szCs w:val="22"/>
        </w:rPr>
        <w:t xml:space="preserve"> (a) Distribution of integer-hour Δ</w:t>
      </w:r>
      <w:r w:rsidRPr="00C25385">
        <w:rPr>
          <w:rFonts w:asciiTheme="minorHAnsi" w:hAnsiTheme="minorHAnsi" w:cstheme="minorHAnsi"/>
          <w:color w:val="000000" w:themeColor="text1"/>
          <w:kern w:val="2"/>
          <w:sz w:val="22"/>
          <w:szCs w:val="22"/>
          <w:vertAlign w:val="subscript"/>
        </w:rPr>
        <w:t>BJ</w:t>
      </w:r>
      <w:r w:rsidRPr="00C25385">
        <w:rPr>
          <w:rFonts w:asciiTheme="minorHAnsi" w:hAnsiTheme="minorHAnsi" w:cstheme="minorHAnsi"/>
          <w:color w:val="000000" w:themeColor="text1"/>
          <w:kern w:val="2"/>
          <w:sz w:val="22"/>
          <w:szCs w:val="22"/>
        </w:rPr>
        <w:t xml:space="preserve"> = Top-down − BJ-50% over the full simulation period (n = 316 hours; blue), with the subset of ten TCCON extreme peak events overlaid (red). Vertical lines mark the all-hour median </w:t>
      </w:r>
      <w:r w:rsidRPr="00C25385">
        <w:rPr>
          <w:rFonts w:asciiTheme="minorHAnsi" w:hAnsiTheme="minorHAnsi" w:cstheme="minorHAnsi"/>
          <w:color w:val="000000" w:themeColor="text1"/>
          <w:kern w:val="2"/>
          <w:sz w:val="22"/>
          <w:szCs w:val="22"/>
        </w:rPr>
        <w:lastRenderedPageBreak/>
        <w:t>(+0.5 ppbv), all-hour mean (−0.8 ppbv), and peak-event mean (−5.1 ppbv); 55.1% of all hours are positive. (b) Time series of integer-hour Δ</w:t>
      </w:r>
      <w:r w:rsidRPr="00C25385">
        <w:rPr>
          <w:rFonts w:asciiTheme="minorHAnsi" w:hAnsiTheme="minorHAnsi" w:cstheme="minorHAnsi"/>
          <w:color w:val="000000" w:themeColor="text1"/>
          <w:kern w:val="2"/>
          <w:sz w:val="22"/>
          <w:szCs w:val="22"/>
          <w:vertAlign w:val="subscript"/>
        </w:rPr>
        <w:t>BJ</w:t>
      </w:r>
      <w:r w:rsidRPr="00C25385">
        <w:rPr>
          <w:rFonts w:asciiTheme="minorHAnsi" w:hAnsiTheme="minorHAnsi" w:cstheme="minorHAnsi"/>
          <w:color w:val="000000" w:themeColor="text1"/>
          <w:kern w:val="2"/>
          <w:sz w:val="22"/>
          <w:szCs w:val="22"/>
        </w:rPr>
        <w:t xml:space="preserve"> over August 2022, with positive values shaded blue and negative values shaded red, and the TCCON extreme peak events marked by stars, showing that the Beijing contribution is small and predominantly positive outside peak events but turns negative during the strong southwesterly episodes that produce the extreme peaks.</w:t>
      </w:r>
    </w:p>
    <w:p w14:paraId="33EED793" w14:textId="09AEE6C7" w:rsidR="00616D34" w:rsidRPr="00C25385" w:rsidRDefault="00616D34" w:rsidP="00616D34">
      <w:pPr>
        <w:pStyle w:val="a3"/>
        <w:spacing w:line="360" w:lineRule="auto"/>
        <w:rPr>
          <w:rFonts w:ascii="Arial" w:hAnsi="Arial" w:cs="Arial"/>
          <w:b/>
          <w:bCs/>
          <w:color w:val="000000" w:themeColor="text1"/>
          <w:sz w:val="22"/>
          <w:szCs w:val="22"/>
          <w:lang w:val="en-US"/>
        </w:rPr>
      </w:pPr>
      <w:r w:rsidRPr="00C25385">
        <w:rPr>
          <w:rFonts w:ascii="Arial" w:hAnsi="Arial" w:cs="Arial"/>
          <w:b/>
          <w:bCs/>
          <w:color w:val="000000" w:themeColor="text1"/>
          <w:sz w:val="22"/>
          <w:szCs w:val="22"/>
          <w:lang w:val="en-US"/>
        </w:rPr>
        <w:t xml:space="preserve">Implication. </w:t>
      </w:r>
      <w:r w:rsidRPr="00C25385">
        <w:rPr>
          <w:rFonts w:ascii="Arial" w:hAnsi="Arial" w:cs="Arial"/>
          <w:color w:val="000000" w:themeColor="text1"/>
          <w:sz w:val="22"/>
          <w:szCs w:val="22"/>
          <w:lang w:val="en-US"/>
        </w:rPr>
        <w:t>The decomposition establishes two robust conclusions. First, the transboundary and intra-regional methane burden delivered to the BTH receptor region is overwhelmingly governed by the Tianjin-Hebei and upwind Shanxi sources rather than by Beijing</w:t>
      </w:r>
      <w:r>
        <w:rPr>
          <w:rFonts w:ascii="Arial" w:hAnsi="Arial" w:cs="Arial"/>
          <w:color w:val="000000" w:themeColor="text1"/>
          <w:sz w:val="22"/>
          <w:szCs w:val="22"/>
          <w:lang w:val="en-US"/>
        </w:rPr>
        <w:t>’</w:t>
      </w:r>
      <w:r w:rsidRPr="00C25385">
        <w:rPr>
          <w:rFonts w:ascii="Arial" w:hAnsi="Arial" w:cs="Arial"/>
          <w:color w:val="000000" w:themeColor="text1"/>
          <w:sz w:val="22"/>
          <w:szCs w:val="22"/>
          <w:lang w:val="en-US"/>
        </w:rPr>
        <w:t>s local emissions, both in the monthly mean and, more strongly, during the extreme transport episodes that dominate the observed XCH</w:t>
      </w:r>
      <w:r w:rsidRPr="00C25385">
        <w:rPr>
          <w:rFonts w:ascii="Arial" w:hAnsi="Arial" w:cs="Arial"/>
          <w:color w:val="000000" w:themeColor="text1"/>
          <w:sz w:val="22"/>
          <w:szCs w:val="22"/>
          <w:vertAlign w:val="subscript"/>
          <w:lang w:val="en-US"/>
        </w:rPr>
        <w:t>4</w:t>
      </w:r>
      <w:r w:rsidRPr="00C25385">
        <w:rPr>
          <w:rFonts w:ascii="Arial" w:hAnsi="Arial" w:cs="Arial"/>
          <w:color w:val="000000" w:themeColor="text1"/>
          <w:sz w:val="22"/>
          <w:szCs w:val="22"/>
          <w:lang w:val="en-US"/>
        </w:rPr>
        <w:t xml:space="preserve"> variability. Second, the apparent negative monthly-mean Δ</w:t>
      </w:r>
      <w:r w:rsidRPr="00C25385">
        <w:rPr>
          <w:rFonts w:ascii="Arial" w:hAnsi="Arial" w:cs="Arial"/>
          <w:color w:val="000000" w:themeColor="text1"/>
          <w:sz w:val="22"/>
          <w:szCs w:val="22"/>
          <w:vertAlign w:val="subscript"/>
          <w:lang w:val="en-US"/>
        </w:rPr>
        <w:t>BJ</w:t>
      </w:r>
      <w:r w:rsidRPr="00C25385">
        <w:rPr>
          <w:rFonts w:ascii="Arial" w:hAnsi="Arial" w:cs="Arial"/>
          <w:color w:val="000000" w:themeColor="text1"/>
          <w:sz w:val="22"/>
          <w:szCs w:val="22"/>
          <w:lang w:val="en-US"/>
        </w:rPr>
        <w:t xml:space="preserve"> reported in earlier analyses is fully explained as the combined effect of a small set of negative outlier hours on an otherwise positive-median distribution and the transport-redistribution behavior during peak events, and does not indicate any non-physical attribution. These findings support the use of </w:t>
      </w:r>
      <w:r w:rsidR="009522B0">
        <w:rPr>
          <w:rFonts w:ascii="Arial" w:hAnsi="Arial" w:cs="Arial"/>
          <w:color w:val="000000" w:themeColor="text1"/>
          <w:sz w:val="22"/>
          <w:szCs w:val="22"/>
          <w:lang w:val="en-US"/>
        </w:rPr>
        <w:t xml:space="preserve">high frequency observations in </w:t>
      </w:r>
      <w:r w:rsidRPr="00C25385">
        <w:rPr>
          <w:rFonts w:ascii="Arial" w:hAnsi="Arial" w:cs="Arial"/>
          <w:color w:val="000000" w:themeColor="text1"/>
          <w:sz w:val="22"/>
          <w:szCs w:val="22"/>
          <w:lang w:val="en-US"/>
        </w:rPr>
        <w:t>Xianghe as a sentinel station for monitoring the southeastern Shanxi-southern Hebei transboundary corridor.</w:t>
      </w:r>
    </w:p>
    <w:p w14:paraId="05F83C9E" w14:textId="48306E14" w:rsidR="007D0D89" w:rsidRPr="00144EB9" w:rsidRDefault="00144EB9" w:rsidP="00E9585B">
      <w:pPr>
        <w:pStyle w:val="a3"/>
        <w:widowControl w:val="0"/>
        <w:spacing w:beforeLines="50" w:before="120" w:after="0" w:line="276" w:lineRule="auto"/>
        <w:jc w:val="both"/>
        <w:outlineLvl w:val="1"/>
        <w:rPr>
          <w:rFonts w:asciiTheme="minorHAnsi" w:hAnsiTheme="minorHAnsi" w:cstheme="minorHAnsi"/>
          <w:b/>
          <w:bCs/>
          <w:color w:val="000000" w:themeColor="text1"/>
          <w:kern w:val="2"/>
          <w:sz w:val="22"/>
          <w:szCs w:val="22"/>
          <w:lang w:val="en-US"/>
        </w:rPr>
      </w:pPr>
      <w:r w:rsidRPr="00144EB9">
        <w:rPr>
          <w:rFonts w:asciiTheme="minorHAnsi" w:hAnsiTheme="minorHAnsi" w:cstheme="minorHAnsi"/>
          <w:b/>
          <w:bCs/>
          <w:color w:val="000000" w:themeColor="text1"/>
          <w:kern w:val="2"/>
          <w:sz w:val="22"/>
          <w:szCs w:val="22"/>
          <w:lang w:val="en-US"/>
        </w:rPr>
        <w:t>Supplementary Table S</w:t>
      </w:r>
      <w:r w:rsidR="00EB18F3">
        <w:rPr>
          <w:rFonts w:asciiTheme="minorHAnsi" w:hAnsiTheme="minorHAnsi" w:cstheme="minorHAnsi" w:hint="eastAsia"/>
          <w:b/>
          <w:bCs/>
          <w:color w:val="000000" w:themeColor="text1"/>
          <w:kern w:val="2"/>
          <w:sz w:val="22"/>
          <w:szCs w:val="22"/>
          <w:lang w:val="en-US"/>
        </w:rPr>
        <w:t>6</w:t>
      </w:r>
      <w:r w:rsidRPr="00144EB9">
        <w:rPr>
          <w:rFonts w:asciiTheme="minorHAnsi" w:hAnsiTheme="minorHAnsi" w:cstheme="minorHAnsi"/>
          <w:b/>
          <w:bCs/>
          <w:color w:val="000000" w:themeColor="text1"/>
          <w:kern w:val="2"/>
          <w:sz w:val="22"/>
          <w:szCs w:val="22"/>
          <w:lang w:val="en-US"/>
        </w:rPr>
        <w:t>.</w:t>
      </w:r>
      <w:r w:rsidRPr="00144EB9">
        <w:rPr>
          <w:rFonts w:asciiTheme="minorHAnsi" w:hAnsiTheme="minorHAnsi" w:cstheme="minorHAnsi"/>
          <w:color w:val="000000" w:themeColor="text1"/>
          <w:kern w:val="2"/>
          <w:sz w:val="22"/>
          <w:szCs w:val="22"/>
          <w:lang w:val="en-US"/>
        </w:rPr>
        <w:t xml:space="preserve"> Δ</w:t>
      </w:r>
      <w:r w:rsidRPr="007F61CC">
        <w:rPr>
          <w:rFonts w:asciiTheme="minorHAnsi" w:hAnsiTheme="minorHAnsi" w:cstheme="minorHAnsi"/>
          <w:color w:val="000000" w:themeColor="text1"/>
          <w:kern w:val="2"/>
          <w:sz w:val="22"/>
          <w:szCs w:val="22"/>
          <w:vertAlign w:val="subscript"/>
          <w:lang w:val="en-US"/>
        </w:rPr>
        <w:t>BJ</w:t>
      </w:r>
      <w:r w:rsidRPr="00144EB9">
        <w:rPr>
          <w:rFonts w:asciiTheme="minorHAnsi" w:hAnsiTheme="minorHAnsi" w:cstheme="minorHAnsi"/>
          <w:color w:val="000000" w:themeColor="text1"/>
          <w:kern w:val="2"/>
          <w:sz w:val="22"/>
          <w:szCs w:val="22"/>
          <w:lang w:val="en-US"/>
        </w:rPr>
        <w:t xml:space="preserve"> statistics at TCCON Xianghe under independent subset choices (integer-hour common grid).</w:t>
      </w:r>
    </w:p>
    <w:tbl>
      <w:tblPr>
        <w:tblStyle w:val="ad"/>
        <w:tblpPr w:leftFromText="180" w:rightFromText="180" w:vertAnchor="text" w:tblpXSpec="center" w:tblpY="1"/>
        <w:tblOverlap w:val="never"/>
        <w:tblW w:w="779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661"/>
        <w:gridCol w:w="898"/>
        <w:gridCol w:w="980"/>
        <w:gridCol w:w="1461"/>
        <w:gridCol w:w="834"/>
        <w:gridCol w:w="834"/>
      </w:tblGrid>
      <w:tr w:rsidR="003248BB" w:rsidRPr="00565BEA" w14:paraId="18B451E0" w14:textId="770487A2" w:rsidTr="003248BB">
        <w:tc>
          <w:tcPr>
            <w:tcW w:w="2127" w:type="dxa"/>
            <w:tcBorders>
              <w:top w:val="single" w:sz="12" w:space="0" w:color="auto"/>
              <w:bottom w:val="single" w:sz="4" w:space="0" w:color="auto"/>
            </w:tcBorders>
            <w:vAlign w:val="center"/>
          </w:tcPr>
          <w:p w14:paraId="19FDAF54" w14:textId="6B50CD7B" w:rsidR="003248BB" w:rsidRPr="00565BEA" w:rsidRDefault="003248BB" w:rsidP="00C73839">
            <w:pPr>
              <w:jc w:val="center"/>
              <w:rPr>
                <w:rFonts w:ascii="Arial" w:hAnsi="Arial" w:cs="Arial"/>
                <w:b/>
                <w:bCs/>
                <w:sz w:val="20"/>
                <w:szCs w:val="20"/>
              </w:rPr>
            </w:pPr>
            <w:r w:rsidRPr="00144EB9">
              <w:rPr>
                <w:rFonts w:ascii="Arial" w:hAnsi="Arial" w:cs="Arial"/>
                <w:b/>
                <w:bCs/>
                <w:sz w:val="20"/>
                <w:szCs w:val="20"/>
              </w:rPr>
              <w:t>Subset</w:t>
            </w:r>
          </w:p>
        </w:tc>
        <w:tc>
          <w:tcPr>
            <w:tcW w:w="661" w:type="dxa"/>
            <w:tcBorders>
              <w:top w:val="single" w:sz="12" w:space="0" w:color="auto"/>
              <w:bottom w:val="single" w:sz="4" w:space="0" w:color="auto"/>
            </w:tcBorders>
            <w:vAlign w:val="center"/>
          </w:tcPr>
          <w:p w14:paraId="343BD75F" w14:textId="6B8A661D" w:rsidR="003248BB" w:rsidRPr="00565BEA" w:rsidRDefault="003248BB" w:rsidP="00C73839">
            <w:pPr>
              <w:jc w:val="center"/>
              <w:rPr>
                <w:rFonts w:ascii="Arial" w:hAnsi="Arial" w:cs="Arial"/>
                <w:b/>
                <w:bCs/>
                <w:sz w:val="20"/>
                <w:szCs w:val="20"/>
              </w:rPr>
            </w:pPr>
            <w:r>
              <w:rPr>
                <w:rFonts w:ascii="Arial" w:hAnsi="Arial" w:cs="Arial" w:hint="eastAsia"/>
                <w:b/>
                <w:bCs/>
                <w:sz w:val="20"/>
                <w:szCs w:val="20"/>
              </w:rPr>
              <w:t>n</w:t>
            </w:r>
          </w:p>
        </w:tc>
        <w:tc>
          <w:tcPr>
            <w:tcW w:w="898" w:type="dxa"/>
            <w:tcBorders>
              <w:top w:val="single" w:sz="12" w:space="0" w:color="auto"/>
              <w:bottom w:val="single" w:sz="4" w:space="0" w:color="auto"/>
            </w:tcBorders>
            <w:vAlign w:val="center"/>
          </w:tcPr>
          <w:p w14:paraId="7E9BD477" w14:textId="77777777" w:rsidR="003248BB" w:rsidRDefault="003248BB" w:rsidP="00C73839">
            <w:pPr>
              <w:jc w:val="center"/>
              <w:rPr>
                <w:rFonts w:ascii="Arial" w:hAnsi="Arial" w:cs="Arial"/>
                <w:b/>
                <w:bCs/>
                <w:sz w:val="20"/>
                <w:szCs w:val="20"/>
              </w:rPr>
            </w:pPr>
            <w:r w:rsidRPr="00565BEA">
              <w:rPr>
                <w:rFonts w:ascii="Arial" w:hAnsi="Arial" w:cs="Arial"/>
                <w:b/>
                <w:bCs/>
                <w:sz w:val="20"/>
                <w:szCs w:val="20"/>
              </w:rPr>
              <w:t>Mean</w:t>
            </w:r>
          </w:p>
          <w:p w14:paraId="13DD9082" w14:textId="2EE8A833" w:rsidR="003248BB" w:rsidRPr="00565BEA" w:rsidRDefault="003248BB" w:rsidP="00C73839">
            <w:pPr>
              <w:jc w:val="center"/>
              <w:rPr>
                <w:rFonts w:ascii="Arial" w:hAnsi="Arial" w:cs="Arial"/>
                <w:b/>
                <w:bCs/>
                <w:sz w:val="20"/>
                <w:szCs w:val="20"/>
              </w:rPr>
            </w:pPr>
            <w:r>
              <w:rPr>
                <w:rFonts w:ascii="Arial" w:hAnsi="Arial" w:cs="Arial" w:hint="eastAsia"/>
                <w:b/>
                <w:bCs/>
                <w:sz w:val="20"/>
                <w:szCs w:val="20"/>
              </w:rPr>
              <w:t>(ppbv)</w:t>
            </w:r>
          </w:p>
        </w:tc>
        <w:tc>
          <w:tcPr>
            <w:tcW w:w="980" w:type="dxa"/>
            <w:tcBorders>
              <w:top w:val="single" w:sz="12" w:space="0" w:color="auto"/>
              <w:bottom w:val="single" w:sz="4" w:space="0" w:color="auto"/>
            </w:tcBorders>
            <w:vAlign w:val="center"/>
          </w:tcPr>
          <w:p w14:paraId="0815A64C" w14:textId="77777777" w:rsidR="003248BB" w:rsidRDefault="003248BB" w:rsidP="00C73839">
            <w:pPr>
              <w:jc w:val="center"/>
              <w:rPr>
                <w:rFonts w:ascii="Arial" w:hAnsi="Arial" w:cs="Arial"/>
                <w:b/>
                <w:bCs/>
                <w:sz w:val="20"/>
                <w:szCs w:val="20"/>
                <w:lang w:val="en-SG"/>
              </w:rPr>
            </w:pPr>
            <w:r w:rsidRPr="00C73839">
              <w:rPr>
                <w:rFonts w:ascii="Arial" w:hAnsi="Arial" w:cs="Arial"/>
                <w:b/>
                <w:bCs/>
                <w:sz w:val="20"/>
                <w:szCs w:val="20"/>
                <w:lang w:val="en-SG"/>
              </w:rPr>
              <w:t>Median</w:t>
            </w:r>
          </w:p>
          <w:p w14:paraId="35FD7D81" w14:textId="295DA1D1" w:rsidR="003248BB" w:rsidRPr="00565BEA" w:rsidRDefault="003248BB" w:rsidP="00C73839">
            <w:pPr>
              <w:jc w:val="center"/>
              <w:rPr>
                <w:rFonts w:ascii="Arial" w:hAnsi="Arial" w:cs="Arial"/>
                <w:b/>
                <w:bCs/>
                <w:sz w:val="20"/>
                <w:szCs w:val="20"/>
              </w:rPr>
            </w:pPr>
            <w:r w:rsidRPr="00C73839">
              <w:rPr>
                <w:rFonts w:ascii="Arial" w:hAnsi="Arial" w:cs="Arial"/>
                <w:b/>
                <w:bCs/>
                <w:sz w:val="20"/>
                <w:szCs w:val="20"/>
                <w:lang w:val="en-SG"/>
              </w:rPr>
              <w:t>(ppbv)</w:t>
            </w:r>
          </w:p>
        </w:tc>
        <w:tc>
          <w:tcPr>
            <w:tcW w:w="1461" w:type="dxa"/>
            <w:tcBorders>
              <w:top w:val="single" w:sz="12" w:space="0" w:color="auto"/>
              <w:bottom w:val="single" w:sz="4" w:space="0" w:color="auto"/>
            </w:tcBorders>
            <w:vAlign w:val="center"/>
          </w:tcPr>
          <w:p w14:paraId="084D4DF4" w14:textId="7B5010EB" w:rsidR="003248BB" w:rsidRPr="00565BEA" w:rsidRDefault="003248BB" w:rsidP="00C73839">
            <w:pPr>
              <w:jc w:val="center"/>
              <w:rPr>
                <w:rFonts w:ascii="Arial" w:hAnsi="Arial" w:cs="Arial"/>
                <w:b/>
                <w:bCs/>
                <w:sz w:val="20"/>
                <w:szCs w:val="20"/>
              </w:rPr>
            </w:pPr>
            <w:r w:rsidRPr="00C73839">
              <w:rPr>
                <w:rFonts w:ascii="Arial" w:hAnsi="Arial" w:cs="Arial"/>
                <w:b/>
                <w:bCs/>
                <w:sz w:val="20"/>
                <w:szCs w:val="20"/>
                <w:lang w:val="en-SG"/>
              </w:rPr>
              <w:t>Positive (%)</w:t>
            </w:r>
          </w:p>
        </w:tc>
        <w:tc>
          <w:tcPr>
            <w:tcW w:w="834" w:type="dxa"/>
            <w:tcBorders>
              <w:top w:val="single" w:sz="12" w:space="0" w:color="auto"/>
              <w:bottom w:val="single" w:sz="4" w:space="0" w:color="auto"/>
            </w:tcBorders>
            <w:vAlign w:val="center"/>
          </w:tcPr>
          <w:p w14:paraId="42AAB904" w14:textId="1C1A7C8C" w:rsidR="003248BB" w:rsidRPr="00565BEA" w:rsidRDefault="003248BB" w:rsidP="00C73839">
            <w:pPr>
              <w:jc w:val="center"/>
              <w:rPr>
                <w:rFonts w:ascii="Arial" w:hAnsi="Arial" w:cs="Arial"/>
                <w:b/>
                <w:bCs/>
                <w:sz w:val="20"/>
                <w:szCs w:val="20"/>
              </w:rPr>
            </w:pPr>
            <w:r>
              <w:rPr>
                <w:rFonts w:ascii="Arial" w:hAnsi="Arial" w:cs="Arial" w:hint="eastAsia"/>
                <w:b/>
                <w:bCs/>
                <w:sz w:val="20"/>
                <w:szCs w:val="20"/>
              </w:rPr>
              <w:t>Min</w:t>
            </w:r>
          </w:p>
        </w:tc>
        <w:tc>
          <w:tcPr>
            <w:tcW w:w="834" w:type="dxa"/>
            <w:tcBorders>
              <w:top w:val="single" w:sz="12" w:space="0" w:color="auto"/>
              <w:bottom w:val="single" w:sz="4" w:space="0" w:color="auto"/>
            </w:tcBorders>
            <w:vAlign w:val="center"/>
          </w:tcPr>
          <w:p w14:paraId="03D43F2D" w14:textId="2C9771FE" w:rsidR="003248BB" w:rsidRPr="00565BEA" w:rsidRDefault="003248BB" w:rsidP="00C73839">
            <w:pPr>
              <w:jc w:val="center"/>
              <w:rPr>
                <w:rFonts w:ascii="Arial" w:hAnsi="Arial" w:cs="Arial"/>
                <w:b/>
                <w:bCs/>
                <w:sz w:val="20"/>
                <w:szCs w:val="20"/>
              </w:rPr>
            </w:pPr>
            <w:r>
              <w:rPr>
                <w:rFonts w:ascii="Arial" w:hAnsi="Arial" w:cs="Arial" w:hint="eastAsia"/>
                <w:b/>
                <w:bCs/>
                <w:sz w:val="20"/>
                <w:szCs w:val="20"/>
              </w:rPr>
              <w:t>Max</w:t>
            </w:r>
          </w:p>
        </w:tc>
      </w:tr>
      <w:tr w:rsidR="003248BB" w:rsidRPr="00565BEA" w14:paraId="372F942E" w14:textId="0088556D" w:rsidTr="003248BB">
        <w:trPr>
          <w:trHeight w:val="930"/>
        </w:trPr>
        <w:tc>
          <w:tcPr>
            <w:tcW w:w="2127" w:type="dxa"/>
            <w:tcBorders>
              <w:top w:val="single" w:sz="4" w:space="0" w:color="auto"/>
            </w:tcBorders>
            <w:vAlign w:val="center"/>
          </w:tcPr>
          <w:p w14:paraId="58B5B5BF" w14:textId="2A67D710"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Full period, TCCON-retrieval hours</w:t>
            </w:r>
          </w:p>
        </w:tc>
        <w:tc>
          <w:tcPr>
            <w:tcW w:w="661" w:type="dxa"/>
            <w:tcBorders>
              <w:top w:val="single" w:sz="4" w:space="0" w:color="auto"/>
            </w:tcBorders>
            <w:vAlign w:val="center"/>
          </w:tcPr>
          <w:p w14:paraId="4E0A4324" w14:textId="5AC32617" w:rsidR="003248BB" w:rsidRPr="00565BEA" w:rsidRDefault="003248BB" w:rsidP="00E32FCB">
            <w:pPr>
              <w:jc w:val="center"/>
              <w:rPr>
                <w:rFonts w:ascii="Arial" w:hAnsi="Arial" w:cs="Arial"/>
                <w:sz w:val="20"/>
                <w:szCs w:val="20"/>
              </w:rPr>
            </w:pPr>
            <w:r>
              <w:rPr>
                <w:rFonts w:ascii="Arial" w:hAnsi="Arial" w:cs="Arial" w:hint="eastAsia"/>
                <w:sz w:val="20"/>
                <w:szCs w:val="20"/>
              </w:rPr>
              <w:t>316</w:t>
            </w:r>
          </w:p>
        </w:tc>
        <w:tc>
          <w:tcPr>
            <w:tcW w:w="898" w:type="dxa"/>
            <w:tcBorders>
              <w:top w:val="single" w:sz="4" w:space="0" w:color="auto"/>
            </w:tcBorders>
            <w:vAlign w:val="center"/>
          </w:tcPr>
          <w:p w14:paraId="7EDA4F66" w14:textId="3F3D4E02" w:rsidR="003248BB" w:rsidRPr="00565BEA" w:rsidRDefault="003248BB" w:rsidP="00D47BD8">
            <w:pPr>
              <w:jc w:val="center"/>
              <w:rPr>
                <w:rFonts w:ascii="Arial" w:hAnsi="Arial" w:cs="Arial"/>
                <w:sz w:val="20"/>
                <w:szCs w:val="20"/>
              </w:rPr>
            </w:pPr>
            <w:r w:rsidRPr="00C73839">
              <w:rPr>
                <w:rFonts w:ascii="Arial" w:hAnsi="Arial" w:cs="Arial"/>
                <w:sz w:val="20"/>
                <w:szCs w:val="20"/>
              </w:rPr>
              <w:t>−0.81</w:t>
            </w:r>
          </w:p>
        </w:tc>
        <w:tc>
          <w:tcPr>
            <w:tcW w:w="980" w:type="dxa"/>
            <w:tcBorders>
              <w:top w:val="single" w:sz="4" w:space="0" w:color="auto"/>
            </w:tcBorders>
            <w:vAlign w:val="center"/>
          </w:tcPr>
          <w:p w14:paraId="1824F6DD" w14:textId="0E886B61" w:rsidR="003248BB" w:rsidRPr="00565BEA" w:rsidRDefault="003248BB" w:rsidP="001855B4">
            <w:pPr>
              <w:jc w:val="center"/>
              <w:rPr>
                <w:rFonts w:ascii="Arial" w:hAnsi="Arial" w:cs="Arial"/>
                <w:sz w:val="20"/>
                <w:szCs w:val="20"/>
              </w:rPr>
            </w:pPr>
            <w:r w:rsidRPr="00C73839">
              <w:rPr>
                <w:rFonts w:ascii="Arial" w:hAnsi="Arial" w:cs="Arial"/>
                <w:sz w:val="20"/>
                <w:szCs w:val="20"/>
                <w:lang w:val="en-SG"/>
              </w:rPr>
              <w:t>+0.48</w:t>
            </w:r>
          </w:p>
        </w:tc>
        <w:tc>
          <w:tcPr>
            <w:tcW w:w="1461" w:type="dxa"/>
            <w:tcBorders>
              <w:top w:val="single" w:sz="4" w:space="0" w:color="auto"/>
            </w:tcBorders>
            <w:vAlign w:val="center"/>
          </w:tcPr>
          <w:p w14:paraId="148E6E71" w14:textId="7AFC97A6" w:rsidR="003248BB" w:rsidRPr="00565BEA" w:rsidRDefault="003248BB" w:rsidP="00DE2140">
            <w:pPr>
              <w:jc w:val="center"/>
              <w:rPr>
                <w:rFonts w:ascii="Arial" w:hAnsi="Arial" w:cs="Arial"/>
                <w:sz w:val="20"/>
                <w:szCs w:val="20"/>
              </w:rPr>
            </w:pPr>
            <w:r>
              <w:rPr>
                <w:rFonts w:ascii="Arial" w:hAnsi="Arial" w:cs="Arial" w:hint="eastAsia"/>
                <w:sz w:val="20"/>
                <w:szCs w:val="20"/>
              </w:rPr>
              <w:t>55.1</w:t>
            </w:r>
          </w:p>
        </w:tc>
        <w:tc>
          <w:tcPr>
            <w:tcW w:w="834" w:type="dxa"/>
            <w:tcBorders>
              <w:top w:val="single" w:sz="4" w:space="0" w:color="auto"/>
            </w:tcBorders>
            <w:vAlign w:val="center"/>
          </w:tcPr>
          <w:p w14:paraId="60439052" w14:textId="353BC7ED"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−55.1</w:t>
            </w:r>
          </w:p>
        </w:tc>
        <w:tc>
          <w:tcPr>
            <w:tcW w:w="834" w:type="dxa"/>
            <w:tcBorders>
              <w:top w:val="single" w:sz="4" w:space="0" w:color="auto"/>
            </w:tcBorders>
            <w:vAlign w:val="center"/>
          </w:tcPr>
          <w:p w14:paraId="0941F34B" w14:textId="4AB76CAA" w:rsidR="003248BB" w:rsidRPr="00565BEA" w:rsidRDefault="003248BB" w:rsidP="00965D8E">
            <w:pPr>
              <w:jc w:val="center"/>
              <w:rPr>
                <w:rFonts w:ascii="Arial" w:hAnsi="Arial" w:cs="Arial"/>
                <w:sz w:val="20"/>
                <w:szCs w:val="20"/>
              </w:rPr>
            </w:pPr>
            <w:r w:rsidRPr="00C73839">
              <w:rPr>
                <w:rFonts w:ascii="Arial" w:hAnsi="Arial" w:cs="Arial"/>
                <w:sz w:val="20"/>
                <w:szCs w:val="20"/>
                <w:lang w:val="en-SG"/>
              </w:rPr>
              <w:t>+39.0</w:t>
            </w:r>
          </w:p>
        </w:tc>
      </w:tr>
      <w:tr w:rsidR="003248BB" w:rsidRPr="00565BEA" w14:paraId="1428140A" w14:textId="6C626B05" w:rsidTr="003248BB">
        <w:trPr>
          <w:trHeight w:val="680"/>
        </w:trPr>
        <w:tc>
          <w:tcPr>
            <w:tcW w:w="2127" w:type="dxa"/>
            <w:vAlign w:val="center"/>
          </w:tcPr>
          <w:p w14:paraId="0681F28F" w14:textId="59E3A1D5"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Full period, daytime UTC (00-09)</w:t>
            </w:r>
          </w:p>
        </w:tc>
        <w:tc>
          <w:tcPr>
            <w:tcW w:w="661" w:type="dxa"/>
            <w:vAlign w:val="center"/>
          </w:tcPr>
          <w:p w14:paraId="42430009" w14:textId="0C9AAD62" w:rsidR="003248BB" w:rsidRPr="00565BEA" w:rsidRDefault="003248BB" w:rsidP="00C73839">
            <w:pPr>
              <w:jc w:val="center"/>
              <w:rPr>
                <w:rFonts w:ascii="Arial" w:hAnsi="Arial" w:cs="Arial"/>
                <w:sz w:val="20"/>
                <w:szCs w:val="20"/>
              </w:rPr>
            </w:pPr>
            <w:r>
              <w:rPr>
                <w:rFonts w:ascii="Arial" w:hAnsi="Arial" w:cs="Arial" w:hint="eastAsia"/>
                <w:sz w:val="20"/>
                <w:szCs w:val="20"/>
              </w:rPr>
              <w:t>295</w:t>
            </w:r>
          </w:p>
        </w:tc>
        <w:tc>
          <w:tcPr>
            <w:tcW w:w="898" w:type="dxa"/>
            <w:vAlign w:val="center"/>
          </w:tcPr>
          <w:p w14:paraId="096C1F14" w14:textId="128E45B3"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−0.84</w:t>
            </w:r>
          </w:p>
        </w:tc>
        <w:tc>
          <w:tcPr>
            <w:tcW w:w="980" w:type="dxa"/>
            <w:vAlign w:val="center"/>
          </w:tcPr>
          <w:p w14:paraId="13F0FDE9" w14:textId="13D65466"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+0.52</w:t>
            </w:r>
          </w:p>
        </w:tc>
        <w:tc>
          <w:tcPr>
            <w:tcW w:w="1461" w:type="dxa"/>
            <w:vAlign w:val="center"/>
          </w:tcPr>
          <w:p w14:paraId="54F69E69" w14:textId="486713D0" w:rsidR="003248BB" w:rsidRPr="00565BEA" w:rsidRDefault="003248BB" w:rsidP="00C73839">
            <w:pPr>
              <w:jc w:val="center"/>
              <w:rPr>
                <w:rFonts w:ascii="Arial" w:hAnsi="Arial" w:cs="Arial"/>
                <w:sz w:val="20"/>
                <w:szCs w:val="20"/>
              </w:rPr>
            </w:pPr>
            <w:r>
              <w:rPr>
                <w:rFonts w:ascii="Arial" w:hAnsi="Arial" w:cs="Arial" w:hint="eastAsia"/>
                <w:sz w:val="20"/>
                <w:szCs w:val="20"/>
              </w:rPr>
              <w:t>55.6</w:t>
            </w:r>
          </w:p>
        </w:tc>
        <w:tc>
          <w:tcPr>
            <w:tcW w:w="834" w:type="dxa"/>
            <w:vAlign w:val="center"/>
          </w:tcPr>
          <w:p w14:paraId="141EF0B0" w14:textId="57F8150B"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−55.1</w:t>
            </w:r>
          </w:p>
        </w:tc>
        <w:tc>
          <w:tcPr>
            <w:tcW w:w="834" w:type="dxa"/>
            <w:vAlign w:val="center"/>
          </w:tcPr>
          <w:p w14:paraId="16B095E1" w14:textId="7DC4DEAF"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+39.0</w:t>
            </w:r>
          </w:p>
        </w:tc>
      </w:tr>
      <w:tr w:rsidR="003248BB" w:rsidRPr="00565BEA" w14:paraId="67FF8936" w14:textId="6CE36FD9" w:rsidTr="003248BB">
        <w:trPr>
          <w:trHeight w:val="680"/>
        </w:trPr>
        <w:tc>
          <w:tcPr>
            <w:tcW w:w="2127" w:type="dxa"/>
            <w:vAlign w:val="center"/>
          </w:tcPr>
          <w:p w14:paraId="6057E817" w14:textId="53CBF424" w:rsidR="003248BB" w:rsidRPr="00565BEA" w:rsidRDefault="003248BB" w:rsidP="00C73839">
            <w:pPr>
              <w:jc w:val="center"/>
              <w:rPr>
                <w:rFonts w:ascii="Arial" w:hAnsi="Arial" w:cs="Arial"/>
                <w:sz w:val="20"/>
                <w:szCs w:val="20"/>
                <w:lang w:val="en-SG"/>
              </w:rPr>
            </w:pPr>
            <w:r w:rsidRPr="00C73839">
              <w:rPr>
                <w:rFonts w:ascii="Arial" w:hAnsi="Arial" w:cs="Arial"/>
                <w:sz w:val="20"/>
                <w:szCs w:val="20"/>
                <w:lang w:val="en-SG"/>
              </w:rPr>
              <w:t>August only, all integer hours</w:t>
            </w:r>
          </w:p>
        </w:tc>
        <w:tc>
          <w:tcPr>
            <w:tcW w:w="661" w:type="dxa"/>
            <w:vAlign w:val="center"/>
          </w:tcPr>
          <w:p w14:paraId="276F9F23" w14:textId="1259611A" w:rsidR="003248BB" w:rsidRPr="00565BEA" w:rsidRDefault="003248BB" w:rsidP="00C73839">
            <w:pPr>
              <w:jc w:val="center"/>
              <w:rPr>
                <w:rFonts w:ascii="Arial" w:hAnsi="Arial" w:cs="Arial"/>
                <w:sz w:val="20"/>
                <w:szCs w:val="20"/>
              </w:rPr>
            </w:pPr>
            <w:r>
              <w:rPr>
                <w:rFonts w:ascii="Arial" w:hAnsi="Arial" w:cs="Arial" w:hint="eastAsia"/>
                <w:sz w:val="20"/>
                <w:szCs w:val="20"/>
              </w:rPr>
              <w:t>134</w:t>
            </w:r>
          </w:p>
        </w:tc>
        <w:tc>
          <w:tcPr>
            <w:tcW w:w="898" w:type="dxa"/>
            <w:vAlign w:val="center"/>
          </w:tcPr>
          <w:p w14:paraId="1C4F362C" w14:textId="40865CCC"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−1.32</w:t>
            </w:r>
          </w:p>
        </w:tc>
        <w:tc>
          <w:tcPr>
            <w:tcW w:w="980" w:type="dxa"/>
            <w:vAlign w:val="center"/>
          </w:tcPr>
          <w:p w14:paraId="25DDEE2F" w14:textId="1878C341"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+0.</w:t>
            </w:r>
            <w:r>
              <w:rPr>
                <w:rFonts w:ascii="Arial" w:hAnsi="Arial" w:cs="Arial" w:hint="eastAsia"/>
                <w:sz w:val="20"/>
                <w:szCs w:val="20"/>
                <w:lang w:val="en-SG"/>
              </w:rPr>
              <w:t>10</w:t>
            </w:r>
          </w:p>
        </w:tc>
        <w:tc>
          <w:tcPr>
            <w:tcW w:w="1461" w:type="dxa"/>
            <w:vAlign w:val="center"/>
          </w:tcPr>
          <w:p w14:paraId="6AC022AF" w14:textId="517D09B9" w:rsidR="003248BB" w:rsidRPr="00565BEA" w:rsidRDefault="003248BB" w:rsidP="00C73839">
            <w:pPr>
              <w:jc w:val="center"/>
              <w:rPr>
                <w:rFonts w:ascii="Arial" w:hAnsi="Arial" w:cs="Arial"/>
                <w:sz w:val="20"/>
                <w:szCs w:val="20"/>
              </w:rPr>
            </w:pPr>
            <w:r>
              <w:rPr>
                <w:rFonts w:ascii="Arial" w:hAnsi="Arial" w:cs="Arial" w:hint="eastAsia"/>
                <w:sz w:val="20"/>
                <w:szCs w:val="20"/>
              </w:rPr>
              <w:t>52.2</w:t>
            </w:r>
          </w:p>
        </w:tc>
        <w:tc>
          <w:tcPr>
            <w:tcW w:w="834" w:type="dxa"/>
            <w:vAlign w:val="center"/>
          </w:tcPr>
          <w:p w14:paraId="2B04097A" w14:textId="4B562F65"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−5</w:t>
            </w:r>
            <w:r>
              <w:rPr>
                <w:rFonts w:ascii="Arial" w:hAnsi="Arial" w:cs="Arial" w:hint="eastAsia"/>
                <w:sz w:val="20"/>
                <w:szCs w:val="20"/>
                <w:lang w:val="en-SG"/>
              </w:rPr>
              <w:t>3</w:t>
            </w:r>
            <w:r w:rsidRPr="00C73839">
              <w:rPr>
                <w:rFonts w:ascii="Arial" w:hAnsi="Arial" w:cs="Arial"/>
                <w:sz w:val="20"/>
                <w:szCs w:val="20"/>
                <w:lang w:val="en-SG"/>
              </w:rPr>
              <w:t>.</w:t>
            </w:r>
            <w:r>
              <w:rPr>
                <w:rFonts w:ascii="Arial" w:hAnsi="Arial" w:cs="Arial" w:hint="eastAsia"/>
                <w:sz w:val="20"/>
                <w:szCs w:val="20"/>
                <w:lang w:val="en-SG"/>
              </w:rPr>
              <w:t>5</w:t>
            </w:r>
          </w:p>
        </w:tc>
        <w:tc>
          <w:tcPr>
            <w:tcW w:w="834" w:type="dxa"/>
            <w:vAlign w:val="center"/>
          </w:tcPr>
          <w:p w14:paraId="6C46D1F6" w14:textId="525F5F82"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w:t>
            </w:r>
            <w:r>
              <w:rPr>
                <w:rFonts w:ascii="Arial" w:hAnsi="Arial" w:cs="Arial" w:hint="eastAsia"/>
                <w:sz w:val="20"/>
                <w:szCs w:val="20"/>
                <w:lang w:val="en-SG"/>
              </w:rPr>
              <w:t>29.2</w:t>
            </w:r>
          </w:p>
        </w:tc>
      </w:tr>
      <w:tr w:rsidR="003248BB" w:rsidRPr="00565BEA" w14:paraId="6D0D27C2" w14:textId="192BCF15" w:rsidTr="003248BB">
        <w:trPr>
          <w:trHeight w:val="460"/>
        </w:trPr>
        <w:tc>
          <w:tcPr>
            <w:tcW w:w="2127" w:type="dxa"/>
            <w:vAlign w:val="center"/>
          </w:tcPr>
          <w:p w14:paraId="77D7AB67" w14:textId="7378ADE1"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August only, daytime UTC</w:t>
            </w:r>
          </w:p>
        </w:tc>
        <w:tc>
          <w:tcPr>
            <w:tcW w:w="661" w:type="dxa"/>
            <w:vAlign w:val="center"/>
          </w:tcPr>
          <w:p w14:paraId="27D79837" w14:textId="60EC4FA9" w:rsidR="003248BB" w:rsidRPr="00565BEA" w:rsidRDefault="003248BB" w:rsidP="00C73839">
            <w:pPr>
              <w:jc w:val="center"/>
              <w:rPr>
                <w:rFonts w:ascii="Arial" w:hAnsi="Arial" w:cs="Arial"/>
                <w:sz w:val="20"/>
                <w:szCs w:val="20"/>
              </w:rPr>
            </w:pPr>
            <w:r>
              <w:rPr>
                <w:rFonts w:ascii="Arial" w:hAnsi="Arial" w:cs="Arial" w:hint="eastAsia"/>
                <w:sz w:val="20"/>
                <w:szCs w:val="20"/>
              </w:rPr>
              <w:t>124</w:t>
            </w:r>
          </w:p>
        </w:tc>
        <w:tc>
          <w:tcPr>
            <w:tcW w:w="898" w:type="dxa"/>
            <w:vAlign w:val="center"/>
          </w:tcPr>
          <w:p w14:paraId="6937BC96" w14:textId="75F54348"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−1.52</w:t>
            </w:r>
          </w:p>
        </w:tc>
        <w:tc>
          <w:tcPr>
            <w:tcW w:w="980" w:type="dxa"/>
            <w:vAlign w:val="center"/>
          </w:tcPr>
          <w:p w14:paraId="1A4AC08E" w14:textId="0B55CF51" w:rsidR="003248BB" w:rsidRPr="00565BEA" w:rsidRDefault="003248BB" w:rsidP="00C73839">
            <w:pPr>
              <w:jc w:val="center"/>
              <w:rPr>
                <w:rFonts w:ascii="Arial" w:hAnsi="Arial" w:cs="Arial"/>
                <w:sz w:val="20"/>
                <w:szCs w:val="20"/>
              </w:rPr>
            </w:pPr>
            <w:r w:rsidRPr="003248BB">
              <w:rPr>
                <w:rFonts w:ascii="Arial" w:hAnsi="Arial" w:cs="Arial"/>
                <w:sz w:val="20"/>
                <w:szCs w:val="20"/>
                <w:lang w:val="en-SG"/>
              </w:rPr>
              <w:t>+0.08</w:t>
            </w:r>
          </w:p>
        </w:tc>
        <w:tc>
          <w:tcPr>
            <w:tcW w:w="1461" w:type="dxa"/>
            <w:vAlign w:val="center"/>
          </w:tcPr>
          <w:p w14:paraId="53227C73" w14:textId="4C7F0326" w:rsidR="003248BB" w:rsidRPr="00565BEA" w:rsidRDefault="003248BB" w:rsidP="00C73839">
            <w:pPr>
              <w:jc w:val="center"/>
              <w:rPr>
                <w:rFonts w:ascii="Arial" w:hAnsi="Arial" w:cs="Arial"/>
                <w:sz w:val="20"/>
                <w:szCs w:val="20"/>
              </w:rPr>
            </w:pPr>
            <w:r>
              <w:rPr>
                <w:rFonts w:ascii="Arial" w:hAnsi="Arial" w:cs="Arial" w:hint="eastAsia"/>
                <w:sz w:val="20"/>
                <w:szCs w:val="20"/>
              </w:rPr>
              <w:t>51.6</w:t>
            </w:r>
          </w:p>
        </w:tc>
        <w:tc>
          <w:tcPr>
            <w:tcW w:w="834" w:type="dxa"/>
            <w:vAlign w:val="center"/>
          </w:tcPr>
          <w:p w14:paraId="462C7257" w14:textId="0697A70E"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w:t>
            </w:r>
            <w:r>
              <w:rPr>
                <w:rFonts w:ascii="Arial" w:hAnsi="Arial" w:cs="Arial" w:hint="eastAsia"/>
                <w:sz w:val="20"/>
                <w:szCs w:val="20"/>
                <w:lang w:val="en-SG"/>
              </w:rPr>
              <w:t>53.5</w:t>
            </w:r>
          </w:p>
        </w:tc>
        <w:tc>
          <w:tcPr>
            <w:tcW w:w="834" w:type="dxa"/>
            <w:vAlign w:val="center"/>
          </w:tcPr>
          <w:p w14:paraId="40B41253" w14:textId="223A19E9"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w:t>
            </w:r>
            <w:r>
              <w:rPr>
                <w:rFonts w:ascii="Arial" w:hAnsi="Arial" w:cs="Arial" w:hint="eastAsia"/>
                <w:sz w:val="20"/>
                <w:szCs w:val="20"/>
                <w:lang w:val="en-SG"/>
              </w:rPr>
              <w:t>29.2</w:t>
            </w:r>
          </w:p>
        </w:tc>
      </w:tr>
      <w:tr w:rsidR="003248BB" w:rsidRPr="00565BEA" w14:paraId="269168ED" w14:textId="132590F6" w:rsidTr="003248BB">
        <w:trPr>
          <w:trHeight w:val="460"/>
        </w:trPr>
        <w:tc>
          <w:tcPr>
            <w:tcW w:w="2127" w:type="dxa"/>
            <w:vAlign w:val="center"/>
          </w:tcPr>
          <w:p w14:paraId="37548C37" w14:textId="32DD8732"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Peak-event hours only</w:t>
            </w:r>
          </w:p>
        </w:tc>
        <w:tc>
          <w:tcPr>
            <w:tcW w:w="661" w:type="dxa"/>
            <w:vAlign w:val="center"/>
          </w:tcPr>
          <w:p w14:paraId="4193FC36" w14:textId="515B18D5" w:rsidR="003248BB" w:rsidRPr="00565BEA" w:rsidRDefault="003248BB" w:rsidP="00C73839">
            <w:pPr>
              <w:jc w:val="center"/>
              <w:rPr>
                <w:rFonts w:ascii="Arial" w:hAnsi="Arial" w:cs="Arial"/>
                <w:sz w:val="20"/>
                <w:szCs w:val="20"/>
              </w:rPr>
            </w:pPr>
            <w:r>
              <w:rPr>
                <w:rFonts w:ascii="Arial" w:hAnsi="Arial" w:cs="Arial" w:hint="eastAsia"/>
                <w:sz w:val="20"/>
                <w:szCs w:val="20"/>
              </w:rPr>
              <w:t>10</w:t>
            </w:r>
          </w:p>
        </w:tc>
        <w:tc>
          <w:tcPr>
            <w:tcW w:w="898" w:type="dxa"/>
            <w:vAlign w:val="center"/>
          </w:tcPr>
          <w:p w14:paraId="507D5A83" w14:textId="67667FD7"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−5.11</w:t>
            </w:r>
          </w:p>
        </w:tc>
        <w:tc>
          <w:tcPr>
            <w:tcW w:w="980" w:type="dxa"/>
            <w:vAlign w:val="center"/>
          </w:tcPr>
          <w:p w14:paraId="74062569" w14:textId="7FA7F832" w:rsidR="003248BB" w:rsidRPr="00565BEA" w:rsidRDefault="003248BB" w:rsidP="00C73839">
            <w:pPr>
              <w:jc w:val="center"/>
              <w:rPr>
                <w:rFonts w:ascii="Arial" w:hAnsi="Arial" w:cs="Arial"/>
                <w:sz w:val="20"/>
                <w:szCs w:val="20"/>
              </w:rPr>
            </w:pPr>
            <w:r w:rsidRPr="003248BB">
              <w:rPr>
                <w:rFonts w:ascii="Arial" w:hAnsi="Arial" w:cs="Arial"/>
                <w:sz w:val="20"/>
                <w:szCs w:val="20"/>
                <w:lang w:val="en-SG"/>
              </w:rPr>
              <w:t>−7.57</w:t>
            </w:r>
          </w:p>
        </w:tc>
        <w:tc>
          <w:tcPr>
            <w:tcW w:w="1461" w:type="dxa"/>
            <w:vAlign w:val="center"/>
          </w:tcPr>
          <w:p w14:paraId="71DC2C03" w14:textId="5507886C" w:rsidR="003248BB" w:rsidRPr="00565BEA" w:rsidRDefault="003248BB" w:rsidP="00C73839">
            <w:pPr>
              <w:jc w:val="center"/>
              <w:rPr>
                <w:rFonts w:ascii="Arial" w:hAnsi="Arial" w:cs="Arial"/>
                <w:sz w:val="20"/>
                <w:szCs w:val="20"/>
              </w:rPr>
            </w:pPr>
            <w:r w:rsidRPr="00C73839">
              <w:rPr>
                <w:rFonts w:ascii="Arial" w:hAnsi="Arial" w:cs="Arial"/>
                <w:sz w:val="20"/>
                <w:szCs w:val="20"/>
              </w:rPr>
              <w:t>40.0</w:t>
            </w:r>
          </w:p>
        </w:tc>
        <w:tc>
          <w:tcPr>
            <w:tcW w:w="834" w:type="dxa"/>
            <w:vAlign w:val="center"/>
          </w:tcPr>
          <w:p w14:paraId="16607403" w14:textId="2B33E6FB"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w:t>
            </w:r>
            <w:r>
              <w:rPr>
                <w:rFonts w:ascii="Arial" w:hAnsi="Arial" w:cs="Arial" w:hint="eastAsia"/>
                <w:sz w:val="20"/>
                <w:szCs w:val="20"/>
                <w:lang w:val="en-SG"/>
              </w:rPr>
              <w:t>27.6</w:t>
            </w:r>
          </w:p>
        </w:tc>
        <w:tc>
          <w:tcPr>
            <w:tcW w:w="834" w:type="dxa"/>
            <w:vAlign w:val="center"/>
          </w:tcPr>
          <w:p w14:paraId="2336E15F" w14:textId="013A4A4B" w:rsidR="003248BB" w:rsidRPr="00565BEA" w:rsidRDefault="003248BB" w:rsidP="00C73839">
            <w:pPr>
              <w:jc w:val="center"/>
              <w:rPr>
                <w:rFonts w:ascii="Arial" w:hAnsi="Arial" w:cs="Arial"/>
                <w:sz w:val="20"/>
                <w:szCs w:val="20"/>
              </w:rPr>
            </w:pPr>
            <w:r w:rsidRPr="00C73839">
              <w:rPr>
                <w:rFonts w:ascii="Arial" w:hAnsi="Arial" w:cs="Arial"/>
                <w:sz w:val="20"/>
                <w:szCs w:val="20"/>
                <w:lang w:val="en-SG"/>
              </w:rPr>
              <w:t>+</w:t>
            </w:r>
            <w:r>
              <w:rPr>
                <w:rFonts w:ascii="Arial" w:hAnsi="Arial" w:cs="Arial" w:hint="eastAsia"/>
                <w:sz w:val="20"/>
                <w:szCs w:val="20"/>
                <w:lang w:val="en-SG"/>
              </w:rPr>
              <w:t>29.2</w:t>
            </w:r>
          </w:p>
        </w:tc>
      </w:tr>
    </w:tbl>
    <w:p w14:paraId="58565D0A" w14:textId="77777777" w:rsidR="000C3308" w:rsidRPr="007D0D89" w:rsidRDefault="000C3308" w:rsidP="000C3308">
      <w:pPr>
        <w:rPr>
          <w:lang w:val="en-US"/>
        </w:rPr>
      </w:pPr>
    </w:p>
    <w:p w14:paraId="6C3090E4" w14:textId="77777777" w:rsidR="00BD3673" w:rsidRPr="00375C23" w:rsidRDefault="00BD3673" w:rsidP="00E9585B">
      <w:pPr>
        <w:outlineLvl w:val="0"/>
        <w:rPr>
          <w:rFonts w:ascii="Arial" w:hAnsi="Arial" w:cs="Arial"/>
        </w:rPr>
      </w:pPr>
      <w:bookmarkStart w:id="12" w:name="OLE_LINK327"/>
      <w:bookmarkStart w:id="13" w:name="OLE_LINK328"/>
      <w:r w:rsidRPr="00375C23">
        <w:rPr>
          <w:rFonts w:ascii="Arial" w:hAnsi="Arial" w:cs="Arial"/>
          <w:b/>
          <w:color w:val="000000"/>
        </w:rPr>
        <w:t>Supplementary References</w:t>
      </w:r>
    </w:p>
    <w:p w14:paraId="682846CA" w14:textId="77777777" w:rsidR="00BD3673" w:rsidRPr="00BD3673" w:rsidRDefault="00BD3673" w:rsidP="00BD3673">
      <w:pPr>
        <w:rPr>
          <w:lang w:val="en-GB"/>
        </w:rPr>
      </w:pPr>
    </w:p>
    <w:bookmarkEnd w:id="12"/>
    <w:bookmarkEnd w:id="13"/>
    <w:p w14:paraId="5ACD5D50" w14:textId="1D9752BA" w:rsidR="00AA0699" w:rsidRPr="00D45388" w:rsidRDefault="007271C9" w:rsidP="00AA0699">
      <w:pPr>
        <w:widowControl w:val="0"/>
        <w:autoSpaceDE w:val="0"/>
        <w:autoSpaceDN w:val="0"/>
        <w:adjustRightInd w:val="0"/>
        <w:spacing w:line="276" w:lineRule="auto"/>
        <w:ind w:left="442" w:hanging="442"/>
        <w:rPr>
          <w:rFonts w:ascii="Arial" w:eastAsia="仿宋" w:hAnsi="Arial" w:cs="Arial"/>
          <w:color w:val="000000"/>
          <w:sz w:val="20"/>
          <w:szCs w:val="20"/>
          <w:lang w:val="en-US"/>
        </w:rPr>
      </w:pPr>
      <w:r>
        <w:rPr>
          <w:rFonts w:ascii="Arial" w:eastAsia="仿宋" w:hAnsi="Arial" w:cs="Arial"/>
          <w:color w:val="000000"/>
          <w:sz w:val="20"/>
          <w:szCs w:val="20"/>
          <w:lang w:val="en-US"/>
        </w:rPr>
        <w:t>1</w:t>
      </w:r>
      <w:r w:rsidR="005B0C4A" w:rsidRPr="00375C23">
        <w:rPr>
          <w:rFonts w:ascii="Arial" w:eastAsia="仿宋" w:hAnsi="Arial" w:cs="Arial"/>
          <w:color w:val="000000"/>
          <w:sz w:val="20"/>
          <w:szCs w:val="20"/>
          <w:lang w:val="en-US"/>
        </w:rPr>
        <w:tab/>
      </w:r>
      <w:r w:rsidR="0045032F" w:rsidRPr="0045032F">
        <w:rPr>
          <w:rFonts w:ascii="Arial" w:eastAsia="仿宋" w:hAnsi="Arial" w:cs="Arial"/>
          <w:color w:val="000000"/>
          <w:sz w:val="20"/>
          <w:szCs w:val="20"/>
          <w:lang w:val="en-US"/>
        </w:rPr>
        <w:t xml:space="preserve">Parrish DF, Derber JC. The National Meteorological Center’s spectral statistical-interpolation analysis system. </w:t>
      </w:r>
      <w:r w:rsidR="0045032F" w:rsidRPr="0045032F">
        <w:rPr>
          <w:rFonts w:ascii="Arial" w:eastAsia="仿宋" w:hAnsi="Arial" w:cs="Arial"/>
          <w:i/>
          <w:iCs/>
          <w:color w:val="000000"/>
          <w:sz w:val="20"/>
          <w:szCs w:val="20"/>
          <w:lang w:val="en-US"/>
        </w:rPr>
        <w:t>Mon Wea Rev</w:t>
      </w:r>
      <w:r w:rsidR="0045032F" w:rsidRPr="0045032F">
        <w:rPr>
          <w:rFonts w:ascii="Arial" w:eastAsia="仿宋" w:hAnsi="Arial" w:cs="Arial"/>
          <w:color w:val="000000"/>
          <w:sz w:val="20"/>
          <w:szCs w:val="20"/>
          <w:lang w:val="en-US"/>
        </w:rPr>
        <w:t xml:space="preserve"> </w:t>
      </w:r>
      <w:r w:rsidR="0045032F" w:rsidRPr="0045032F">
        <w:rPr>
          <w:rFonts w:ascii="Arial" w:eastAsia="仿宋" w:hAnsi="Arial" w:cs="Arial"/>
          <w:b/>
          <w:bCs/>
          <w:color w:val="000000"/>
          <w:sz w:val="20"/>
          <w:szCs w:val="20"/>
          <w:lang w:val="en-US"/>
        </w:rPr>
        <w:t>120</w:t>
      </w:r>
      <w:r w:rsidR="0045032F" w:rsidRPr="0045032F">
        <w:rPr>
          <w:rFonts w:ascii="Arial" w:eastAsia="仿宋" w:hAnsi="Arial" w:cs="Arial"/>
          <w:color w:val="000000"/>
          <w:sz w:val="20"/>
          <w:szCs w:val="20"/>
          <w:lang w:val="en-US"/>
        </w:rPr>
        <w:t>: 1747–1763</w:t>
      </w:r>
      <w:r w:rsidR="0045032F">
        <w:rPr>
          <w:rFonts w:ascii="Arial" w:eastAsia="仿宋" w:hAnsi="Arial" w:cs="Arial" w:hint="eastAsia"/>
          <w:color w:val="000000"/>
          <w:sz w:val="20"/>
          <w:szCs w:val="20"/>
          <w:lang w:val="en-US"/>
        </w:rPr>
        <w:t xml:space="preserve"> (</w:t>
      </w:r>
      <w:r w:rsidR="0045032F" w:rsidRPr="0045032F">
        <w:rPr>
          <w:rFonts w:ascii="Arial" w:eastAsia="仿宋" w:hAnsi="Arial" w:cs="Arial"/>
          <w:color w:val="000000"/>
          <w:sz w:val="20"/>
          <w:szCs w:val="20"/>
          <w:lang w:val="en-US"/>
        </w:rPr>
        <w:t>1992</w:t>
      </w:r>
      <w:r w:rsidR="0045032F">
        <w:rPr>
          <w:rFonts w:ascii="Arial" w:eastAsia="仿宋" w:hAnsi="Arial" w:cs="Arial" w:hint="eastAsia"/>
          <w:color w:val="000000"/>
          <w:sz w:val="20"/>
          <w:szCs w:val="20"/>
          <w:lang w:val="en-US"/>
        </w:rPr>
        <w:t>)</w:t>
      </w:r>
      <w:r w:rsidR="0045032F" w:rsidRPr="0045032F">
        <w:rPr>
          <w:rFonts w:ascii="Arial" w:eastAsia="仿宋" w:hAnsi="Arial" w:cs="Arial"/>
          <w:color w:val="000000"/>
          <w:sz w:val="20"/>
          <w:szCs w:val="20"/>
          <w:lang w:val="en-US"/>
        </w:rPr>
        <w:t>.</w:t>
      </w:r>
    </w:p>
    <w:p w14:paraId="62652CC6" w14:textId="5056D9BB" w:rsidR="00895030" w:rsidRPr="00375C23" w:rsidRDefault="007271C9" w:rsidP="00AA0699">
      <w:pPr>
        <w:widowControl w:val="0"/>
        <w:autoSpaceDE w:val="0"/>
        <w:autoSpaceDN w:val="0"/>
        <w:adjustRightInd w:val="0"/>
        <w:spacing w:line="276" w:lineRule="auto"/>
        <w:ind w:left="442" w:hanging="442"/>
        <w:rPr>
          <w:rFonts w:ascii="Arial" w:eastAsia="仿宋" w:hAnsi="Arial" w:cs="Arial"/>
          <w:color w:val="000000"/>
          <w:sz w:val="20"/>
          <w:szCs w:val="20"/>
          <w:lang w:val="en-US"/>
        </w:rPr>
      </w:pPr>
      <w:r>
        <w:rPr>
          <w:rFonts w:ascii="Arial" w:eastAsia="仿宋" w:hAnsi="Arial" w:cs="Arial"/>
          <w:color w:val="000000"/>
          <w:sz w:val="20"/>
          <w:szCs w:val="20"/>
          <w:lang w:val="en-US"/>
        </w:rPr>
        <w:t>2</w:t>
      </w:r>
      <w:r w:rsidR="00895030" w:rsidRPr="00375C23">
        <w:rPr>
          <w:rFonts w:ascii="Arial" w:eastAsia="仿宋" w:hAnsi="Arial" w:cs="Arial"/>
          <w:color w:val="000000"/>
          <w:sz w:val="20"/>
          <w:szCs w:val="20"/>
          <w:lang w:val="en-US"/>
        </w:rPr>
        <w:tab/>
      </w:r>
      <w:r w:rsidR="0045032F" w:rsidRPr="0045032F">
        <w:rPr>
          <w:rFonts w:ascii="Arial" w:eastAsia="仿宋" w:hAnsi="Arial" w:cs="Arial"/>
          <w:color w:val="000000"/>
          <w:sz w:val="20"/>
          <w:szCs w:val="20"/>
          <w:lang w:val="en-US"/>
        </w:rPr>
        <w:t>Li Z, Zang ZL, Li QB, et al. A three-dimensional variational data assimilation system for multiple aerosol species with WRF/Chem and an application to PM</w:t>
      </w:r>
      <w:r w:rsidR="0045032F" w:rsidRPr="0045032F">
        <w:rPr>
          <w:rFonts w:ascii="Arial" w:eastAsia="仿宋" w:hAnsi="Arial" w:cs="Arial"/>
          <w:color w:val="000000"/>
          <w:sz w:val="20"/>
          <w:szCs w:val="20"/>
          <w:vertAlign w:val="subscript"/>
          <w:lang w:val="en-US"/>
        </w:rPr>
        <w:t>2.5</w:t>
      </w:r>
      <w:r w:rsidR="0045032F" w:rsidRPr="0045032F">
        <w:rPr>
          <w:rFonts w:ascii="Arial" w:eastAsia="仿宋" w:hAnsi="Arial" w:cs="Arial"/>
          <w:color w:val="000000"/>
          <w:sz w:val="20"/>
          <w:szCs w:val="20"/>
          <w:lang w:val="en-US"/>
        </w:rPr>
        <w:t xml:space="preserve"> prediction. </w:t>
      </w:r>
      <w:r w:rsidR="0045032F" w:rsidRPr="0045032F">
        <w:rPr>
          <w:rFonts w:ascii="Arial" w:eastAsia="仿宋" w:hAnsi="Arial" w:cs="Arial"/>
          <w:i/>
          <w:iCs/>
          <w:color w:val="000000"/>
          <w:sz w:val="20"/>
          <w:szCs w:val="20"/>
          <w:lang w:val="en-US"/>
        </w:rPr>
        <w:t>Atmos. Chem. Phys.</w:t>
      </w:r>
      <w:r w:rsidR="0045032F" w:rsidRPr="0045032F">
        <w:rPr>
          <w:rFonts w:ascii="Arial" w:eastAsia="仿宋" w:hAnsi="Arial" w:cs="Arial"/>
          <w:color w:val="000000"/>
          <w:sz w:val="20"/>
          <w:szCs w:val="20"/>
          <w:lang w:val="en-US"/>
        </w:rPr>
        <w:t xml:space="preserve"> </w:t>
      </w:r>
      <w:r w:rsidR="0045032F" w:rsidRPr="0045032F">
        <w:rPr>
          <w:rFonts w:ascii="Arial" w:eastAsia="仿宋" w:hAnsi="Arial" w:cs="Arial"/>
          <w:b/>
          <w:bCs/>
          <w:color w:val="000000"/>
          <w:sz w:val="20"/>
          <w:szCs w:val="20"/>
          <w:lang w:val="en-US"/>
        </w:rPr>
        <w:t>13</w:t>
      </w:r>
      <w:r w:rsidR="0045032F" w:rsidRPr="0045032F">
        <w:rPr>
          <w:rFonts w:ascii="Arial" w:eastAsia="仿宋" w:hAnsi="Arial" w:cs="Arial"/>
          <w:color w:val="000000"/>
          <w:sz w:val="20"/>
          <w:szCs w:val="20"/>
          <w:lang w:val="en-US"/>
        </w:rPr>
        <w:t>: 4265–4278</w:t>
      </w:r>
      <w:r w:rsidR="0045032F">
        <w:rPr>
          <w:rFonts w:ascii="Arial" w:eastAsia="仿宋" w:hAnsi="Arial" w:cs="Arial" w:hint="eastAsia"/>
          <w:color w:val="000000"/>
          <w:sz w:val="20"/>
          <w:szCs w:val="20"/>
          <w:lang w:val="en-US"/>
        </w:rPr>
        <w:t xml:space="preserve"> (</w:t>
      </w:r>
      <w:r w:rsidR="0045032F" w:rsidRPr="0045032F">
        <w:rPr>
          <w:rFonts w:ascii="Arial" w:eastAsia="仿宋" w:hAnsi="Arial" w:cs="Arial"/>
          <w:color w:val="000000"/>
          <w:sz w:val="20"/>
          <w:szCs w:val="20"/>
          <w:lang w:val="en-US"/>
        </w:rPr>
        <w:t>2013</w:t>
      </w:r>
      <w:r w:rsidR="0045032F">
        <w:rPr>
          <w:rFonts w:ascii="Arial" w:eastAsia="仿宋" w:hAnsi="Arial" w:cs="Arial" w:hint="eastAsia"/>
          <w:color w:val="000000"/>
          <w:sz w:val="20"/>
          <w:szCs w:val="20"/>
          <w:lang w:val="en-US"/>
        </w:rPr>
        <w:t>)</w:t>
      </w:r>
      <w:r w:rsidR="0045032F" w:rsidRPr="0045032F">
        <w:rPr>
          <w:rFonts w:ascii="Arial" w:eastAsia="仿宋" w:hAnsi="Arial" w:cs="Arial"/>
          <w:color w:val="000000"/>
          <w:sz w:val="20"/>
          <w:szCs w:val="20"/>
          <w:lang w:val="en-US"/>
        </w:rPr>
        <w:t>.</w:t>
      </w:r>
    </w:p>
    <w:p w14:paraId="46CC8C0E" w14:textId="7FBB7616" w:rsidR="00AA0699" w:rsidRPr="00D45388" w:rsidRDefault="007271C9" w:rsidP="00AA0699">
      <w:pPr>
        <w:widowControl w:val="0"/>
        <w:autoSpaceDE w:val="0"/>
        <w:autoSpaceDN w:val="0"/>
        <w:adjustRightInd w:val="0"/>
        <w:spacing w:line="276" w:lineRule="auto"/>
        <w:ind w:left="442" w:hanging="442"/>
        <w:rPr>
          <w:rFonts w:ascii="Arial" w:eastAsia="仿宋" w:hAnsi="Arial" w:cs="Arial"/>
          <w:color w:val="000000"/>
          <w:sz w:val="20"/>
          <w:szCs w:val="20"/>
          <w:lang w:val="en-US"/>
        </w:rPr>
      </w:pPr>
      <w:r>
        <w:rPr>
          <w:rFonts w:ascii="Arial" w:eastAsia="仿宋" w:hAnsi="Arial" w:cs="Arial"/>
          <w:color w:val="000000"/>
          <w:sz w:val="20"/>
          <w:szCs w:val="20"/>
          <w:lang w:val="en-US"/>
        </w:rPr>
        <w:t>3</w:t>
      </w:r>
      <w:r w:rsidR="00895030" w:rsidRPr="00375C23">
        <w:rPr>
          <w:rFonts w:ascii="Arial" w:eastAsia="仿宋" w:hAnsi="Arial" w:cs="Arial"/>
          <w:color w:val="000000"/>
          <w:sz w:val="20"/>
          <w:szCs w:val="20"/>
          <w:lang w:val="en-US"/>
        </w:rPr>
        <w:tab/>
      </w:r>
      <w:r w:rsidR="0045032F" w:rsidRPr="0045032F">
        <w:rPr>
          <w:rFonts w:ascii="Arial" w:eastAsia="仿宋" w:hAnsi="Arial" w:cs="Arial"/>
          <w:color w:val="000000"/>
          <w:sz w:val="20"/>
          <w:szCs w:val="20"/>
          <w:lang w:val="en-US"/>
        </w:rPr>
        <w:t xml:space="preserve">Wang D, You W, Zang Z, et al. A three-dimensional variational data assimilation system for a size-resolved aerosol model: Implementation and application for particulate matter and gaseous pollutant forecasts across China. </w:t>
      </w:r>
      <w:r w:rsidR="0045032F" w:rsidRPr="0045032F">
        <w:rPr>
          <w:rFonts w:ascii="Arial" w:eastAsia="仿宋" w:hAnsi="Arial" w:cs="Arial"/>
          <w:i/>
          <w:iCs/>
          <w:color w:val="000000"/>
          <w:sz w:val="20"/>
          <w:szCs w:val="20"/>
          <w:lang w:val="en-US"/>
        </w:rPr>
        <w:t>Sci China Earth Sci</w:t>
      </w:r>
      <w:r w:rsidR="0045032F" w:rsidRPr="0045032F">
        <w:rPr>
          <w:rFonts w:ascii="Arial" w:eastAsia="仿宋" w:hAnsi="Arial" w:cs="Arial"/>
          <w:color w:val="000000"/>
          <w:sz w:val="20"/>
          <w:szCs w:val="20"/>
          <w:lang w:val="en-US"/>
        </w:rPr>
        <w:t xml:space="preserve"> </w:t>
      </w:r>
      <w:r w:rsidR="0045032F" w:rsidRPr="0045032F">
        <w:rPr>
          <w:rFonts w:ascii="Arial" w:eastAsia="仿宋" w:hAnsi="Arial" w:cs="Arial"/>
          <w:b/>
          <w:bCs/>
          <w:color w:val="000000"/>
          <w:sz w:val="20"/>
          <w:szCs w:val="20"/>
          <w:lang w:val="en-US"/>
        </w:rPr>
        <w:t>63</w:t>
      </w:r>
      <w:r w:rsidR="0045032F" w:rsidRPr="0045032F">
        <w:rPr>
          <w:rFonts w:ascii="Arial" w:eastAsia="仿宋" w:hAnsi="Arial" w:cs="Arial"/>
          <w:color w:val="000000"/>
          <w:sz w:val="20"/>
          <w:szCs w:val="20"/>
          <w:lang w:val="en-US"/>
        </w:rPr>
        <w:t>: 1366–1380</w:t>
      </w:r>
      <w:r w:rsidR="0045032F">
        <w:rPr>
          <w:rFonts w:ascii="Arial" w:eastAsia="仿宋" w:hAnsi="Arial" w:cs="Arial" w:hint="eastAsia"/>
          <w:color w:val="000000"/>
          <w:sz w:val="20"/>
          <w:szCs w:val="20"/>
          <w:lang w:val="en-US"/>
        </w:rPr>
        <w:t xml:space="preserve"> (</w:t>
      </w:r>
      <w:r w:rsidR="0045032F" w:rsidRPr="0045032F">
        <w:rPr>
          <w:rFonts w:ascii="Arial" w:eastAsia="仿宋" w:hAnsi="Arial" w:cs="Arial"/>
          <w:color w:val="000000"/>
          <w:sz w:val="20"/>
          <w:szCs w:val="20"/>
          <w:lang w:val="en-US"/>
        </w:rPr>
        <w:t>2020</w:t>
      </w:r>
      <w:r w:rsidR="0045032F">
        <w:rPr>
          <w:rFonts w:ascii="Arial" w:eastAsia="仿宋" w:hAnsi="Arial" w:cs="Arial" w:hint="eastAsia"/>
          <w:color w:val="000000"/>
          <w:sz w:val="20"/>
          <w:szCs w:val="20"/>
          <w:lang w:val="en-US"/>
        </w:rPr>
        <w:t>)</w:t>
      </w:r>
      <w:r w:rsidR="0045032F" w:rsidRPr="0045032F">
        <w:rPr>
          <w:rFonts w:ascii="Arial" w:eastAsia="仿宋" w:hAnsi="Arial" w:cs="Arial"/>
          <w:color w:val="000000"/>
          <w:sz w:val="20"/>
          <w:szCs w:val="20"/>
          <w:lang w:val="en-US"/>
        </w:rPr>
        <w:t>.</w:t>
      </w:r>
    </w:p>
    <w:p w14:paraId="1373AFA4" w14:textId="3C5612A6" w:rsidR="00895030" w:rsidRPr="00375C23" w:rsidRDefault="007271C9" w:rsidP="00AA0699">
      <w:pPr>
        <w:widowControl w:val="0"/>
        <w:autoSpaceDE w:val="0"/>
        <w:autoSpaceDN w:val="0"/>
        <w:adjustRightInd w:val="0"/>
        <w:spacing w:line="276" w:lineRule="auto"/>
        <w:ind w:left="442" w:hanging="442"/>
        <w:rPr>
          <w:rFonts w:ascii="Arial" w:eastAsia="仿宋" w:hAnsi="Arial" w:cs="Arial"/>
          <w:color w:val="000000"/>
          <w:sz w:val="20"/>
          <w:szCs w:val="20"/>
          <w:lang w:val="en-US"/>
        </w:rPr>
      </w:pPr>
      <w:r>
        <w:rPr>
          <w:rFonts w:ascii="Arial" w:eastAsia="仿宋" w:hAnsi="Arial" w:cs="Arial"/>
          <w:color w:val="000000"/>
          <w:sz w:val="20"/>
          <w:szCs w:val="20"/>
          <w:lang w:val="en-US"/>
        </w:rPr>
        <w:lastRenderedPageBreak/>
        <w:t>4</w:t>
      </w:r>
      <w:r w:rsidR="00895030" w:rsidRPr="00375C23">
        <w:rPr>
          <w:rFonts w:ascii="Arial" w:eastAsia="仿宋" w:hAnsi="Arial" w:cs="Arial"/>
          <w:color w:val="000000"/>
          <w:sz w:val="20"/>
          <w:szCs w:val="20"/>
          <w:lang w:val="en-US"/>
        </w:rPr>
        <w:tab/>
      </w:r>
      <w:r w:rsidR="00AA0699" w:rsidRPr="00D45388">
        <w:rPr>
          <w:rFonts w:ascii="Arial" w:eastAsia="仿宋" w:hAnsi="Arial" w:cs="Arial"/>
          <w:color w:val="000000"/>
          <w:sz w:val="20"/>
          <w:szCs w:val="20"/>
          <w:lang w:val="en-US"/>
        </w:rPr>
        <w:t xml:space="preserve">Nisbet E, Weiss R. Top-down versus bottom-up. </w:t>
      </w:r>
      <w:r w:rsidR="00AA0699" w:rsidRPr="0045032F">
        <w:rPr>
          <w:rFonts w:ascii="Arial" w:eastAsia="仿宋" w:hAnsi="Arial" w:cs="Arial"/>
          <w:i/>
          <w:iCs/>
          <w:color w:val="000000"/>
          <w:sz w:val="20"/>
          <w:szCs w:val="20"/>
          <w:lang w:val="en-US"/>
        </w:rPr>
        <w:t>Science</w:t>
      </w:r>
      <w:r w:rsidR="00AA0699" w:rsidRPr="00D45388">
        <w:rPr>
          <w:rFonts w:ascii="Arial" w:eastAsia="仿宋" w:hAnsi="Arial" w:cs="Arial"/>
          <w:color w:val="000000"/>
          <w:sz w:val="20"/>
          <w:szCs w:val="20"/>
          <w:lang w:val="en-US"/>
        </w:rPr>
        <w:t xml:space="preserve"> </w:t>
      </w:r>
      <w:r w:rsidR="00AA0699" w:rsidRPr="0045032F">
        <w:rPr>
          <w:rFonts w:ascii="Arial" w:eastAsia="仿宋" w:hAnsi="Arial" w:cs="Arial"/>
          <w:b/>
          <w:bCs/>
          <w:color w:val="000000"/>
          <w:sz w:val="20"/>
          <w:szCs w:val="20"/>
          <w:lang w:val="en-US"/>
        </w:rPr>
        <w:t>328</w:t>
      </w:r>
      <w:r w:rsidR="00AA0699" w:rsidRPr="00D45388">
        <w:rPr>
          <w:rFonts w:ascii="Arial" w:eastAsia="仿宋" w:hAnsi="Arial" w:cs="Arial"/>
          <w:color w:val="000000"/>
          <w:sz w:val="20"/>
          <w:szCs w:val="20"/>
          <w:lang w:val="en-US"/>
        </w:rPr>
        <w:t xml:space="preserve"> (5983): 1241–1243</w:t>
      </w:r>
      <w:r w:rsidR="0045032F">
        <w:rPr>
          <w:rFonts w:ascii="Arial" w:eastAsia="仿宋" w:hAnsi="Arial" w:cs="Arial" w:hint="eastAsia"/>
          <w:color w:val="000000"/>
          <w:sz w:val="20"/>
          <w:szCs w:val="20"/>
          <w:lang w:val="en-US"/>
        </w:rPr>
        <w:t xml:space="preserve"> (</w:t>
      </w:r>
      <w:r w:rsidR="0045032F" w:rsidRPr="00D45388">
        <w:rPr>
          <w:rFonts w:ascii="Arial" w:eastAsia="仿宋" w:hAnsi="Arial" w:cs="Arial"/>
          <w:color w:val="000000"/>
          <w:sz w:val="20"/>
          <w:szCs w:val="20"/>
          <w:lang w:val="en-US"/>
        </w:rPr>
        <w:t>2010</w:t>
      </w:r>
      <w:r w:rsidR="0045032F">
        <w:rPr>
          <w:rFonts w:ascii="Arial" w:eastAsia="仿宋" w:hAnsi="Arial" w:cs="Arial" w:hint="eastAsia"/>
          <w:color w:val="000000"/>
          <w:sz w:val="20"/>
          <w:szCs w:val="20"/>
          <w:lang w:val="en-US"/>
        </w:rPr>
        <w:t>)</w:t>
      </w:r>
      <w:r w:rsidR="00895030" w:rsidRPr="00375C23">
        <w:rPr>
          <w:rFonts w:ascii="Arial" w:eastAsia="仿宋" w:hAnsi="Arial" w:cs="Arial"/>
          <w:color w:val="000000"/>
          <w:sz w:val="20"/>
          <w:szCs w:val="20"/>
          <w:lang w:val="en-US"/>
        </w:rPr>
        <w:t>.</w:t>
      </w:r>
    </w:p>
    <w:p w14:paraId="21C33749" w14:textId="65D9DE23" w:rsidR="0045032F" w:rsidRPr="00375C23" w:rsidRDefault="007271C9" w:rsidP="0045032F">
      <w:pPr>
        <w:widowControl w:val="0"/>
        <w:autoSpaceDE w:val="0"/>
        <w:autoSpaceDN w:val="0"/>
        <w:adjustRightInd w:val="0"/>
        <w:spacing w:line="276" w:lineRule="auto"/>
        <w:ind w:left="442" w:hanging="442"/>
        <w:rPr>
          <w:rFonts w:ascii="Arial" w:eastAsia="仿宋" w:hAnsi="Arial" w:cs="Arial"/>
          <w:color w:val="000000"/>
          <w:sz w:val="20"/>
          <w:szCs w:val="20"/>
          <w:lang w:val="en-US"/>
        </w:rPr>
      </w:pPr>
      <w:r>
        <w:rPr>
          <w:rFonts w:ascii="Arial" w:eastAsia="仿宋" w:hAnsi="Arial" w:cs="Arial"/>
          <w:color w:val="000000"/>
          <w:sz w:val="20"/>
          <w:szCs w:val="20"/>
          <w:lang w:val="en-US"/>
        </w:rPr>
        <w:t>5</w:t>
      </w:r>
      <w:r w:rsidR="00895030" w:rsidRPr="00375C23">
        <w:rPr>
          <w:rFonts w:ascii="Arial" w:eastAsia="仿宋" w:hAnsi="Arial" w:cs="Arial"/>
          <w:color w:val="000000"/>
          <w:sz w:val="20"/>
          <w:szCs w:val="20"/>
          <w:lang w:val="en-US"/>
        </w:rPr>
        <w:tab/>
      </w:r>
      <w:r w:rsidR="00814FFD" w:rsidRPr="00814FFD">
        <w:rPr>
          <w:rFonts w:ascii="Arial" w:eastAsia="仿宋" w:hAnsi="Arial" w:cs="Arial"/>
          <w:color w:val="000000"/>
          <w:sz w:val="20"/>
          <w:szCs w:val="20"/>
          <w:lang w:val="en-US"/>
        </w:rPr>
        <w:t xml:space="preserve">Callewaert S, Zhou M, Langerock B, et al. A WRF-Chem study of the greenhouse gas column and in situ surface concentrations observed in Xianghe, China - Part 1: Methane (CH4). </w:t>
      </w:r>
      <w:r w:rsidR="00814FFD" w:rsidRPr="00814FFD">
        <w:rPr>
          <w:rFonts w:ascii="Arial" w:eastAsia="仿宋" w:hAnsi="Arial" w:cs="Arial"/>
          <w:i/>
          <w:iCs/>
          <w:color w:val="000000"/>
          <w:sz w:val="20"/>
          <w:szCs w:val="20"/>
          <w:lang w:val="en-US"/>
        </w:rPr>
        <w:t>Atmos. Chem. Phys.</w:t>
      </w:r>
      <w:r w:rsidR="00814FFD" w:rsidRPr="00814FFD">
        <w:rPr>
          <w:rFonts w:ascii="Arial" w:eastAsia="仿宋" w:hAnsi="Arial" w:cs="Arial"/>
          <w:color w:val="000000"/>
          <w:sz w:val="20"/>
          <w:szCs w:val="20"/>
          <w:lang w:val="en-US"/>
        </w:rPr>
        <w:t xml:space="preserve"> </w:t>
      </w:r>
      <w:r w:rsidR="00814FFD" w:rsidRPr="00814FFD">
        <w:rPr>
          <w:rFonts w:ascii="Arial" w:eastAsia="仿宋" w:hAnsi="Arial" w:cs="Arial"/>
          <w:b/>
          <w:bCs/>
          <w:color w:val="000000"/>
          <w:sz w:val="20"/>
          <w:szCs w:val="20"/>
          <w:lang w:val="en-US"/>
        </w:rPr>
        <w:t>25</w:t>
      </w:r>
      <w:r w:rsidR="00814FFD" w:rsidRPr="00814FFD">
        <w:rPr>
          <w:rFonts w:ascii="Arial" w:eastAsia="仿宋" w:hAnsi="Arial" w:cs="Arial"/>
          <w:color w:val="000000"/>
          <w:sz w:val="20"/>
          <w:szCs w:val="20"/>
          <w:lang w:val="en-US"/>
        </w:rPr>
        <w:t>: 9519–9544 (2025).</w:t>
      </w:r>
    </w:p>
    <w:p w14:paraId="69447250" w14:textId="3FF263F3" w:rsidR="005B3C28" w:rsidRDefault="0045032F" w:rsidP="00AA0699">
      <w:pPr>
        <w:widowControl w:val="0"/>
        <w:autoSpaceDE w:val="0"/>
        <w:autoSpaceDN w:val="0"/>
        <w:adjustRightInd w:val="0"/>
        <w:spacing w:line="276" w:lineRule="auto"/>
        <w:ind w:left="442" w:hanging="442"/>
        <w:rPr>
          <w:rFonts w:ascii="Arial" w:eastAsia="仿宋" w:hAnsi="Arial" w:cs="Arial"/>
          <w:color w:val="000000"/>
          <w:sz w:val="20"/>
          <w:szCs w:val="20"/>
          <w:lang w:val="en-US"/>
        </w:rPr>
      </w:pPr>
      <w:bookmarkStart w:id="14" w:name="OLE_LINK474"/>
      <w:r>
        <w:rPr>
          <w:rFonts w:ascii="Arial" w:eastAsia="仿宋" w:hAnsi="Arial" w:cs="Arial" w:hint="eastAsia"/>
          <w:color w:val="000000"/>
          <w:sz w:val="20"/>
          <w:szCs w:val="20"/>
          <w:lang w:val="en-US"/>
        </w:rPr>
        <w:t>6</w:t>
      </w:r>
      <w:r w:rsidRPr="00375C23">
        <w:rPr>
          <w:rFonts w:ascii="Arial" w:eastAsia="仿宋" w:hAnsi="Arial" w:cs="Arial"/>
          <w:color w:val="000000"/>
          <w:sz w:val="20"/>
          <w:szCs w:val="20"/>
          <w:lang w:val="en-US"/>
        </w:rPr>
        <w:tab/>
      </w:r>
      <w:r w:rsidRPr="0045032F">
        <w:rPr>
          <w:rFonts w:ascii="Arial" w:eastAsia="仿宋" w:hAnsi="Arial" w:cs="Arial"/>
          <w:color w:val="000000"/>
          <w:sz w:val="20"/>
          <w:szCs w:val="20"/>
          <w:lang w:val="en-US"/>
        </w:rPr>
        <w:t xml:space="preserve">Tu Q, Hase F, </w:t>
      </w:r>
      <w:r>
        <w:rPr>
          <w:rFonts w:ascii="Arial" w:eastAsia="仿宋" w:hAnsi="Arial" w:cs="Arial" w:hint="eastAsia"/>
          <w:color w:val="000000"/>
          <w:sz w:val="20"/>
          <w:szCs w:val="20"/>
          <w:lang w:val="en-US"/>
        </w:rPr>
        <w:t>et al.</w:t>
      </w:r>
      <w:r w:rsidRPr="0045032F">
        <w:rPr>
          <w:rFonts w:ascii="Arial" w:eastAsia="仿宋" w:hAnsi="Arial" w:cs="Arial"/>
          <w:color w:val="000000"/>
          <w:sz w:val="20"/>
          <w:szCs w:val="20"/>
          <w:lang w:val="en-US"/>
        </w:rPr>
        <w:t xml:space="preserve"> Emission characteristics of greenhouse gases and air pollutants in a Qinghai-Tibetan Plateau city using a portable Fourier transform spectrometer and TROPOMI observations, </w:t>
      </w:r>
      <w:r w:rsidRPr="0045032F">
        <w:rPr>
          <w:rFonts w:ascii="Arial" w:eastAsia="仿宋" w:hAnsi="Arial" w:cs="Arial"/>
          <w:i/>
          <w:iCs/>
          <w:color w:val="000000"/>
          <w:sz w:val="20"/>
          <w:szCs w:val="20"/>
          <w:lang w:val="en-US"/>
        </w:rPr>
        <w:t>Atmos. Chem. Phys.</w:t>
      </w:r>
      <w:r w:rsidRPr="0045032F">
        <w:rPr>
          <w:rFonts w:ascii="Arial" w:eastAsia="仿宋" w:hAnsi="Arial" w:cs="Arial"/>
          <w:color w:val="000000"/>
          <w:sz w:val="20"/>
          <w:szCs w:val="20"/>
          <w:lang w:val="en-US"/>
        </w:rPr>
        <w:t xml:space="preserve"> </w:t>
      </w:r>
      <w:r w:rsidRPr="0045032F">
        <w:rPr>
          <w:rFonts w:ascii="Arial" w:eastAsia="仿宋" w:hAnsi="Arial" w:cs="Arial"/>
          <w:b/>
          <w:bCs/>
          <w:color w:val="000000"/>
          <w:sz w:val="20"/>
          <w:szCs w:val="20"/>
          <w:lang w:val="en-US"/>
        </w:rPr>
        <w:t>25</w:t>
      </w:r>
      <w:r>
        <w:rPr>
          <w:rFonts w:ascii="Arial" w:eastAsia="仿宋" w:hAnsi="Arial" w:cs="Arial" w:hint="eastAsia"/>
          <w:color w:val="000000"/>
          <w:sz w:val="20"/>
          <w:szCs w:val="20"/>
          <w:lang w:val="en-US"/>
        </w:rPr>
        <w:t>:</w:t>
      </w:r>
      <w:r w:rsidRPr="0045032F">
        <w:rPr>
          <w:rFonts w:ascii="Arial" w:eastAsia="仿宋" w:hAnsi="Arial" w:cs="Arial"/>
          <w:color w:val="000000"/>
          <w:sz w:val="20"/>
          <w:szCs w:val="20"/>
          <w:lang w:val="en-US"/>
        </w:rPr>
        <w:t xml:space="preserve"> 17779–17796 </w:t>
      </w:r>
      <w:r>
        <w:rPr>
          <w:rFonts w:ascii="Arial" w:eastAsia="仿宋" w:hAnsi="Arial" w:cs="Arial" w:hint="eastAsia"/>
          <w:color w:val="000000"/>
          <w:sz w:val="20"/>
          <w:szCs w:val="20"/>
          <w:lang w:val="en-US"/>
        </w:rPr>
        <w:t>(</w:t>
      </w:r>
      <w:r w:rsidRPr="0045032F">
        <w:rPr>
          <w:rFonts w:ascii="Arial" w:eastAsia="仿宋" w:hAnsi="Arial" w:cs="Arial"/>
          <w:color w:val="000000"/>
          <w:sz w:val="20"/>
          <w:szCs w:val="20"/>
          <w:lang w:val="en-US"/>
        </w:rPr>
        <w:t>2025</w:t>
      </w:r>
      <w:r>
        <w:rPr>
          <w:rFonts w:ascii="Arial" w:eastAsia="仿宋" w:hAnsi="Arial" w:cs="Arial" w:hint="eastAsia"/>
          <w:color w:val="000000"/>
          <w:sz w:val="20"/>
          <w:szCs w:val="20"/>
          <w:lang w:val="en-US"/>
        </w:rPr>
        <w:t>)</w:t>
      </w:r>
      <w:r w:rsidRPr="0045032F">
        <w:rPr>
          <w:rFonts w:ascii="Arial" w:eastAsia="仿宋" w:hAnsi="Arial" w:cs="Arial"/>
          <w:color w:val="000000"/>
          <w:sz w:val="20"/>
          <w:szCs w:val="20"/>
          <w:lang w:val="en-US"/>
        </w:rPr>
        <w:t>.</w:t>
      </w:r>
    </w:p>
    <w:p w14:paraId="17095CE7" w14:textId="7C570458" w:rsidR="00CC2324" w:rsidRDefault="002B3B93" w:rsidP="00CC2324">
      <w:pPr>
        <w:widowControl w:val="0"/>
        <w:autoSpaceDE w:val="0"/>
        <w:autoSpaceDN w:val="0"/>
        <w:adjustRightInd w:val="0"/>
        <w:spacing w:line="276" w:lineRule="auto"/>
        <w:ind w:left="442" w:hanging="442"/>
        <w:rPr>
          <w:rFonts w:ascii="Arial" w:eastAsia="仿宋" w:hAnsi="Arial" w:cs="Arial"/>
          <w:color w:val="000000"/>
          <w:sz w:val="20"/>
          <w:szCs w:val="20"/>
          <w:lang w:val="en-US"/>
        </w:rPr>
      </w:pPr>
      <w:r>
        <w:rPr>
          <w:rFonts w:ascii="Arial" w:eastAsia="仿宋" w:hAnsi="Arial" w:cs="Arial"/>
          <w:color w:val="000000"/>
          <w:sz w:val="20"/>
          <w:szCs w:val="20"/>
          <w:lang w:val="en-US"/>
        </w:rPr>
        <w:t>7</w:t>
      </w:r>
      <w:r w:rsidR="00CC2324" w:rsidRPr="00375C23">
        <w:rPr>
          <w:rFonts w:ascii="Arial" w:eastAsia="仿宋" w:hAnsi="Arial" w:cs="Arial"/>
          <w:color w:val="000000"/>
          <w:sz w:val="20"/>
          <w:szCs w:val="20"/>
          <w:lang w:val="en-US"/>
        </w:rPr>
        <w:tab/>
      </w:r>
      <w:r w:rsidR="00CC2324" w:rsidRPr="002B3B93">
        <w:rPr>
          <w:rFonts w:ascii="Arial" w:eastAsia="仿宋" w:hAnsi="Arial" w:cs="Arial"/>
          <w:color w:val="000000"/>
          <w:sz w:val="20"/>
          <w:szCs w:val="20"/>
          <w:lang w:val="en-US"/>
        </w:rPr>
        <w:t>Sicsik-Paré A. Fortems-Cheiney A</w:t>
      </w:r>
      <w:r w:rsidR="00CC2324">
        <w:rPr>
          <w:rFonts w:ascii="Arial" w:eastAsia="仿宋" w:hAnsi="Arial" w:cs="Arial"/>
          <w:color w:val="000000"/>
          <w:sz w:val="20"/>
          <w:szCs w:val="20"/>
          <w:lang w:val="en-US"/>
        </w:rPr>
        <w:t>,</w:t>
      </w:r>
      <w:r w:rsidR="00CC2324" w:rsidRPr="002B3B93">
        <w:rPr>
          <w:rFonts w:ascii="Arial" w:eastAsia="仿宋" w:hAnsi="Arial" w:cs="Arial"/>
          <w:color w:val="000000"/>
          <w:sz w:val="20"/>
          <w:szCs w:val="20"/>
          <w:lang w:val="en-US"/>
        </w:rPr>
        <w:t xml:space="preserve"> </w:t>
      </w:r>
      <w:r w:rsidR="00CC2324">
        <w:rPr>
          <w:rFonts w:ascii="Arial" w:eastAsia="仿宋" w:hAnsi="Arial" w:cs="Arial"/>
          <w:color w:val="000000"/>
          <w:sz w:val="20"/>
          <w:szCs w:val="20"/>
          <w:lang w:val="en-US"/>
        </w:rPr>
        <w:t>et al.</w:t>
      </w:r>
      <w:r w:rsidR="00CC2324" w:rsidRPr="002B3B93">
        <w:rPr>
          <w:rFonts w:ascii="Arial" w:eastAsia="仿宋" w:hAnsi="Arial" w:cs="Arial"/>
          <w:color w:val="000000"/>
          <w:sz w:val="20"/>
          <w:szCs w:val="20"/>
          <w:lang w:val="en-US"/>
        </w:rPr>
        <w:t xml:space="preserve"> Can we obtain consistent estimates of the emissions in Europe from three different CH4 TROPOMI products</w:t>
      </w:r>
      <w:r w:rsidR="00CC2324">
        <w:rPr>
          <w:rFonts w:ascii="Arial" w:eastAsia="仿宋" w:hAnsi="Arial" w:cs="Arial"/>
          <w:color w:val="000000"/>
          <w:sz w:val="20"/>
          <w:szCs w:val="20"/>
          <w:lang w:val="en-US"/>
        </w:rPr>
        <w:t>?</w:t>
      </w:r>
      <w:r w:rsidR="00CC2324" w:rsidRPr="002B3B93">
        <w:rPr>
          <w:rFonts w:ascii="Arial" w:eastAsia="仿宋" w:hAnsi="Arial" w:cs="Arial"/>
          <w:color w:val="000000"/>
          <w:sz w:val="20"/>
          <w:szCs w:val="20"/>
          <w:lang w:val="en-US"/>
        </w:rPr>
        <w:t xml:space="preserve">, </w:t>
      </w:r>
      <w:r w:rsidR="00CC2324" w:rsidRPr="002B3B93">
        <w:rPr>
          <w:rFonts w:ascii="Arial" w:eastAsia="仿宋" w:hAnsi="Arial" w:cs="Arial"/>
          <w:i/>
          <w:iCs/>
          <w:color w:val="000000"/>
          <w:sz w:val="20"/>
          <w:szCs w:val="20"/>
          <w:lang w:val="en-US"/>
        </w:rPr>
        <w:t>EGUsphere</w:t>
      </w:r>
      <w:r w:rsidR="00CC2324" w:rsidRPr="002B3B93">
        <w:rPr>
          <w:rFonts w:ascii="Arial" w:eastAsia="仿宋" w:hAnsi="Arial" w:cs="Arial"/>
          <w:color w:val="000000"/>
          <w:sz w:val="20"/>
          <w:szCs w:val="20"/>
          <w:lang w:val="en-US"/>
        </w:rPr>
        <w:t xml:space="preserve"> [preprint]</w:t>
      </w:r>
      <w:r w:rsidR="00CC2324">
        <w:rPr>
          <w:rFonts w:ascii="Arial" w:eastAsia="仿宋" w:hAnsi="Arial" w:cs="Arial"/>
          <w:color w:val="000000"/>
          <w:sz w:val="20"/>
          <w:szCs w:val="20"/>
          <w:lang w:val="en-US"/>
        </w:rPr>
        <w:t xml:space="preserve"> (</w:t>
      </w:r>
      <w:r w:rsidR="00CC2324" w:rsidRPr="002B3B93">
        <w:rPr>
          <w:rFonts w:ascii="Arial" w:eastAsia="仿宋" w:hAnsi="Arial" w:cs="Arial"/>
          <w:color w:val="000000"/>
          <w:sz w:val="20"/>
          <w:szCs w:val="20"/>
          <w:lang w:val="en-US"/>
        </w:rPr>
        <w:t>2025</w:t>
      </w:r>
      <w:r w:rsidR="00CC2324">
        <w:rPr>
          <w:rFonts w:ascii="Arial" w:eastAsia="仿宋" w:hAnsi="Arial" w:cs="Arial"/>
          <w:color w:val="000000"/>
          <w:sz w:val="20"/>
          <w:szCs w:val="20"/>
          <w:lang w:val="en-US"/>
        </w:rPr>
        <w:t>)</w:t>
      </w:r>
      <w:r w:rsidR="00CC2324" w:rsidRPr="002B3B93">
        <w:rPr>
          <w:rFonts w:ascii="Arial" w:eastAsia="仿宋" w:hAnsi="Arial" w:cs="Arial"/>
          <w:color w:val="000000"/>
          <w:sz w:val="20"/>
          <w:szCs w:val="20"/>
          <w:lang w:val="en-US"/>
        </w:rPr>
        <w:t>.</w:t>
      </w:r>
    </w:p>
    <w:bookmarkEnd w:id="14"/>
    <w:p w14:paraId="77A0703F" w14:textId="4A07774F" w:rsidR="00556BA7" w:rsidRPr="00375C23" w:rsidRDefault="00CC2324" w:rsidP="00A06409">
      <w:pPr>
        <w:widowControl w:val="0"/>
        <w:autoSpaceDE w:val="0"/>
        <w:autoSpaceDN w:val="0"/>
        <w:adjustRightInd w:val="0"/>
        <w:spacing w:line="276" w:lineRule="auto"/>
        <w:ind w:left="442" w:hanging="442"/>
        <w:rPr>
          <w:rFonts w:ascii="Arial" w:hAnsi="Arial" w:cs="Arial"/>
          <w:lang w:val="en-GB"/>
        </w:rPr>
      </w:pPr>
      <w:r>
        <w:rPr>
          <w:rFonts w:ascii="Arial" w:eastAsia="仿宋" w:hAnsi="Arial" w:cs="Arial"/>
          <w:color w:val="000000"/>
          <w:sz w:val="20"/>
          <w:szCs w:val="20"/>
          <w:lang w:val="en-US"/>
        </w:rPr>
        <w:t>8</w:t>
      </w:r>
      <w:r w:rsidRPr="00375C23">
        <w:rPr>
          <w:rFonts w:ascii="Arial" w:eastAsia="仿宋" w:hAnsi="Arial" w:cs="Arial"/>
          <w:color w:val="000000"/>
          <w:sz w:val="20"/>
          <w:szCs w:val="20"/>
          <w:lang w:val="en-US"/>
        </w:rPr>
        <w:tab/>
      </w:r>
      <w:r w:rsidRPr="00CC2324">
        <w:rPr>
          <w:rFonts w:ascii="Arial" w:eastAsia="仿宋" w:hAnsi="Arial" w:cs="Arial"/>
          <w:color w:val="000000"/>
          <w:sz w:val="20"/>
          <w:szCs w:val="20"/>
          <w:lang w:val="en-US"/>
        </w:rPr>
        <w:t>Guan LY, Cohen JB., Wang S, et al. In-tandem multi-waveband particulate absorption and size observations yield substantial changes in radiative forcing over industrial Central China, Atmos. Chem. Phys 26, 3107–3123 (2026).</w:t>
      </w:r>
    </w:p>
    <w:p w14:paraId="6125E592" w14:textId="5385832B" w:rsidR="00696E4E" w:rsidRPr="00EE61B0" w:rsidRDefault="00983749" w:rsidP="00A06409">
      <w:pPr>
        <w:widowControl w:val="0"/>
        <w:autoSpaceDE w:val="0"/>
        <w:autoSpaceDN w:val="0"/>
        <w:adjustRightInd w:val="0"/>
        <w:spacing w:line="276" w:lineRule="auto"/>
        <w:ind w:left="442" w:hanging="442"/>
        <w:rPr>
          <w:rFonts w:ascii="Arial" w:eastAsia="仿宋" w:hAnsi="Arial" w:cs="Arial"/>
          <w:color w:val="000000"/>
          <w:sz w:val="20"/>
          <w:szCs w:val="20"/>
          <w:lang w:val="en-US"/>
        </w:rPr>
      </w:pPr>
      <w:r>
        <w:rPr>
          <w:rFonts w:ascii="Arial" w:eastAsia="仿宋" w:hAnsi="Arial" w:cs="Arial"/>
          <w:color w:val="000000"/>
          <w:sz w:val="20"/>
          <w:szCs w:val="20"/>
          <w:lang w:val="en-US"/>
        </w:rPr>
        <w:t>9</w:t>
      </w:r>
      <w:r w:rsidRPr="00375C23">
        <w:rPr>
          <w:rFonts w:ascii="Arial" w:eastAsia="仿宋" w:hAnsi="Arial" w:cs="Arial"/>
          <w:color w:val="000000"/>
          <w:sz w:val="20"/>
          <w:szCs w:val="20"/>
          <w:lang w:val="en-US"/>
        </w:rPr>
        <w:tab/>
      </w:r>
      <w:r w:rsidRPr="00EE61B0">
        <w:rPr>
          <w:rFonts w:ascii="Arial" w:eastAsia="仿宋" w:hAnsi="Arial" w:cs="Arial"/>
          <w:color w:val="000000"/>
          <w:sz w:val="20"/>
          <w:szCs w:val="20"/>
          <w:lang w:val="en-US"/>
        </w:rPr>
        <w:t xml:space="preserve">Vickers D, and L. Mahrt: Quality Control and Flux Sampling Problems for Tower and Aircraft Data. </w:t>
      </w:r>
      <w:r w:rsidRPr="00EE61B0">
        <w:rPr>
          <w:rFonts w:ascii="Arial" w:eastAsia="仿宋" w:hAnsi="Arial" w:cs="Arial"/>
          <w:i/>
          <w:iCs/>
          <w:color w:val="000000"/>
          <w:sz w:val="20"/>
          <w:szCs w:val="20"/>
          <w:lang w:val="en-US"/>
        </w:rPr>
        <w:t>J. Atmos. Oceanic Technol.</w:t>
      </w:r>
      <w:r w:rsidRPr="00EE61B0">
        <w:rPr>
          <w:rFonts w:ascii="Arial" w:eastAsia="仿宋" w:hAnsi="Arial" w:cs="Arial"/>
          <w:color w:val="000000"/>
          <w:sz w:val="20"/>
          <w:szCs w:val="20"/>
          <w:lang w:val="en-US"/>
        </w:rPr>
        <w:t xml:space="preserve"> </w:t>
      </w:r>
      <w:r w:rsidRPr="00EE61B0">
        <w:rPr>
          <w:rFonts w:ascii="Arial" w:eastAsia="仿宋" w:hAnsi="Arial" w:cs="Arial"/>
          <w:b/>
          <w:bCs/>
          <w:color w:val="000000"/>
          <w:sz w:val="20"/>
          <w:szCs w:val="20"/>
          <w:lang w:val="en-US"/>
        </w:rPr>
        <w:t>14</w:t>
      </w:r>
      <w:r w:rsidRPr="00EE61B0">
        <w:rPr>
          <w:rFonts w:ascii="Arial" w:eastAsia="仿宋" w:hAnsi="Arial" w:cs="Arial"/>
          <w:color w:val="000000"/>
          <w:sz w:val="20"/>
          <w:szCs w:val="20"/>
          <w:lang w:val="en-US"/>
        </w:rPr>
        <w:t>, 512–526</w:t>
      </w:r>
      <w:r>
        <w:rPr>
          <w:rFonts w:ascii="Arial" w:eastAsia="仿宋" w:hAnsi="Arial" w:cs="Arial"/>
          <w:color w:val="000000"/>
          <w:sz w:val="20"/>
          <w:szCs w:val="20"/>
          <w:lang w:val="en-US"/>
        </w:rPr>
        <w:t xml:space="preserve"> (</w:t>
      </w:r>
      <w:r>
        <w:rPr>
          <w:rFonts w:ascii="Arial" w:eastAsia="仿宋" w:hAnsi="Arial" w:cs="Arial" w:hint="eastAsia"/>
          <w:color w:val="000000"/>
          <w:sz w:val="20"/>
          <w:szCs w:val="20"/>
          <w:lang w:val="en-US"/>
        </w:rPr>
        <w:t>1</w:t>
      </w:r>
      <w:r>
        <w:rPr>
          <w:rFonts w:ascii="Arial" w:eastAsia="仿宋" w:hAnsi="Arial" w:cs="Arial"/>
          <w:color w:val="000000"/>
          <w:sz w:val="20"/>
          <w:szCs w:val="20"/>
          <w:lang w:val="en-US"/>
        </w:rPr>
        <w:t>997)</w:t>
      </w:r>
      <w:r w:rsidRPr="00EE61B0">
        <w:rPr>
          <w:rFonts w:ascii="Arial" w:eastAsia="仿宋" w:hAnsi="Arial" w:cs="Arial"/>
          <w:color w:val="000000"/>
          <w:sz w:val="20"/>
          <w:szCs w:val="20"/>
          <w:lang w:val="en-US"/>
        </w:rPr>
        <w:t>.</w:t>
      </w:r>
    </w:p>
    <w:p w14:paraId="7B30C65E" w14:textId="77777777" w:rsidR="00696E4E" w:rsidRPr="00A06409" w:rsidRDefault="00696E4E" w:rsidP="00D55009">
      <w:pPr>
        <w:rPr>
          <w:rFonts w:ascii="Arial" w:hAnsi="Arial" w:cs="Arial"/>
          <w:lang w:val="en-US"/>
        </w:rPr>
      </w:pPr>
    </w:p>
    <w:p w14:paraId="4FB41E42" w14:textId="77777777" w:rsidR="0074247C" w:rsidRPr="00A06409" w:rsidRDefault="0074247C" w:rsidP="00D55009">
      <w:pPr>
        <w:rPr>
          <w:rFonts w:ascii="Arial" w:hAnsi="Arial" w:cs="Arial"/>
          <w:lang w:val="en-US"/>
        </w:rPr>
      </w:pPr>
    </w:p>
    <w:p w14:paraId="35C86B3F" w14:textId="656CE129" w:rsidR="00696E4E" w:rsidRPr="00375C23" w:rsidRDefault="00696E4E" w:rsidP="00D55009">
      <w:pPr>
        <w:rPr>
          <w:rFonts w:ascii="Arial" w:hAnsi="Arial" w:cs="Arial"/>
        </w:rPr>
      </w:pPr>
    </w:p>
    <w:sectPr w:rsidR="00696E4E" w:rsidRPr="00375C23" w:rsidSect="00712FD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C3A1F" w14:textId="77777777" w:rsidR="00FC7518" w:rsidRDefault="00FC7518" w:rsidP="00F638FB">
      <w:r>
        <w:separator/>
      </w:r>
    </w:p>
  </w:endnote>
  <w:endnote w:type="continuationSeparator" w:id="0">
    <w:p w14:paraId="4BAA2F3D" w14:textId="77777777" w:rsidR="00FC7518" w:rsidRDefault="00FC7518" w:rsidP="00F6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896745"/>
      <w:docPartObj>
        <w:docPartGallery w:val="Page Numbers (Bottom of Page)"/>
        <w:docPartUnique/>
      </w:docPartObj>
    </w:sdtPr>
    <w:sdtEndPr>
      <w:rPr>
        <w:noProof/>
      </w:rPr>
    </w:sdtEndPr>
    <w:sdtContent>
      <w:p w14:paraId="5362E076" w14:textId="02D8A254" w:rsidR="00712FDF" w:rsidRDefault="00712FDF" w:rsidP="00712FDF">
        <w:pPr>
          <w:pStyle w:val="af3"/>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75FDE" w14:textId="77777777" w:rsidR="00FC7518" w:rsidRDefault="00FC7518" w:rsidP="00F638FB">
      <w:r>
        <w:separator/>
      </w:r>
    </w:p>
  </w:footnote>
  <w:footnote w:type="continuationSeparator" w:id="0">
    <w:p w14:paraId="363217A5" w14:textId="77777777" w:rsidR="00FC7518" w:rsidRDefault="00FC7518" w:rsidP="00F6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125D3"/>
    <w:multiLevelType w:val="hybridMultilevel"/>
    <w:tmpl w:val="1E6A19CE"/>
    <w:lvl w:ilvl="0" w:tplc="738E6F7A">
      <w:start w:val="5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28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GB" w:vendorID="64" w:dllVersion="409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xtw2wvpzpfvlee5syxwewasxxz5ztefwae&quot;&gt;排放清单同化&lt;record-ids&gt;&lt;item&gt;239&lt;/item&gt;&lt;item&gt;240&lt;/item&gt;&lt;item&gt;272&lt;/item&gt;&lt;item&gt;286&lt;/item&gt;&lt;item&gt;553&lt;/item&gt;&lt;item&gt;554&lt;/item&gt;&lt;item&gt;555&lt;/item&gt;&lt;item&gt;556&lt;/item&gt;&lt;item&gt;558&lt;/item&gt;&lt;item&gt;559&lt;/item&gt;&lt;item&gt;560&lt;/item&gt;&lt;/record-ids&gt;&lt;/item&gt;&lt;/Libraries&gt;"/>
  </w:docVars>
  <w:rsids>
    <w:rsidRoot w:val="002E2FAE"/>
    <w:rsid w:val="000027FE"/>
    <w:rsid w:val="00006B56"/>
    <w:rsid w:val="000142EB"/>
    <w:rsid w:val="00015668"/>
    <w:rsid w:val="0002078A"/>
    <w:rsid w:val="00036B0D"/>
    <w:rsid w:val="00036F7F"/>
    <w:rsid w:val="0004232B"/>
    <w:rsid w:val="0004329F"/>
    <w:rsid w:val="00054DDC"/>
    <w:rsid w:val="00061E8D"/>
    <w:rsid w:val="0006352A"/>
    <w:rsid w:val="00080F28"/>
    <w:rsid w:val="00083896"/>
    <w:rsid w:val="000863BB"/>
    <w:rsid w:val="00092127"/>
    <w:rsid w:val="00096832"/>
    <w:rsid w:val="000A0EA0"/>
    <w:rsid w:val="000A4A0F"/>
    <w:rsid w:val="000B20E8"/>
    <w:rsid w:val="000C1349"/>
    <w:rsid w:val="000C155F"/>
    <w:rsid w:val="000C3308"/>
    <w:rsid w:val="000C55E5"/>
    <w:rsid w:val="000C6C44"/>
    <w:rsid w:val="000D20BA"/>
    <w:rsid w:val="000D20FE"/>
    <w:rsid w:val="000D2221"/>
    <w:rsid w:val="000D5111"/>
    <w:rsid w:val="000E2930"/>
    <w:rsid w:val="000F40DB"/>
    <w:rsid w:val="000F7A77"/>
    <w:rsid w:val="00107212"/>
    <w:rsid w:val="0011501A"/>
    <w:rsid w:val="00120FCE"/>
    <w:rsid w:val="00123C30"/>
    <w:rsid w:val="00127C52"/>
    <w:rsid w:val="001340F6"/>
    <w:rsid w:val="001372AB"/>
    <w:rsid w:val="00144EB9"/>
    <w:rsid w:val="0015109F"/>
    <w:rsid w:val="00152C89"/>
    <w:rsid w:val="00157A3D"/>
    <w:rsid w:val="00157A43"/>
    <w:rsid w:val="00171015"/>
    <w:rsid w:val="00172F1F"/>
    <w:rsid w:val="00176B28"/>
    <w:rsid w:val="0017795E"/>
    <w:rsid w:val="00180769"/>
    <w:rsid w:val="00181812"/>
    <w:rsid w:val="00183E56"/>
    <w:rsid w:val="00195E3D"/>
    <w:rsid w:val="001964E1"/>
    <w:rsid w:val="001A5B53"/>
    <w:rsid w:val="001B3A32"/>
    <w:rsid w:val="001C1CB5"/>
    <w:rsid w:val="001C29DB"/>
    <w:rsid w:val="001C53DF"/>
    <w:rsid w:val="001D4382"/>
    <w:rsid w:val="001E0AD9"/>
    <w:rsid w:val="001E1CA9"/>
    <w:rsid w:val="001F5883"/>
    <w:rsid w:val="001F6DFE"/>
    <w:rsid w:val="00205073"/>
    <w:rsid w:val="00211F9A"/>
    <w:rsid w:val="00216009"/>
    <w:rsid w:val="00216C63"/>
    <w:rsid w:val="00220BA9"/>
    <w:rsid w:val="00222632"/>
    <w:rsid w:val="002233C9"/>
    <w:rsid w:val="002249F6"/>
    <w:rsid w:val="00224CCA"/>
    <w:rsid w:val="00227F45"/>
    <w:rsid w:val="00231012"/>
    <w:rsid w:val="002347D8"/>
    <w:rsid w:val="0025324E"/>
    <w:rsid w:val="002533F8"/>
    <w:rsid w:val="00254B42"/>
    <w:rsid w:val="0027213E"/>
    <w:rsid w:val="002747CB"/>
    <w:rsid w:val="00275180"/>
    <w:rsid w:val="00276C19"/>
    <w:rsid w:val="0028016B"/>
    <w:rsid w:val="00280D3F"/>
    <w:rsid w:val="002816F4"/>
    <w:rsid w:val="00282C0B"/>
    <w:rsid w:val="002905B7"/>
    <w:rsid w:val="00294664"/>
    <w:rsid w:val="00297483"/>
    <w:rsid w:val="002B1FA2"/>
    <w:rsid w:val="002B3B93"/>
    <w:rsid w:val="002B70BA"/>
    <w:rsid w:val="002B7683"/>
    <w:rsid w:val="002C1FD9"/>
    <w:rsid w:val="002D14AC"/>
    <w:rsid w:val="002D55B6"/>
    <w:rsid w:val="002E2FAE"/>
    <w:rsid w:val="002F3D60"/>
    <w:rsid w:val="002F4429"/>
    <w:rsid w:val="00303D77"/>
    <w:rsid w:val="00307669"/>
    <w:rsid w:val="00310C6A"/>
    <w:rsid w:val="00311020"/>
    <w:rsid w:val="00320E3D"/>
    <w:rsid w:val="003248BB"/>
    <w:rsid w:val="003352E0"/>
    <w:rsid w:val="00335DD5"/>
    <w:rsid w:val="0034165C"/>
    <w:rsid w:val="00351530"/>
    <w:rsid w:val="00357531"/>
    <w:rsid w:val="00375C23"/>
    <w:rsid w:val="00377862"/>
    <w:rsid w:val="0038270D"/>
    <w:rsid w:val="003864F0"/>
    <w:rsid w:val="003A1BC3"/>
    <w:rsid w:val="003A30A7"/>
    <w:rsid w:val="003A49B8"/>
    <w:rsid w:val="003A74C5"/>
    <w:rsid w:val="003B71DF"/>
    <w:rsid w:val="003C60E8"/>
    <w:rsid w:val="003C7CFA"/>
    <w:rsid w:val="003D28AE"/>
    <w:rsid w:val="003D3ECD"/>
    <w:rsid w:val="003D4319"/>
    <w:rsid w:val="003D47EE"/>
    <w:rsid w:val="003E74AA"/>
    <w:rsid w:val="00401CF4"/>
    <w:rsid w:val="00402BD4"/>
    <w:rsid w:val="004077E3"/>
    <w:rsid w:val="004159F3"/>
    <w:rsid w:val="00416293"/>
    <w:rsid w:val="00417C09"/>
    <w:rsid w:val="00417F18"/>
    <w:rsid w:val="004216BF"/>
    <w:rsid w:val="00431799"/>
    <w:rsid w:val="00432D1A"/>
    <w:rsid w:val="00435EDE"/>
    <w:rsid w:val="00436F87"/>
    <w:rsid w:val="004375F3"/>
    <w:rsid w:val="00442199"/>
    <w:rsid w:val="00442A6D"/>
    <w:rsid w:val="0045032F"/>
    <w:rsid w:val="0045108A"/>
    <w:rsid w:val="004532E5"/>
    <w:rsid w:val="00457EF5"/>
    <w:rsid w:val="00470879"/>
    <w:rsid w:val="00470D71"/>
    <w:rsid w:val="00472597"/>
    <w:rsid w:val="00472E72"/>
    <w:rsid w:val="00490BD3"/>
    <w:rsid w:val="00492105"/>
    <w:rsid w:val="00496461"/>
    <w:rsid w:val="004A10F1"/>
    <w:rsid w:val="004A5EBC"/>
    <w:rsid w:val="004B04AB"/>
    <w:rsid w:val="004B343D"/>
    <w:rsid w:val="004C307E"/>
    <w:rsid w:val="004C3807"/>
    <w:rsid w:val="004E0BD7"/>
    <w:rsid w:val="0050054E"/>
    <w:rsid w:val="00501897"/>
    <w:rsid w:val="00503A22"/>
    <w:rsid w:val="00504561"/>
    <w:rsid w:val="005053A3"/>
    <w:rsid w:val="005109B4"/>
    <w:rsid w:val="0051220F"/>
    <w:rsid w:val="00514508"/>
    <w:rsid w:val="00517B1E"/>
    <w:rsid w:val="00517DFA"/>
    <w:rsid w:val="00520972"/>
    <w:rsid w:val="005220E6"/>
    <w:rsid w:val="005233BB"/>
    <w:rsid w:val="00531479"/>
    <w:rsid w:val="00533A9E"/>
    <w:rsid w:val="00546686"/>
    <w:rsid w:val="00554912"/>
    <w:rsid w:val="00556BA7"/>
    <w:rsid w:val="0056103B"/>
    <w:rsid w:val="00565BEA"/>
    <w:rsid w:val="005667CE"/>
    <w:rsid w:val="005741CA"/>
    <w:rsid w:val="005843B7"/>
    <w:rsid w:val="00584D8F"/>
    <w:rsid w:val="00586655"/>
    <w:rsid w:val="00592A01"/>
    <w:rsid w:val="005A74D8"/>
    <w:rsid w:val="005B0C4A"/>
    <w:rsid w:val="005B3C28"/>
    <w:rsid w:val="005C16B4"/>
    <w:rsid w:val="005C1D1B"/>
    <w:rsid w:val="005C3BB1"/>
    <w:rsid w:val="005C4351"/>
    <w:rsid w:val="005C4790"/>
    <w:rsid w:val="005C57CF"/>
    <w:rsid w:val="005D1D57"/>
    <w:rsid w:val="005D5388"/>
    <w:rsid w:val="005D73F4"/>
    <w:rsid w:val="005D7ED8"/>
    <w:rsid w:val="005E10B4"/>
    <w:rsid w:val="005E1D93"/>
    <w:rsid w:val="00602822"/>
    <w:rsid w:val="00610C99"/>
    <w:rsid w:val="006138A5"/>
    <w:rsid w:val="00614CBE"/>
    <w:rsid w:val="00616D34"/>
    <w:rsid w:val="006204F0"/>
    <w:rsid w:val="006215FE"/>
    <w:rsid w:val="00624978"/>
    <w:rsid w:val="006478D3"/>
    <w:rsid w:val="006655C9"/>
    <w:rsid w:val="006676F4"/>
    <w:rsid w:val="0067114F"/>
    <w:rsid w:val="006725BC"/>
    <w:rsid w:val="00672C1B"/>
    <w:rsid w:val="0067674E"/>
    <w:rsid w:val="00691274"/>
    <w:rsid w:val="00695A35"/>
    <w:rsid w:val="00696E4E"/>
    <w:rsid w:val="006A5FC5"/>
    <w:rsid w:val="006A69C9"/>
    <w:rsid w:val="006B3B30"/>
    <w:rsid w:val="006B4AE8"/>
    <w:rsid w:val="006B61AF"/>
    <w:rsid w:val="006C5A77"/>
    <w:rsid w:val="006C7178"/>
    <w:rsid w:val="006D69AE"/>
    <w:rsid w:val="006D758D"/>
    <w:rsid w:val="006E0255"/>
    <w:rsid w:val="006E597D"/>
    <w:rsid w:val="006F715E"/>
    <w:rsid w:val="00704A4D"/>
    <w:rsid w:val="0070738D"/>
    <w:rsid w:val="00711C5E"/>
    <w:rsid w:val="00711CB2"/>
    <w:rsid w:val="00712FDF"/>
    <w:rsid w:val="00717798"/>
    <w:rsid w:val="00720E9B"/>
    <w:rsid w:val="00726091"/>
    <w:rsid w:val="00726D84"/>
    <w:rsid w:val="007271C9"/>
    <w:rsid w:val="00730653"/>
    <w:rsid w:val="00732476"/>
    <w:rsid w:val="007420BD"/>
    <w:rsid w:val="0074247C"/>
    <w:rsid w:val="0074547A"/>
    <w:rsid w:val="00745DD5"/>
    <w:rsid w:val="00751585"/>
    <w:rsid w:val="00757012"/>
    <w:rsid w:val="00757A45"/>
    <w:rsid w:val="0076782C"/>
    <w:rsid w:val="00770A95"/>
    <w:rsid w:val="007758E3"/>
    <w:rsid w:val="00785648"/>
    <w:rsid w:val="00787655"/>
    <w:rsid w:val="00796F46"/>
    <w:rsid w:val="007A23B3"/>
    <w:rsid w:val="007A270F"/>
    <w:rsid w:val="007A55D6"/>
    <w:rsid w:val="007A671F"/>
    <w:rsid w:val="007A7EC3"/>
    <w:rsid w:val="007D0D89"/>
    <w:rsid w:val="007E18D6"/>
    <w:rsid w:val="007E543D"/>
    <w:rsid w:val="007F61CC"/>
    <w:rsid w:val="007F73B0"/>
    <w:rsid w:val="00810D77"/>
    <w:rsid w:val="00814FFD"/>
    <w:rsid w:val="008212B1"/>
    <w:rsid w:val="00821925"/>
    <w:rsid w:val="0083135B"/>
    <w:rsid w:val="00832E07"/>
    <w:rsid w:val="0083375E"/>
    <w:rsid w:val="00836E29"/>
    <w:rsid w:val="00841263"/>
    <w:rsid w:val="0084158D"/>
    <w:rsid w:val="008438AC"/>
    <w:rsid w:val="00844C41"/>
    <w:rsid w:val="00846308"/>
    <w:rsid w:val="00847B80"/>
    <w:rsid w:val="008542BA"/>
    <w:rsid w:val="00856B32"/>
    <w:rsid w:val="0086246F"/>
    <w:rsid w:val="0086483C"/>
    <w:rsid w:val="008707F1"/>
    <w:rsid w:val="008832C4"/>
    <w:rsid w:val="00883ED0"/>
    <w:rsid w:val="00894103"/>
    <w:rsid w:val="00895030"/>
    <w:rsid w:val="0089583E"/>
    <w:rsid w:val="008B27CB"/>
    <w:rsid w:val="008B375A"/>
    <w:rsid w:val="008B3AF7"/>
    <w:rsid w:val="008C40BC"/>
    <w:rsid w:val="008D55A8"/>
    <w:rsid w:val="008E4262"/>
    <w:rsid w:val="008F28C6"/>
    <w:rsid w:val="00903CC6"/>
    <w:rsid w:val="00907338"/>
    <w:rsid w:val="00910064"/>
    <w:rsid w:val="00913722"/>
    <w:rsid w:val="00926528"/>
    <w:rsid w:val="00931734"/>
    <w:rsid w:val="00936385"/>
    <w:rsid w:val="00941E9C"/>
    <w:rsid w:val="00945662"/>
    <w:rsid w:val="00947E3B"/>
    <w:rsid w:val="00950B88"/>
    <w:rsid w:val="009522B0"/>
    <w:rsid w:val="0096086C"/>
    <w:rsid w:val="00964BEC"/>
    <w:rsid w:val="00967CA0"/>
    <w:rsid w:val="00970E86"/>
    <w:rsid w:val="00974C08"/>
    <w:rsid w:val="00983749"/>
    <w:rsid w:val="00986930"/>
    <w:rsid w:val="00992B6C"/>
    <w:rsid w:val="00994768"/>
    <w:rsid w:val="009969DC"/>
    <w:rsid w:val="00997475"/>
    <w:rsid w:val="009A44BE"/>
    <w:rsid w:val="009A7962"/>
    <w:rsid w:val="009C1461"/>
    <w:rsid w:val="009D1D57"/>
    <w:rsid w:val="009D6590"/>
    <w:rsid w:val="009D735F"/>
    <w:rsid w:val="009E3C7B"/>
    <w:rsid w:val="009F3E72"/>
    <w:rsid w:val="00A0325B"/>
    <w:rsid w:val="00A035F3"/>
    <w:rsid w:val="00A05AA9"/>
    <w:rsid w:val="00A06409"/>
    <w:rsid w:val="00A1620A"/>
    <w:rsid w:val="00A16A06"/>
    <w:rsid w:val="00A17673"/>
    <w:rsid w:val="00A233A2"/>
    <w:rsid w:val="00A233DE"/>
    <w:rsid w:val="00A23CA9"/>
    <w:rsid w:val="00A23FBB"/>
    <w:rsid w:val="00A253B4"/>
    <w:rsid w:val="00A2786C"/>
    <w:rsid w:val="00A3151D"/>
    <w:rsid w:val="00A347A9"/>
    <w:rsid w:val="00A40B0E"/>
    <w:rsid w:val="00A41F92"/>
    <w:rsid w:val="00A4207E"/>
    <w:rsid w:val="00A53908"/>
    <w:rsid w:val="00A63416"/>
    <w:rsid w:val="00A83ED0"/>
    <w:rsid w:val="00A84230"/>
    <w:rsid w:val="00A84972"/>
    <w:rsid w:val="00A8566A"/>
    <w:rsid w:val="00A85884"/>
    <w:rsid w:val="00A910D1"/>
    <w:rsid w:val="00A91E0A"/>
    <w:rsid w:val="00A952F7"/>
    <w:rsid w:val="00A95DEE"/>
    <w:rsid w:val="00A9667E"/>
    <w:rsid w:val="00A97DAD"/>
    <w:rsid w:val="00AA0699"/>
    <w:rsid w:val="00AA4038"/>
    <w:rsid w:val="00AB0AD8"/>
    <w:rsid w:val="00AB38BC"/>
    <w:rsid w:val="00AC13EB"/>
    <w:rsid w:val="00AC5A1F"/>
    <w:rsid w:val="00AD01F9"/>
    <w:rsid w:val="00AD054C"/>
    <w:rsid w:val="00AE07BF"/>
    <w:rsid w:val="00AE243A"/>
    <w:rsid w:val="00AE324B"/>
    <w:rsid w:val="00AE6361"/>
    <w:rsid w:val="00AF6F73"/>
    <w:rsid w:val="00B0095C"/>
    <w:rsid w:val="00B03EE8"/>
    <w:rsid w:val="00B0530A"/>
    <w:rsid w:val="00B061FA"/>
    <w:rsid w:val="00B120B8"/>
    <w:rsid w:val="00B15381"/>
    <w:rsid w:val="00B15959"/>
    <w:rsid w:val="00B27014"/>
    <w:rsid w:val="00B3737B"/>
    <w:rsid w:val="00B42F8E"/>
    <w:rsid w:val="00B4372C"/>
    <w:rsid w:val="00B4544A"/>
    <w:rsid w:val="00B50993"/>
    <w:rsid w:val="00B52990"/>
    <w:rsid w:val="00B55882"/>
    <w:rsid w:val="00B5693C"/>
    <w:rsid w:val="00B57CF9"/>
    <w:rsid w:val="00B6065F"/>
    <w:rsid w:val="00B74502"/>
    <w:rsid w:val="00B82C2E"/>
    <w:rsid w:val="00B82E63"/>
    <w:rsid w:val="00B84752"/>
    <w:rsid w:val="00B90160"/>
    <w:rsid w:val="00B91D4C"/>
    <w:rsid w:val="00B95E63"/>
    <w:rsid w:val="00BA0A7C"/>
    <w:rsid w:val="00BA6E45"/>
    <w:rsid w:val="00BB0225"/>
    <w:rsid w:val="00BB710A"/>
    <w:rsid w:val="00BB7CD6"/>
    <w:rsid w:val="00BD1DB5"/>
    <w:rsid w:val="00BD3673"/>
    <w:rsid w:val="00BD4EB9"/>
    <w:rsid w:val="00BE11C2"/>
    <w:rsid w:val="00BE4A87"/>
    <w:rsid w:val="00BE51E6"/>
    <w:rsid w:val="00BE69FE"/>
    <w:rsid w:val="00BE78BB"/>
    <w:rsid w:val="00BF2AF8"/>
    <w:rsid w:val="00C074DC"/>
    <w:rsid w:val="00C12E4A"/>
    <w:rsid w:val="00C213DE"/>
    <w:rsid w:val="00C22724"/>
    <w:rsid w:val="00C25385"/>
    <w:rsid w:val="00C45F55"/>
    <w:rsid w:val="00C51257"/>
    <w:rsid w:val="00C52DFE"/>
    <w:rsid w:val="00C60C64"/>
    <w:rsid w:val="00C675B9"/>
    <w:rsid w:val="00C7103F"/>
    <w:rsid w:val="00C715EA"/>
    <w:rsid w:val="00C73839"/>
    <w:rsid w:val="00C7620B"/>
    <w:rsid w:val="00C772BF"/>
    <w:rsid w:val="00C92468"/>
    <w:rsid w:val="00C94B1B"/>
    <w:rsid w:val="00CA1486"/>
    <w:rsid w:val="00CA37EF"/>
    <w:rsid w:val="00CA3C7D"/>
    <w:rsid w:val="00CA667D"/>
    <w:rsid w:val="00CB1290"/>
    <w:rsid w:val="00CB47A1"/>
    <w:rsid w:val="00CB7327"/>
    <w:rsid w:val="00CC2324"/>
    <w:rsid w:val="00CC742E"/>
    <w:rsid w:val="00CD0116"/>
    <w:rsid w:val="00CD6C9B"/>
    <w:rsid w:val="00CE0000"/>
    <w:rsid w:val="00CE09B9"/>
    <w:rsid w:val="00CF3016"/>
    <w:rsid w:val="00CF6E62"/>
    <w:rsid w:val="00CF6F0B"/>
    <w:rsid w:val="00CF79F2"/>
    <w:rsid w:val="00D036D6"/>
    <w:rsid w:val="00D043FC"/>
    <w:rsid w:val="00D05F57"/>
    <w:rsid w:val="00D061F9"/>
    <w:rsid w:val="00D140E4"/>
    <w:rsid w:val="00D16C46"/>
    <w:rsid w:val="00D27A19"/>
    <w:rsid w:val="00D30C5E"/>
    <w:rsid w:val="00D32D64"/>
    <w:rsid w:val="00D346B5"/>
    <w:rsid w:val="00D359F1"/>
    <w:rsid w:val="00D412CD"/>
    <w:rsid w:val="00D43746"/>
    <w:rsid w:val="00D45388"/>
    <w:rsid w:val="00D45A52"/>
    <w:rsid w:val="00D51B4A"/>
    <w:rsid w:val="00D55009"/>
    <w:rsid w:val="00D55EAB"/>
    <w:rsid w:val="00D57674"/>
    <w:rsid w:val="00D6006D"/>
    <w:rsid w:val="00D60C02"/>
    <w:rsid w:val="00D62FD2"/>
    <w:rsid w:val="00D703AB"/>
    <w:rsid w:val="00D72AAE"/>
    <w:rsid w:val="00D72CD6"/>
    <w:rsid w:val="00D83FC9"/>
    <w:rsid w:val="00D86687"/>
    <w:rsid w:val="00D9088E"/>
    <w:rsid w:val="00DA2AD4"/>
    <w:rsid w:val="00DB47CD"/>
    <w:rsid w:val="00DB6D3E"/>
    <w:rsid w:val="00DC1882"/>
    <w:rsid w:val="00DC3BD1"/>
    <w:rsid w:val="00DC6D73"/>
    <w:rsid w:val="00DD48F5"/>
    <w:rsid w:val="00DE3808"/>
    <w:rsid w:val="00DE5282"/>
    <w:rsid w:val="00DE755D"/>
    <w:rsid w:val="00DE76D4"/>
    <w:rsid w:val="00DE7B8B"/>
    <w:rsid w:val="00DE7ECB"/>
    <w:rsid w:val="00DF7AF4"/>
    <w:rsid w:val="00E02A74"/>
    <w:rsid w:val="00E0354F"/>
    <w:rsid w:val="00E0544E"/>
    <w:rsid w:val="00E118C6"/>
    <w:rsid w:val="00E13A74"/>
    <w:rsid w:val="00E17C31"/>
    <w:rsid w:val="00E35B3B"/>
    <w:rsid w:val="00E361D8"/>
    <w:rsid w:val="00E37652"/>
    <w:rsid w:val="00E428EB"/>
    <w:rsid w:val="00E43ACA"/>
    <w:rsid w:val="00E43FCB"/>
    <w:rsid w:val="00E46951"/>
    <w:rsid w:val="00E51D7E"/>
    <w:rsid w:val="00E52FB3"/>
    <w:rsid w:val="00E531CE"/>
    <w:rsid w:val="00E57C56"/>
    <w:rsid w:val="00E66CB4"/>
    <w:rsid w:val="00E66FF6"/>
    <w:rsid w:val="00E71999"/>
    <w:rsid w:val="00E77B7C"/>
    <w:rsid w:val="00E81577"/>
    <w:rsid w:val="00E83A9F"/>
    <w:rsid w:val="00E84886"/>
    <w:rsid w:val="00E85E9D"/>
    <w:rsid w:val="00E93850"/>
    <w:rsid w:val="00E942A0"/>
    <w:rsid w:val="00E95445"/>
    <w:rsid w:val="00E9585B"/>
    <w:rsid w:val="00E96241"/>
    <w:rsid w:val="00EA1FBF"/>
    <w:rsid w:val="00EA29B8"/>
    <w:rsid w:val="00EA3C15"/>
    <w:rsid w:val="00EB1405"/>
    <w:rsid w:val="00EB18F3"/>
    <w:rsid w:val="00EB4AD7"/>
    <w:rsid w:val="00EB4FD3"/>
    <w:rsid w:val="00EB7336"/>
    <w:rsid w:val="00ED28B5"/>
    <w:rsid w:val="00EE2B56"/>
    <w:rsid w:val="00EE61B0"/>
    <w:rsid w:val="00EE6BA0"/>
    <w:rsid w:val="00EF01ED"/>
    <w:rsid w:val="00EF1C91"/>
    <w:rsid w:val="00EF622D"/>
    <w:rsid w:val="00F16A2A"/>
    <w:rsid w:val="00F32B1E"/>
    <w:rsid w:val="00F32BDC"/>
    <w:rsid w:val="00F34BC1"/>
    <w:rsid w:val="00F37DD3"/>
    <w:rsid w:val="00F4364F"/>
    <w:rsid w:val="00F50B11"/>
    <w:rsid w:val="00F50BFF"/>
    <w:rsid w:val="00F569E5"/>
    <w:rsid w:val="00F638FB"/>
    <w:rsid w:val="00F70FFB"/>
    <w:rsid w:val="00F72C16"/>
    <w:rsid w:val="00F751B0"/>
    <w:rsid w:val="00F76B00"/>
    <w:rsid w:val="00F770D1"/>
    <w:rsid w:val="00F775CF"/>
    <w:rsid w:val="00F829B3"/>
    <w:rsid w:val="00F86D4F"/>
    <w:rsid w:val="00F96CB8"/>
    <w:rsid w:val="00FA6BAE"/>
    <w:rsid w:val="00FA7ED2"/>
    <w:rsid w:val="00FB17E6"/>
    <w:rsid w:val="00FB6A18"/>
    <w:rsid w:val="00FC0B8B"/>
    <w:rsid w:val="00FC3B5D"/>
    <w:rsid w:val="00FC3C63"/>
    <w:rsid w:val="00FC4331"/>
    <w:rsid w:val="00FC7518"/>
    <w:rsid w:val="00FE4751"/>
    <w:rsid w:val="00FE5610"/>
    <w:rsid w:val="00FF30D3"/>
    <w:rsid w:val="00FF46E7"/>
    <w:rsid w:val="00FF6A74"/>
    <w:rsid w:val="00FF7AD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22B716"/>
  <w14:discardImageEditingData/>
  <w14:defaultImageDpi w14:val="32767"/>
  <w15:docId w15:val="{87FD7106-B7E2-3D45-B3FF-C39BD36C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1C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rsid w:val="002E2FAE"/>
    <w:pPr>
      <w:spacing w:after="200"/>
    </w:pPr>
    <w:rPr>
      <w:rFonts w:ascii="Times New Roman" w:hAnsi="Times New Roman"/>
      <w:iCs/>
      <w:color w:val="44546A" w:themeColor="text2"/>
      <w:sz w:val="20"/>
      <w:szCs w:val="18"/>
    </w:rPr>
  </w:style>
  <w:style w:type="character" w:styleId="a5">
    <w:name w:val="annotation reference"/>
    <w:basedOn w:val="a0"/>
    <w:uiPriority w:val="99"/>
    <w:rsid w:val="00216009"/>
    <w:rPr>
      <w:sz w:val="16"/>
      <w:szCs w:val="16"/>
    </w:rPr>
  </w:style>
  <w:style w:type="paragraph" w:styleId="a6">
    <w:name w:val="annotation text"/>
    <w:basedOn w:val="a"/>
    <w:link w:val="a7"/>
    <w:uiPriority w:val="99"/>
    <w:rsid w:val="00216009"/>
    <w:pPr>
      <w:widowControl w:val="0"/>
      <w:contextualSpacing/>
      <w:jc w:val="both"/>
    </w:pPr>
    <w:rPr>
      <w:rFonts w:ascii="Times New Roman" w:eastAsia="Times New Roman" w:hAnsi="Times New Roman" w:cs="Times New Roman"/>
      <w:kern w:val="2"/>
      <w:sz w:val="20"/>
      <w:szCs w:val="20"/>
      <w:lang w:val="en-US"/>
    </w:rPr>
  </w:style>
  <w:style w:type="character" w:customStyle="1" w:styleId="a7">
    <w:name w:val="批注文字 字符"/>
    <w:basedOn w:val="a0"/>
    <w:link w:val="a6"/>
    <w:uiPriority w:val="99"/>
    <w:rsid w:val="00216009"/>
    <w:rPr>
      <w:rFonts w:ascii="Times New Roman" w:eastAsia="Times New Roman" w:hAnsi="Times New Roman" w:cs="Times New Roman"/>
      <w:kern w:val="2"/>
      <w:sz w:val="20"/>
      <w:szCs w:val="20"/>
      <w:lang w:val="en-US"/>
    </w:rPr>
  </w:style>
  <w:style w:type="paragraph" w:styleId="a8">
    <w:name w:val="Revision"/>
    <w:hidden/>
    <w:uiPriority w:val="99"/>
    <w:semiHidden/>
    <w:rsid w:val="00B6065F"/>
  </w:style>
  <w:style w:type="paragraph" w:styleId="a9">
    <w:name w:val="Title"/>
    <w:basedOn w:val="a"/>
    <w:next w:val="a"/>
    <w:link w:val="aa"/>
    <w:qFormat/>
    <w:rsid w:val="00A952F7"/>
    <w:pPr>
      <w:contextualSpacing/>
    </w:pPr>
    <w:rPr>
      <w:rFonts w:asciiTheme="majorHAnsi" w:eastAsiaTheme="majorEastAsia" w:hAnsiTheme="majorHAnsi" w:cstheme="majorBidi"/>
      <w:spacing w:val="-10"/>
      <w:kern w:val="28"/>
      <w:sz w:val="56"/>
      <w:szCs w:val="56"/>
    </w:rPr>
  </w:style>
  <w:style w:type="character" w:customStyle="1" w:styleId="aa">
    <w:name w:val="标题 字符"/>
    <w:basedOn w:val="a0"/>
    <w:link w:val="a9"/>
    <w:rsid w:val="00A952F7"/>
    <w:rPr>
      <w:rFonts w:asciiTheme="majorHAnsi" w:eastAsiaTheme="majorEastAsia" w:hAnsiTheme="majorHAnsi" w:cstheme="majorBidi"/>
      <w:spacing w:val="-10"/>
      <w:kern w:val="28"/>
      <w:sz w:val="56"/>
      <w:szCs w:val="56"/>
    </w:rPr>
  </w:style>
  <w:style w:type="paragraph" w:customStyle="1" w:styleId="Affiliation">
    <w:name w:val="Affiliation"/>
    <w:basedOn w:val="a"/>
    <w:link w:val="AffiliationChar"/>
    <w:qFormat/>
    <w:rsid w:val="00BD4EB9"/>
    <w:pPr>
      <w:spacing w:before="120"/>
      <w:contextualSpacing/>
      <w:jc w:val="both"/>
    </w:pPr>
    <w:rPr>
      <w:rFonts w:ascii="Times New Roman" w:eastAsia="Times New Roman" w:hAnsi="Times New Roman" w:cs="Times New Roman"/>
      <w:sz w:val="20"/>
      <w:lang w:val="en-GB" w:eastAsia="de-DE"/>
    </w:rPr>
  </w:style>
  <w:style w:type="character" w:customStyle="1" w:styleId="AffiliationChar">
    <w:name w:val="Affiliation Char"/>
    <w:basedOn w:val="a0"/>
    <w:link w:val="Affiliation"/>
    <w:rsid w:val="00BD4EB9"/>
    <w:rPr>
      <w:rFonts w:ascii="Times New Roman" w:eastAsia="Times New Roman" w:hAnsi="Times New Roman" w:cs="Times New Roman"/>
      <w:sz w:val="20"/>
      <w:lang w:val="en-GB" w:eastAsia="de-DE"/>
    </w:rPr>
  </w:style>
  <w:style w:type="paragraph" w:styleId="ab">
    <w:name w:val="annotation subject"/>
    <w:basedOn w:val="a6"/>
    <w:next w:val="a6"/>
    <w:link w:val="ac"/>
    <w:uiPriority w:val="99"/>
    <w:semiHidden/>
    <w:unhideWhenUsed/>
    <w:rsid w:val="00624978"/>
    <w:pPr>
      <w:widowControl/>
      <w:contextualSpacing w:val="0"/>
      <w:jc w:val="left"/>
    </w:pPr>
    <w:rPr>
      <w:rFonts w:asciiTheme="minorHAnsi" w:eastAsiaTheme="minorEastAsia" w:hAnsiTheme="minorHAnsi" w:cstheme="minorBidi"/>
      <w:b/>
      <w:bCs/>
      <w:kern w:val="0"/>
      <w:sz w:val="24"/>
      <w:szCs w:val="24"/>
      <w:lang w:val="en-SG"/>
    </w:rPr>
  </w:style>
  <w:style w:type="character" w:customStyle="1" w:styleId="ac">
    <w:name w:val="批注主题 字符"/>
    <w:basedOn w:val="a7"/>
    <w:link w:val="ab"/>
    <w:uiPriority w:val="99"/>
    <w:semiHidden/>
    <w:rsid w:val="00624978"/>
    <w:rPr>
      <w:rFonts w:ascii="Times New Roman" w:eastAsia="Times New Roman" w:hAnsi="Times New Roman" w:cs="Times New Roman"/>
      <w:b/>
      <w:bCs/>
      <w:kern w:val="2"/>
      <w:sz w:val="20"/>
      <w:szCs w:val="20"/>
      <w:lang w:val="en-US"/>
    </w:rPr>
  </w:style>
  <w:style w:type="table" w:styleId="ad">
    <w:name w:val="Table Grid"/>
    <w:basedOn w:val="a1"/>
    <w:uiPriority w:val="39"/>
    <w:rsid w:val="00696E4E"/>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E85E9D"/>
    <w:pPr>
      <w:spacing w:before="100" w:beforeAutospacing="1" w:after="100" w:afterAutospacing="1"/>
    </w:pPr>
    <w:rPr>
      <w:rFonts w:ascii="宋体" w:eastAsia="宋体" w:hAnsi="宋体" w:cs="宋体"/>
      <w:lang w:val="en-US"/>
    </w:rPr>
  </w:style>
  <w:style w:type="paragraph" w:customStyle="1" w:styleId="EndNoteBibliographyTitle">
    <w:name w:val="EndNote Bibliography Title"/>
    <w:basedOn w:val="a"/>
    <w:link w:val="EndNoteBibliographyTitle0"/>
    <w:rsid w:val="0074247C"/>
    <w:pPr>
      <w:jc w:val="center"/>
    </w:pPr>
    <w:rPr>
      <w:rFonts w:ascii="Calibri" w:hAnsi="Calibri" w:cs="Calibri"/>
    </w:rPr>
  </w:style>
  <w:style w:type="character" w:customStyle="1" w:styleId="a4">
    <w:name w:val="题注 字符"/>
    <w:basedOn w:val="a0"/>
    <w:link w:val="a3"/>
    <w:rsid w:val="0074247C"/>
    <w:rPr>
      <w:rFonts w:ascii="Times New Roman" w:hAnsi="Times New Roman"/>
      <w:iCs/>
      <w:color w:val="44546A" w:themeColor="text2"/>
      <w:sz w:val="20"/>
      <w:szCs w:val="18"/>
    </w:rPr>
  </w:style>
  <w:style w:type="character" w:customStyle="1" w:styleId="EndNoteBibliographyTitle0">
    <w:name w:val="EndNote Bibliography Title 字符"/>
    <w:basedOn w:val="a4"/>
    <w:link w:val="EndNoteBibliographyTitle"/>
    <w:rsid w:val="0074247C"/>
    <w:rPr>
      <w:rFonts w:ascii="Calibri" w:hAnsi="Calibri" w:cs="Calibri"/>
      <w:iCs w:val="0"/>
      <w:color w:val="44546A" w:themeColor="text2"/>
      <w:sz w:val="20"/>
      <w:szCs w:val="18"/>
    </w:rPr>
  </w:style>
  <w:style w:type="paragraph" w:customStyle="1" w:styleId="EndNoteBibliography">
    <w:name w:val="EndNote Bibliography"/>
    <w:basedOn w:val="a"/>
    <w:link w:val="EndNoteBibliography0"/>
    <w:rsid w:val="0074247C"/>
    <w:rPr>
      <w:rFonts w:ascii="Calibri" w:hAnsi="Calibri" w:cs="Calibri"/>
    </w:rPr>
  </w:style>
  <w:style w:type="character" w:customStyle="1" w:styleId="EndNoteBibliography0">
    <w:name w:val="EndNote Bibliography 字符"/>
    <w:basedOn w:val="a4"/>
    <w:link w:val="EndNoteBibliography"/>
    <w:rsid w:val="0074247C"/>
    <w:rPr>
      <w:rFonts w:ascii="Calibri" w:hAnsi="Calibri" w:cs="Calibri"/>
      <w:iCs w:val="0"/>
      <w:color w:val="44546A" w:themeColor="text2"/>
      <w:sz w:val="20"/>
      <w:szCs w:val="18"/>
    </w:rPr>
  </w:style>
  <w:style w:type="character" w:styleId="af">
    <w:name w:val="Hyperlink"/>
    <w:basedOn w:val="a0"/>
    <w:uiPriority w:val="99"/>
    <w:unhideWhenUsed/>
    <w:rsid w:val="0074247C"/>
    <w:rPr>
      <w:color w:val="0563C1" w:themeColor="hyperlink"/>
      <w:u w:val="single"/>
    </w:rPr>
  </w:style>
  <w:style w:type="character" w:styleId="af0">
    <w:name w:val="Unresolved Mention"/>
    <w:basedOn w:val="a0"/>
    <w:uiPriority w:val="99"/>
    <w:semiHidden/>
    <w:unhideWhenUsed/>
    <w:rsid w:val="0074247C"/>
    <w:rPr>
      <w:color w:val="605E5C"/>
      <w:shd w:val="clear" w:color="auto" w:fill="E1DFDD"/>
    </w:rPr>
  </w:style>
  <w:style w:type="paragraph" w:styleId="af1">
    <w:name w:val="header"/>
    <w:basedOn w:val="a"/>
    <w:link w:val="af2"/>
    <w:uiPriority w:val="99"/>
    <w:unhideWhenUsed/>
    <w:rsid w:val="00F638FB"/>
    <w:pPr>
      <w:tabs>
        <w:tab w:val="center" w:pos="4320"/>
        <w:tab w:val="right" w:pos="8640"/>
      </w:tabs>
    </w:pPr>
  </w:style>
  <w:style w:type="character" w:customStyle="1" w:styleId="af2">
    <w:name w:val="页眉 字符"/>
    <w:basedOn w:val="a0"/>
    <w:link w:val="af1"/>
    <w:uiPriority w:val="99"/>
    <w:rsid w:val="00F638FB"/>
  </w:style>
  <w:style w:type="paragraph" w:styleId="af3">
    <w:name w:val="footer"/>
    <w:basedOn w:val="a"/>
    <w:link w:val="af4"/>
    <w:uiPriority w:val="99"/>
    <w:unhideWhenUsed/>
    <w:rsid w:val="00F638FB"/>
    <w:pPr>
      <w:tabs>
        <w:tab w:val="center" w:pos="4320"/>
        <w:tab w:val="right" w:pos="8640"/>
      </w:tabs>
    </w:pPr>
  </w:style>
  <w:style w:type="character" w:customStyle="1" w:styleId="af4">
    <w:name w:val="页脚 字符"/>
    <w:basedOn w:val="a0"/>
    <w:link w:val="af3"/>
    <w:uiPriority w:val="99"/>
    <w:rsid w:val="00F638FB"/>
  </w:style>
  <w:style w:type="paragraph" w:styleId="af5">
    <w:name w:val="List Paragraph"/>
    <w:basedOn w:val="a"/>
    <w:uiPriority w:val="34"/>
    <w:qFormat/>
    <w:rsid w:val="005C1D1B"/>
    <w:pPr>
      <w:ind w:left="720"/>
      <w:contextualSpacing/>
    </w:pPr>
  </w:style>
  <w:style w:type="character" w:styleId="af6">
    <w:name w:val="Placeholder Text"/>
    <w:basedOn w:val="a0"/>
    <w:uiPriority w:val="99"/>
    <w:semiHidden/>
    <w:rsid w:val="001A5B5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71979">
      <w:bodyDiv w:val="1"/>
      <w:marLeft w:val="0"/>
      <w:marRight w:val="0"/>
      <w:marTop w:val="0"/>
      <w:marBottom w:val="0"/>
      <w:divBdr>
        <w:top w:val="none" w:sz="0" w:space="0" w:color="auto"/>
        <w:left w:val="none" w:sz="0" w:space="0" w:color="auto"/>
        <w:bottom w:val="none" w:sz="0" w:space="0" w:color="auto"/>
        <w:right w:val="none" w:sz="0" w:space="0" w:color="auto"/>
      </w:divBdr>
    </w:div>
    <w:div w:id="293295391">
      <w:bodyDiv w:val="1"/>
      <w:marLeft w:val="0"/>
      <w:marRight w:val="0"/>
      <w:marTop w:val="0"/>
      <w:marBottom w:val="0"/>
      <w:divBdr>
        <w:top w:val="none" w:sz="0" w:space="0" w:color="auto"/>
        <w:left w:val="none" w:sz="0" w:space="0" w:color="auto"/>
        <w:bottom w:val="none" w:sz="0" w:space="0" w:color="auto"/>
        <w:right w:val="none" w:sz="0" w:space="0" w:color="auto"/>
      </w:divBdr>
    </w:div>
    <w:div w:id="297810149">
      <w:bodyDiv w:val="1"/>
      <w:marLeft w:val="0"/>
      <w:marRight w:val="0"/>
      <w:marTop w:val="0"/>
      <w:marBottom w:val="0"/>
      <w:divBdr>
        <w:top w:val="none" w:sz="0" w:space="0" w:color="auto"/>
        <w:left w:val="none" w:sz="0" w:space="0" w:color="auto"/>
        <w:bottom w:val="none" w:sz="0" w:space="0" w:color="auto"/>
        <w:right w:val="none" w:sz="0" w:space="0" w:color="auto"/>
      </w:divBdr>
      <w:divsChild>
        <w:div w:id="162136528">
          <w:marLeft w:val="0"/>
          <w:marRight w:val="0"/>
          <w:marTop w:val="0"/>
          <w:marBottom w:val="0"/>
          <w:divBdr>
            <w:top w:val="none" w:sz="0" w:space="0" w:color="auto"/>
            <w:left w:val="none" w:sz="0" w:space="0" w:color="auto"/>
            <w:bottom w:val="none" w:sz="0" w:space="0" w:color="auto"/>
            <w:right w:val="none" w:sz="0" w:space="0" w:color="auto"/>
          </w:divBdr>
          <w:divsChild>
            <w:div w:id="2007441737">
              <w:marLeft w:val="0"/>
              <w:marRight w:val="0"/>
              <w:marTop w:val="0"/>
              <w:marBottom w:val="0"/>
              <w:divBdr>
                <w:top w:val="none" w:sz="0" w:space="0" w:color="auto"/>
                <w:left w:val="none" w:sz="0" w:space="0" w:color="auto"/>
                <w:bottom w:val="none" w:sz="0" w:space="0" w:color="auto"/>
                <w:right w:val="none" w:sz="0" w:space="0" w:color="auto"/>
              </w:divBdr>
              <w:divsChild>
                <w:div w:id="12719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95061">
      <w:bodyDiv w:val="1"/>
      <w:marLeft w:val="0"/>
      <w:marRight w:val="0"/>
      <w:marTop w:val="0"/>
      <w:marBottom w:val="0"/>
      <w:divBdr>
        <w:top w:val="none" w:sz="0" w:space="0" w:color="auto"/>
        <w:left w:val="none" w:sz="0" w:space="0" w:color="auto"/>
        <w:bottom w:val="none" w:sz="0" w:space="0" w:color="auto"/>
        <w:right w:val="none" w:sz="0" w:space="0" w:color="auto"/>
      </w:divBdr>
    </w:div>
    <w:div w:id="1303659947">
      <w:bodyDiv w:val="1"/>
      <w:marLeft w:val="0"/>
      <w:marRight w:val="0"/>
      <w:marTop w:val="0"/>
      <w:marBottom w:val="0"/>
      <w:divBdr>
        <w:top w:val="none" w:sz="0" w:space="0" w:color="auto"/>
        <w:left w:val="none" w:sz="0" w:space="0" w:color="auto"/>
        <w:bottom w:val="none" w:sz="0" w:space="0" w:color="auto"/>
        <w:right w:val="none" w:sz="0" w:space="0" w:color="auto"/>
      </w:divBdr>
    </w:div>
    <w:div w:id="1578706106">
      <w:bodyDiv w:val="1"/>
      <w:marLeft w:val="0"/>
      <w:marRight w:val="0"/>
      <w:marTop w:val="0"/>
      <w:marBottom w:val="0"/>
      <w:divBdr>
        <w:top w:val="none" w:sz="0" w:space="0" w:color="auto"/>
        <w:left w:val="none" w:sz="0" w:space="0" w:color="auto"/>
        <w:bottom w:val="none" w:sz="0" w:space="0" w:color="auto"/>
        <w:right w:val="none" w:sz="0" w:space="0" w:color="auto"/>
      </w:divBdr>
    </w:div>
    <w:div w:id="1643533544">
      <w:bodyDiv w:val="1"/>
      <w:marLeft w:val="0"/>
      <w:marRight w:val="0"/>
      <w:marTop w:val="0"/>
      <w:marBottom w:val="0"/>
      <w:divBdr>
        <w:top w:val="none" w:sz="0" w:space="0" w:color="auto"/>
        <w:left w:val="none" w:sz="0" w:space="0" w:color="auto"/>
        <w:bottom w:val="none" w:sz="0" w:space="0" w:color="auto"/>
        <w:right w:val="none" w:sz="0" w:space="0" w:color="auto"/>
      </w:divBdr>
    </w:div>
    <w:div w:id="1662198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sonbc@alum.mit.ed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qinkai@cumt.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02609-D1FC-8D47-9E5A-56077398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29</Pages>
  <Words>7849</Words>
  <Characters>45682</Characters>
  <Application>Microsoft Office Word</Application>
  <DocSecurity>0</DocSecurity>
  <Lines>1087</Lines>
  <Paragraphs>473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Yanqiu Liu</dc:creator>
  <cp:keywords/>
  <dc:description/>
  <cp:lastModifiedBy>艳秋 刘</cp:lastModifiedBy>
  <cp:revision>16</cp:revision>
  <cp:lastPrinted>2026-06-24T13:45:00Z</cp:lastPrinted>
  <dcterms:created xsi:type="dcterms:W3CDTF">2026-06-25T08:49:00Z</dcterms:created>
  <dcterms:modified xsi:type="dcterms:W3CDTF">2026-06-29T07:00:00Z</dcterms:modified>
  <cp:category/>
</cp:coreProperties>
</file>