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Supplementary information</w:t>
      </w: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 w:eastAsiaTheme="minorEastAsia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Figure S1</w:t>
      </w: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Risk score distribution of the m6A-related lncRNA signature in the trainning dataset (A) and testing dataset (B), respectively. The upper panel represent the risk score distribution from low-risk group to high risk group. The middle panel represent the cases distribution and the lower panel represent the expression of each lncRNA in the dataset.</w:t>
      </w: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  <w:drawing>
          <wp:inline distT="0" distB="0" distL="114300" distR="114300">
            <wp:extent cx="5260340" cy="1894205"/>
            <wp:effectExtent l="0" t="0" r="16510" b="10795"/>
            <wp:docPr id="2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89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4"/>
          <w:szCs w:val="32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ure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S2</w:t>
      </w: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Area under curves of risk scores and 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prognostic lncRNAs </w:t>
      </w:r>
      <w: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for patients with 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GC </w:t>
      </w:r>
      <w: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  <w:t>in training set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.</w:t>
      </w:r>
    </w:p>
    <w:p>
      <w:pPr>
        <w:keepNext w:val="0"/>
        <w:keepLines w:val="0"/>
        <w:widowControl/>
        <w:suppressLineNumbers w:val="0"/>
        <w:spacing w:line="360" w:lineRule="auto"/>
        <w:jc w:val="both"/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drawing>
          <wp:inline distT="0" distB="0" distL="114300" distR="114300">
            <wp:extent cx="5265420" cy="3354705"/>
            <wp:effectExtent l="0" t="0" r="11430" b="17145"/>
            <wp:docPr id="3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35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651A3C"/>
    <w:rsid w:val="79FB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2020-08-11T07:37:00Z</dcterms:created>
  <dc:creator>dell</dc:creator>
  <cp:lastModifiedBy>dell</cp:lastModifiedBy>
  <dcterms:modified xsi:type="dcterms:W3CDTF">2020-10-13T15:25:25Z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