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8A4C5" w14:textId="77777777" w:rsidR="00C6530D" w:rsidRPr="00C335E3" w:rsidRDefault="00C6530D" w:rsidP="00C6530D">
      <w:pPr>
        <w:spacing w:before="80" w:after="80" w:line="360" w:lineRule="auto"/>
        <w:jc w:val="both"/>
        <w:rPr>
          <w:rFonts w:ascii="Arial" w:hAnsi="Arial" w:cs="Arial"/>
          <w:color w:val="000000" w:themeColor="text1"/>
          <w:sz w:val="24"/>
          <w:szCs w:val="24"/>
        </w:rPr>
      </w:pPr>
      <w:r>
        <w:rPr>
          <w:rFonts w:ascii="Arial" w:hAnsi="Arial" w:cs="Arial"/>
          <w:b/>
          <w:color w:val="000000" w:themeColor="text1"/>
          <w:sz w:val="24"/>
          <w:szCs w:val="24"/>
        </w:rPr>
        <w:t xml:space="preserve">Supplementary </w:t>
      </w:r>
      <w:r w:rsidRPr="00C335E3">
        <w:rPr>
          <w:rFonts w:ascii="Arial" w:hAnsi="Arial" w:cs="Arial"/>
          <w:b/>
          <w:color w:val="000000" w:themeColor="text1"/>
          <w:sz w:val="24"/>
          <w:szCs w:val="24"/>
        </w:rPr>
        <w:t xml:space="preserve">Table 1: </w:t>
      </w:r>
      <w:r w:rsidRPr="00C335E3">
        <w:rPr>
          <w:rFonts w:ascii="Arial" w:hAnsi="Arial" w:cs="Arial"/>
          <w:color w:val="000000" w:themeColor="text1"/>
          <w:sz w:val="24"/>
          <w:szCs w:val="24"/>
        </w:rPr>
        <w:t>The scoring method used for histopathological analysis</w:t>
      </w:r>
    </w:p>
    <w:tbl>
      <w:tblPr>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2"/>
        <w:gridCol w:w="4041"/>
        <w:gridCol w:w="1903"/>
        <w:gridCol w:w="1189"/>
      </w:tblGrid>
      <w:tr w:rsidR="00C6530D" w:rsidRPr="00C335E3" w14:paraId="6D0AD1B9" w14:textId="77777777" w:rsidTr="004627B3">
        <w:trPr>
          <w:trHeight w:val="438"/>
        </w:trPr>
        <w:tc>
          <w:tcPr>
            <w:tcW w:w="1862" w:type="dxa"/>
            <w:tcBorders>
              <w:top w:val="single" w:sz="4" w:space="0" w:color="000000"/>
              <w:left w:val="single" w:sz="4" w:space="0" w:color="000000"/>
              <w:bottom w:val="single" w:sz="4" w:space="0" w:color="000000"/>
              <w:right w:val="single" w:sz="4" w:space="0" w:color="000000"/>
            </w:tcBorders>
            <w:hideMark/>
          </w:tcPr>
          <w:p w14:paraId="3375E4CC"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Category</w:t>
            </w:r>
          </w:p>
        </w:tc>
        <w:tc>
          <w:tcPr>
            <w:tcW w:w="4041" w:type="dxa"/>
            <w:tcBorders>
              <w:top w:val="single" w:sz="4" w:space="0" w:color="000000"/>
              <w:left w:val="single" w:sz="4" w:space="0" w:color="000000"/>
              <w:bottom w:val="single" w:sz="4" w:space="0" w:color="000000"/>
              <w:right w:val="single" w:sz="4" w:space="0" w:color="000000"/>
            </w:tcBorders>
            <w:hideMark/>
          </w:tcPr>
          <w:p w14:paraId="4CD727AC"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Criterion</w:t>
            </w:r>
          </w:p>
        </w:tc>
        <w:tc>
          <w:tcPr>
            <w:tcW w:w="1903" w:type="dxa"/>
            <w:tcBorders>
              <w:top w:val="single" w:sz="4" w:space="0" w:color="000000"/>
              <w:left w:val="single" w:sz="4" w:space="0" w:color="000000"/>
              <w:bottom w:val="single" w:sz="4" w:space="0" w:color="000000"/>
              <w:right w:val="single" w:sz="4" w:space="0" w:color="000000"/>
            </w:tcBorders>
            <w:hideMark/>
          </w:tcPr>
          <w:p w14:paraId="7519C8D9"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Condition</w:t>
            </w:r>
          </w:p>
        </w:tc>
        <w:tc>
          <w:tcPr>
            <w:tcW w:w="1189" w:type="dxa"/>
            <w:tcBorders>
              <w:top w:val="single" w:sz="4" w:space="0" w:color="000000"/>
              <w:left w:val="single" w:sz="4" w:space="0" w:color="000000"/>
              <w:bottom w:val="single" w:sz="4" w:space="0" w:color="000000"/>
              <w:right w:val="single" w:sz="4" w:space="0" w:color="000000"/>
            </w:tcBorders>
            <w:hideMark/>
          </w:tcPr>
          <w:p w14:paraId="793B2517"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Score</w:t>
            </w:r>
          </w:p>
        </w:tc>
      </w:tr>
      <w:tr w:rsidR="00C6530D" w:rsidRPr="00C335E3" w14:paraId="0556AB25" w14:textId="77777777" w:rsidTr="004627B3">
        <w:trPr>
          <w:trHeight w:val="411"/>
        </w:trPr>
        <w:tc>
          <w:tcPr>
            <w:tcW w:w="1862" w:type="dxa"/>
            <w:vMerge w:val="restart"/>
            <w:tcBorders>
              <w:top w:val="single" w:sz="4" w:space="0" w:color="000000"/>
              <w:left w:val="single" w:sz="4" w:space="0" w:color="000000"/>
              <w:bottom w:val="single" w:sz="4" w:space="0" w:color="000000"/>
              <w:right w:val="single" w:sz="4" w:space="0" w:color="000000"/>
            </w:tcBorders>
            <w:vAlign w:val="center"/>
          </w:tcPr>
          <w:p w14:paraId="531C957A"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Inflammatory cell infiltrate</w:t>
            </w:r>
          </w:p>
          <w:p w14:paraId="0A9F391F"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val="restart"/>
            <w:tcBorders>
              <w:top w:val="single" w:sz="4" w:space="0" w:color="000000"/>
              <w:left w:val="single" w:sz="4" w:space="0" w:color="000000"/>
              <w:bottom w:val="single" w:sz="4" w:space="0" w:color="000000"/>
              <w:right w:val="single" w:sz="4" w:space="0" w:color="000000"/>
            </w:tcBorders>
            <w:vAlign w:val="center"/>
          </w:tcPr>
          <w:p w14:paraId="195F1EE6"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71311FB7"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Leukocyte density increases</w:t>
            </w:r>
          </w:p>
          <w:p w14:paraId="049A983C"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(Leukocyte density of lamina propria is infiltrated)</w:t>
            </w:r>
          </w:p>
          <w:p w14:paraId="39CEE6E0"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bl>
            <w:tblPr>
              <w:tblW w:w="285" w:type="dxa"/>
              <w:tblInd w:w="23" w:type="dxa"/>
              <w:tblLayout w:type="fixed"/>
              <w:tblLook w:val="04A0" w:firstRow="1" w:lastRow="0" w:firstColumn="1" w:lastColumn="0" w:noHBand="0" w:noVBand="1"/>
            </w:tblPr>
            <w:tblGrid>
              <w:gridCol w:w="285"/>
            </w:tblGrid>
            <w:tr w:rsidR="00C6530D" w:rsidRPr="00C335E3" w14:paraId="1BEF2656" w14:textId="77777777" w:rsidTr="004627B3">
              <w:trPr>
                <w:trHeight w:val="79"/>
              </w:trPr>
              <w:tc>
                <w:tcPr>
                  <w:tcW w:w="285" w:type="dxa"/>
                  <w:tcBorders>
                    <w:top w:val="nil"/>
                    <w:left w:val="nil"/>
                    <w:bottom w:val="nil"/>
                    <w:right w:val="nil"/>
                  </w:tcBorders>
                </w:tcPr>
                <w:p w14:paraId="517BF83D"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r>
          </w:tbl>
          <w:p w14:paraId="409E737B"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19C0FF0B"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Minimal:&lt;10%</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1C04F5CE"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1</w:t>
            </w:r>
          </w:p>
        </w:tc>
      </w:tr>
      <w:tr w:rsidR="00C6530D" w:rsidRPr="00C335E3" w14:paraId="42183251" w14:textId="77777777" w:rsidTr="004627B3">
        <w:trPr>
          <w:trHeight w:val="632"/>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68F04C9B"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65B7CFEA"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57B03CA4"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Mild:10-25%, scattered neutrophils</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1F134A5A"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2</w:t>
            </w:r>
          </w:p>
        </w:tc>
      </w:tr>
      <w:tr w:rsidR="00C6530D" w:rsidRPr="00C335E3" w14:paraId="1443369B" w14:textId="77777777" w:rsidTr="004627B3">
        <w:trPr>
          <w:trHeight w:val="489"/>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354F1C2D"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36F8C084"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7FFE5D71"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Moderate:26-50%</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5C53C1EB"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3</w:t>
            </w:r>
          </w:p>
        </w:tc>
      </w:tr>
      <w:tr w:rsidR="00C6530D" w:rsidRPr="00C335E3" w14:paraId="2F351469" w14:textId="77777777" w:rsidTr="004627B3">
        <w:trPr>
          <w:trHeight w:val="647"/>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719290CD"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1ECA0707"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477C6971"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Marked:&gt;51%, dense infiltration</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0AE5DBFC"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4</w:t>
            </w:r>
          </w:p>
        </w:tc>
      </w:tr>
      <w:tr w:rsidR="00C6530D" w:rsidRPr="00C335E3" w14:paraId="5AE73735" w14:textId="77777777" w:rsidTr="004627B3">
        <w:trPr>
          <w:trHeight w:val="366"/>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225CCD06"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val="restart"/>
            <w:tcBorders>
              <w:top w:val="single" w:sz="4" w:space="0" w:color="000000"/>
              <w:left w:val="single" w:sz="4" w:space="0" w:color="000000"/>
              <w:bottom w:val="single" w:sz="4" w:space="0" w:color="000000"/>
              <w:right w:val="single" w:sz="4" w:space="0" w:color="000000"/>
            </w:tcBorders>
            <w:vAlign w:val="center"/>
          </w:tcPr>
          <w:p w14:paraId="5D322097"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Extent</w:t>
            </w:r>
          </w:p>
          <w:p w14:paraId="671930A5"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(Expansion of leukocyte infiltration)</w:t>
            </w:r>
          </w:p>
          <w:p w14:paraId="4C6C2A71"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6CA51E98"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Mucosal</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15939C7D"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1</w:t>
            </w:r>
          </w:p>
        </w:tc>
      </w:tr>
      <w:tr w:rsidR="00C6530D" w:rsidRPr="00C335E3" w14:paraId="7B9DC1AE" w14:textId="77777777" w:rsidTr="004627B3">
        <w:trPr>
          <w:trHeight w:val="798"/>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733DD740"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26779AC7"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tcPr>
          <w:p w14:paraId="557986C1"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Mucosal and submucosal</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32337860"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2</w:t>
            </w:r>
          </w:p>
        </w:tc>
      </w:tr>
      <w:tr w:rsidR="00C6530D" w:rsidRPr="00C335E3" w14:paraId="5AE24E13" w14:textId="77777777" w:rsidTr="004627B3">
        <w:trPr>
          <w:trHeight w:val="262"/>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6E1C2300"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48779B54"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2F8EC7BF"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Mucosal, submucosal and transmural</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1391C940"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3</w:t>
            </w:r>
          </w:p>
        </w:tc>
      </w:tr>
      <w:tr w:rsidR="00C6530D" w:rsidRPr="00C335E3" w14:paraId="0A33F9AA" w14:textId="77777777" w:rsidTr="004627B3">
        <w:trPr>
          <w:trHeight w:val="983"/>
        </w:trPr>
        <w:tc>
          <w:tcPr>
            <w:tcW w:w="1862" w:type="dxa"/>
            <w:vMerge w:val="restart"/>
            <w:tcBorders>
              <w:top w:val="single" w:sz="4" w:space="0" w:color="000000"/>
              <w:left w:val="single" w:sz="4" w:space="0" w:color="000000"/>
              <w:bottom w:val="single" w:sz="4" w:space="0" w:color="000000"/>
              <w:right w:val="single" w:sz="4" w:space="0" w:color="000000"/>
            </w:tcBorders>
            <w:vAlign w:val="center"/>
          </w:tcPr>
          <w:p w14:paraId="36DA2717"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6A1A5E51"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10A135C6"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1398B96F"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650E9C42"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7C8D6E02"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58C2415B"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2F521900"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7B95DFC6"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3FB6B9C6"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6001AABC"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3AFFC4EA"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01321DF4"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7AB3BE0D"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5C8F0391"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7588A704"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b/>
                <w:color w:val="000000" w:themeColor="text1"/>
                <w:sz w:val="24"/>
                <w:szCs w:val="24"/>
                <w:lang w:val="en-IE"/>
              </w:rPr>
              <w:t>Epithelial Changes</w:t>
            </w:r>
          </w:p>
          <w:p w14:paraId="167C4063"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val="restart"/>
            <w:tcBorders>
              <w:top w:val="single" w:sz="4" w:space="0" w:color="000000"/>
              <w:left w:val="single" w:sz="4" w:space="0" w:color="000000"/>
              <w:bottom w:val="single" w:sz="4" w:space="0" w:color="000000"/>
              <w:right w:val="single" w:sz="4" w:space="0" w:color="000000"/>
            </w:tcBorders>
            <w:vAlign w:val="center"/>
          </w:tcPr>
          <w:p w14:paraId="37BEDA3A"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lastRenderedPageBreak/>
              <w:t>Epithelial cell number increase</w:t>
            </w:r>
          </w:p>
          <w:p w14:paraId="2FC6A8C1"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(Increase in epithelial cell numbers in longitudinal crypts relative to baseline epithelial cell numbers per crypt; visible as crypt elongation)</w:t>
            </w:r>
          </w:p>
          <w:p w14:paraId="7344CB1A"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3130A03A"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Minimal: &lt;25%</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317FAD9C"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1</w:t>
            </w:r>
          </w:p>
        </w:tc>
      </w:tr>
      <w:tr w:rsidR="00C6530D" w:rsidRPr="00C335E3" w14:paraId="02200EB7" w14:textId="77777777" w:rsidTr="004627B3">
        <w:trPr>
          <w:trHeight w:val="616"/>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06FDA6E2"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4BF7E173"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tcPr>
          <w:p w14:paraId="7F90DF33"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Mild: 25-35%</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73CFB357"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2 or 3</w:t>
            </w:r>
          </w:p>
        </w:tc>
      </w:tr>
      <w:tr w:rsidR="00C6530D" w:rsidRPr="00C335E3" w14:paraId="64CD4970" w14:textId="77777777" w:rsidTr="004627B3">
        <w:trPr>
          <w:trHeight w:val="616"/>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22E12A92"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332ADD56"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tcPr>
          <w:p w14:paraId="0E7A02DD"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Moderate: 36-50%</w:t>
            </w:r>
          </w:p>
          <w:p w14:paraId="79CC8ADC"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36F80B11"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3 or 4</w:t>
            </w:r>
          </w:p>
        </w:tc>
      </w:tr>
      <w:tr w:rsidR="00C6530D" w:rsidRPr="00C335E3" w14:paraId="1F693C37" w14:textId="77777777" w:rsidTr="004627B3">
        <w:trPr>
          <w:trHeight w:val="988"/>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32874BB8"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0B709941"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tcPr>
          <w:p w14:paraId="79B40A0F"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Marked: &gt;51%</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0AF2CB2D"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4 or 5</w:t>
            </w:r>
          </w:p>
        </w:tc>
      </w:tr>
      <w:tr w:rsidR="00C6530D" w:rsidRPr="00C335E3" w14:paraId="2970F81A" w14:textId="77777777" w:rsidTr="004627B3">
        <w:trPr>
          <w:trHeight w:val="369"/>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2337CCAB"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val="restart"/>
            <w:tcBorders>
              <w:top w:val="single" w:sz="4" w:space="0" w:color="000000"/>
              <w:left w:val="single" w:sz="4" w:space="0" w:color="000000"/>
              <w:bottom w:val="single" w:sz="4" w:space="0" w:color="000000"/>
              <w:right w:val="single" w:sz="4" w:space="0" w:color="000000"/>
            </w:tcBorders>
            <w:vAlign w:val="center"/>
          </w:tcPr>
          <w:p w14:paraId="2EB388ED"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Goblet cell reduction</w:t>
            </w:r>
          </w:p>
          <w:p w14:paraId="3898A68B"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lastRenderedPageBreak/>
              <w:t>(Reduction of goblet cell numbers relative to baseline goblet cell numbers per crypt)</w:t>
            </w:r>
          </w:p>
          <w:p w14:paraId="5339F00C"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tcPr>
          <w:p w14:paraId="70BAD61F"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lastRenderedPageBreak/>
              <w:t>Minimal: &lt;20%</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4AB55454"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1 or 2</w:t>
            </w:r>
          </w:p>
        </w:tc>
      </w:tr>
      <w:tr w:rsidR="00C6530D" w:rsidRPr="00C335E3" w14:paraId="717A7C76" w14:textId="77777777" w:rsidTr="004627B3">
        <w:trPr>
          <w:trHeight w:val="367"/>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6DEAD243"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649145DB"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tcPr>
          <w:p w14:paraId="3431C397"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Mild: 21-35%</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74295A4F"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2 or 3</w:t>
            </w:r>
          </w:p>
        </w:tc>
      </w:tr>
      <w:tr w:rsidR="00C6530D" w:rsidRPr="00C335E3" w14:paraId="37683840" w14:textId="77777777" w:rsidTr="004627B3">
        <w:trPr>
          <w:trHeight w:val="367"/>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0305AD23"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0BCFCB58"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tcPr>
          <w:p w14:paraId="3DB8A837"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Moderate: 36-50%</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701A2E1E"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3 or 4</w:t>
            </w:r>
          </w:p>
        </w:tc>
      </w:tr>
      <w:tr w:rsidR="00C6530D" w:rsidRPr="00C335E3" w14:paraId="48EAE763" w14:textId="77777777" w:rsidTr="004627B3">
        <w:trPr>
          <w:trHeight w:val="367"/>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3442B2C3"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7DD0AF90"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tcPr>
          <w:p w14:paraId="49EC2784"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Marked: &gt;50%</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03B4C4B4"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4</w:t>
            </w:r>
          </w:p>
        </w:tc>
      </w:tr>
      <w:tr w:rsidR="00C6530D" w:rsidRPr="00C335E3" w14:paraId="30DAAB5D" w14:textId="77777777" w:rsidTr="004627B3">
        <w:trPr>
          <w:trHeight w:val="991"/>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76BB8B11"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tcBorders>
              <w:top w:val="single" w:sz="4" w:space="0" w:color="000000"/>
              <w:left w:val="single" w:sz="4" w:space="0" w:color="000000"/>
              <w:bottom w:val="single" w:sz="4" w:space="0" w:color="000000"/>
              <w:right w:val="single" w:sz="4" w:space="0" w:color="000000"/>
            </w:tcBorders>
            <w:vAlign w:val="center"/>
          </w:tcPr>
          <w:p w14:paraId="13D2FDAB"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Cryptitis</w:t>
            </w:r>
          </w:p>
          <w:p w14:paraId="205A5194"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(Neutrophils between crypt epithelial cells)</w:t>
            </w: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43F8670B"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Based on severity</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2B95E764"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2 or 3</w:t>
            </w:r>
          </w:p>
        </w:tc>
      </w:tr>
      <w:tr w:rsidR="00C6530D" w:rsidRPr="00C335E3" w14:paraId="64E3687F" w14:textId="77777777" w:rsidTr="004627B3">
        <w:trPr>
          <w:trHeight w:val="255"/>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4FECE5ED"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tcBorders>
              <w:top w:val="single" w:sz="4" w:space="0" w:color="000000"/>
              <w:left w:val="single" w:sz="4" w:space="0" w:color="000000"/>
              <w:bottom w:val="single" w:sz="4" w:space="0" w:color="000000"/>
              <w:right w:val="single" w:sz="4" w:space="0" w:color="000000"/>
            </w:tcBorders>
            <w:vAlign w:val="center"/>
          </w:tcPr>
          <w:p w14:paraId="4E3D9874"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Erosion</w:t>
            </w:r>
          </w:p>
          <w:p w14:paraId="2C0E6E70"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(Loss of surface epithelium)</w:t>
            </w: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40AF7F6D"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Based on severity</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27B8500A"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1 to 4</w:t>
            </w:r>
          </w:p>
        </w:tc>
      </w:tr>
      <w:tr w:rsidR="00C6530D" w:rsidRPr="00C335E3" w14:paraId="0C349DDC" w14:textId="77777777" w:rsidTr="004627B3">
        <w:trPr>
          <w:trHeight w:val="1371"/>
        </w:trPr>
        <w:tc>
          <w:tcPr>
            <w:tcW w:w="1862" w:type="dxa"/>
            <w:vMerge w:val="restart"/>
            <w:tcBorders>
              <w:top w:val="single" w:sz="4" w:space="0" w:color="000000"/>
              <w:left w:val="single" w:sz="4" w:space="0" w:color="000000"/>
              <w:bottom w:val="single" w:sz="4" w:space="0" w:color="000000"/>
              <w:right w:val="single" w:sz="4" w:space="0" w:color="000000"/>
            </w:tcBorders>
            <w:vAlign w:val="center"/>
          </w:tcPr>
          <w:p w14:paraId="032CBA50"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65F4514C"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p>
          <w:p w14:paraId="68DFC054"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b/>
                <w:color w:val="000000" w:themeColor="text1"/>
                <w:sz w:val="24"/>
                <w:szCs w:val="24"/>
                <w:lang w:val="en-IE"/>
              </w:rPr>
              <w:t>Mucosal Architecture</w:t>
            </w:r>
          </w:p>
          <w:p w14:paraId="6AE240B0"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tcBorders>
              <w:top w:val="single" w:sz="4" w:space="0" w:color="000000"/>
              <w:left w:val="single" w:sz="4" w:space="0" w:color="000000"/>
              <w:bottom w:val="single" w:sz="4" w:space="0" w:color="000000"/>
              <w:right w:val="single" w:sz="4" w:space="0" w:color="000000"/>
            </w:tcBorders>
            <w:vAlign w:val="center"/>
          </w:tcPr>
          <w:p w14:paraId="04D8888B"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Ulceration</w:t>
            </w:r>
          </w:p>
          <w:p w14:paraId="01FADF7E"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(Epithelial defect reaching beyond muscularis mucosae)</w:t>
            </w: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105C9195"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Based on severity</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4A49CC6F"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3 to 5</w:t>
            </w:r>
          </w:p>
        </w:tc>
      </w:tr>
      <w:tr w:rsidR="00C6530D" w:rsidRPr="00C335E3" w14:paraId="28931016" w14:textId="77777777" w:rsidTr="004627B3">
        <w:trPr>
          <w:trHeight w:val="128"/>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5998CB1A"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tcBorders>
              <w:top w:val="single" w:sz="4" w:space="0" w:color="000000"/>
              <w:left w:val="single" w:sz="4" w:space="0" w:color="000000"/>
              <w:bottom w:val="single" w:sz="4" w:space="0" w:color="000000"/>
              <w:right w:val="single" w:sz="4" w:space="0" w:color="000000"/>
            </w:tcBorders>
            <w:vAlign w:val="center"/>
          </w:tcPr>
          <w:p w14:paraId="55B4778A"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Irregular crypts</w:t>
            </w:r>
          </w:p>
          <w:p w14:paraId="075AD3D6"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(Non-parallel crypts, variable crypt diameters, bifurcation, and branched crypts)</w:t>
            </w: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427D5F08"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Based on severity</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5EB388C7"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4 or 5</w:t>
            </w:r>
          </w:p>
        </w:tc>
      </w:tr>
      <w:tr w:rsidR="00C6530D" w:rsidRPr="00C335E3" w14:paraId="39D5173A" w14:textId="77777777" w:rsidTr="004627B3">
        <w:trPr>
          <w:trHeight w:val="128"/>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2CDCF502"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tcBorders>
              <w:top w:val="single" w:sz="4" w:space="0" w:color="000000"/>
              <w:left w:val="single" w:sz="4" w:space="0" w:color="000000"/>
              <w:bottom w:val="single" w:sz="4" w:space="0" w:color="000000"/>
              <w:right w:val="single" w:sz="4" w:space="0" w:color="000000"/>
            </w:tcBorders>
            <w:vAlign w:val="center"/>
          </w:tcPr>
          <w:p w14:paraId="33B01F79"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Crypt Loss</w:t>
            </w:r>
          </w:p>
          <w:p w14:paraId="06B44552"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(Mucosa devoid of crypts)</w:t>
            </w:r>
          </w:p>
        </w:tc>
        <w:tc>
          <w:tcPr>
            <w:tcW w:w="1903" w:type="dxa"/>
            <w:tcBorders>
              <w:top w:val="single" w:sz="4" w:space="0" w:color="000000"/>
              <w:left w:val="single" w:sz="4" w:space="0" w:color="000000"/>
              <w:bottom w:val="single" w:sz="4" w:space="0" w:color="000000"/>
              <w:right w:val="single" w:sz="4" w:space="0" w:color="000000"/>
            </w:tcBorders>
            <w:vAlign w:val="center"/>
            <w:hideMark/>
          </w:tcPr>
          <w:p w14:paraId="4CD3FE88"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Based on severity</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7BD87388"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4 or 5</w:t>
            </w:r>
          </w:p>
        </w:tc>
      </w:tr>
      <w:tr w:rsidR="00C6530D" w:rsidRPr="00C335E3" w14:paraId="2946DE8E" w14:textId="77777777" w:rsidTr="004627B3">
        <w:trPr>
          <w:trHeight w:val="218"/>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3EE8D86C"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val="restart"/>
            <w:tcBorders>
              <w:top w:val="single" w:sz="4" w:space="0" w:color="000000"/>
              <w:left w:val="single" w:sz="4" w:space="0" w:color="000000"/>
              <w:bottom w:val="single" w:sz="4" w:space="0" w:color="000000"/>
              <w:right w:val="single" w:sz="4" w:space="0" w:color="000000"/>
            </w:tcBorders>
            <w:vAlign w:val="center"/>
          </w:tcPr>
          <w:p w14:paraId="05C38499" w14:textId="77777777" w:rsidR="00C6530D" w:rsidRPr="00C335E3" w:rsidRDefault="00C6530D" w:rsidP="004627B3">
            <w:pPr>
              <w:spacing w:before="80" w:after="80" w:line="360" w:lineRule="auto"/>
              <w:jc w:val="both"/>
              <w:rPr>
                <w:rFonts w:ascii="Arial" w:hAnsi="Arial" w:cs="Arial"/>
                <w:b/>
                <w:color w:val="000000" w:themeColor="text1"/>
                <w:sz w:val="24"/>
                <w:szCs w:val="24"/>
                <w:lang w:val="en-IE"/>
              </w:rPr>
            </w:pPr>
            <w:r w:rsidRPr="00C335E3">
              <w:rPr>
                <w:rFonts w:ascii="Arial" w:hAnsi="Arial" w:cs="Arial"/>
                <w:b/>
                <w:color w:val="000000" w:themeColor="text1"/>
                <w:sz w:val="24"/>
                <w:szCs w:val="24"/>
                <w:lang w:val="en-IE"/>
              </w:rPr>
              <w:t>Villous blunting</w:t>
            </w:r>
          </w:p>
          <w:p w14:paraId="38C2A17F"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(Villous-to-crypt-length ratio)</w:t>
            </w:r>
          </w:p>
        </w:tc>
        <w:tc>
          <w:tcPr>
            <w:tcW w:w="1903" w:type="dxa"/>
            <w:tcBorders>
              <w:top w:val="single" w:sz="4" w:space="0" w:color="000000"/>
              <w:left w:val="single" w:sz="4" w:space="0" w:color="000000"/>
              <w:bottom w:val="single" w:sz="4" w:space="0" w:color="000000"/>
              <w:right w:val="single" w:sz="4" w:space="0" w:color="000000"/>
            </w:tcBorders>
            <w:vAlign w:val="center"/>
          </w:tcPr>
          <w:p w14:paraId="1DBA5CA8"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The ratio of 2:1 to 3:1</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11815281"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1 to 3</w:t>
            </w:r>
          </w:p>
        </w:tc>
      </w:tr>
      <w:tr w:rsidR="00C6530D" w:rsidRPr="00C335E3" w14:paraId="3DA32D4C" w14:textId="77777777" w:rsidTr="004627B3">
        <w:trPr>
          <w:trHeight w:val="218"/>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1ED4B033"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60785A5C"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tcPr>
          <w:p w14:paraId="042F605B"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The ratio of 1:1 to 2:1</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289029E0"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2 to 4</w:t>
            </w:r>
          </w:p>
        </w:tc>
      </w:tr>
      <w:tr w:rsidR="00C6530D" w:rsidRPr="00C335E3" w14:paraId="0EB79144" w14:textId="77777777" w:rsidTr="004627B3">
        <w:trPr>
          <w:trHeight w:val="218"/>
        </w:trPr>
        <w:tc>
          <w:tcPr>
            <w:tcW w:w="1862" w:type="dxa"/>
            <w:vMerge/>
            <w:tcBorders>
              <w:top w:val="single" w:sz="4" w:space="0" w:color="000000"/>
              <w:left w:val="single" w:sz="4" w:space="0" w:color="000000"/>
              <w:bottom w:val="single" w:sz="4" w:space="0" w:color="000000"/>
              <w:right w:val="single" w:sz="4" w:space="0" w:color="000000"/>
            </w:tcBorders>
            <w:vAlign w:val="center"/>
            <w:hideMark/>
          </w:tcPr>
          <w:p w14:paraId="380D9BEB"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4041" w:type="dxa"/>
            <w:vMerge/>
            <w:tcBorders>
              <w:top w:val="single" w:sz="4" w:space="0" w:color="000000"/>
              <w:left w:val="single" w:sz="4" w:space="0" w:color="000000"/>
              <w:bottom w:val="single" w:sz="4" w:space="0" w:color="000000"/>
              <w:right w:val="single" w:sz="4" w:space="0" w:color="000000"/>
            </w:tcBorders>
            <w:vAlign w:val="center"/>
            <w:hideMark/>
          </w:tcPr>
          <w:p w14:paraId="7D236201"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p>
        </w:tc>
        <w:tc>
          <w:tcPr>
            <w:tcW w:w="1903" w:type="dxa"/>
            <w:tcBorders>
              <w:top w:val="single" w:sz="4" w:space="0" w:color="000000"/>
              <w:left w:val="single" w:sz="4" w:space="0" w:color="000000"/>
              <w:bottom w:val="single" w:sz="4" w:space="0" w:color="000000"/>
              <w:right w:val="single" w:sz="4" w:space="0" w:color="000000"/>
            </w:tcBorders>
            <w:vAlign w:val="center"/>
          </w:tcPr>
          <w:p w14:paraId="5173C62F"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Villous atrophy</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6186E2CC" w14:textId="77777777" w:rsidR="00C6530D" w:rsidRPr="00C335E3" w:rsidRDefault="00C6530D" w:rsidP="004627B3">
            <w:pPr>
              <w:spacing w:before="80" w:after="80" w:line="360" w:lineRule="auto"/>
              <w:jc w:val="both"/>
              <w:rPr>
                <w:rFonts w:ascii="Arial" w:hAnsi="Arial" w:cs="Arial"/>
                <w:color w:val="000000" w:themeColor="text1"/>
                <w:sz w:val="24"/>
                <w:szCs w:val="24"/>
                <w:lang w:val="en-IE"/>
              </w:rPr>
            </w:pPr>
            <w:r w:rsidRPr="00C335E3">
              <w:rPr>
                <w:rFonts w:ascii="Arial" w:hAnsi="Arial" w:cs="Arial"/>
                <w:color w:val="000000" w:themeColor="text1"/>
                <w:sz w:val="24"/>
                <w:szCs w:val="24"/>
                <w:lang w:val="en-IE"/>
              </w:rPr>
              <w:t>3 to 5</w:t>
            </w:r>
          </w:p>
        </w:tc>
      </w:tr>
    </w:tbl>
    <w:p w14:paraId="60997D62" w14:textId="77777777" w:rsidR="00CF514C" w:rsidRDefault="00CF514C"/>
    <w:p w14:paraId="0FE30678" w14:textId="77777777" w:rsidR="00C138ED" w:rsidRPr="00B950B5" w:rsidRDefault="00C138ED" w:rsidP="0098301C">
      <w:pPr>
        <w:spacing w:before="80" w:after="80" w:line="360" w:lineRule="auto"/>
        <w:jc w:val="both"/>
        <w:rPr>
          <w:rFonts w:ascii="Times New Roman" w:hAnsi="Times New Roman" w:cs="Times New Roman"/>
          <w:color w:val="000000" w:themeColor="text1"/>
          <w:sz w:val="24"/>
          <w:szCs w:val="24"/>
        </w:rPr>
      </w:pPr>
    </w:p>
    <w:p w14:paraId="137BDE32" w14:textId="77777777" w:rsidR="00C138ED" w:rsidRPr="00B950B5" w:rsidRDefault="00C138ED">
      <w:pPr>
        <w:rPr>
          <w:rFonts w:ascii="Times New Roman" w:hAnsi="Times New Roman" w:cs="Times New Roman"/>
          <w:sz w:val="24"/>
          <w:szCs w:val="24"/>
        </w:rPr>
      </w:pPr>
      <w:r w:rsidRPr="00B950B5">
        <w:rPr>
          <w:rFonts w:ascii="Times New Roman" w:hAnsi="Times New Roman" w:cs="Times New Roman"/>
          <w:noProof/>
          <w:color w:val="000000" w:themeColor="text1"/>
          <w:sz w:val="24"/>
          <w:szCs w:val="24"/>
        </w:rPr>
        <w:lastRenderedPageBreak/>
        <w:drawing>
          <wp:inline distT="0" distB="0" distL="0" distR="0" wp14:anchorId="01F55BBB" wp14:editId="3CCCC257">
            <wp:extent cx="5731510" cy="3276600"/>
            <wp:effectExtent l="0" t="0" r="2540" b="0"/>
            <wp:docPr id="109030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3077" name="Picture 1090307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276600"/>
                    </a:xfrm>
                    <a:prstGeom prst="rect">
                      <a:avLst/>
                    </a:prstGeom>
                  </pic:spPr>
                </pic:pic>
              </a:graphicData>
            </a:graphic>
          </wp:inline>
        </w:drawing>
      </w:r>
    </w:p>
    <w:p w14:paraId="1207EB46" w14:textId="77777777" w:rsidR="00C138ED" w:rsidRPr="00B950B5" w:rsidRDefault="00C138ED" w:rsidP="0098301C">
      <w:pPr>
        <w:spacing w:line="360" w:lineRule="auto"/>
        <w:jc w:val="both"/>
        <w:rPr>
          <w:rFonts w:ascii="Times New Roman" w:eastAsia="Times New Roman" w:hAnsi="Times New Roman" w:cs="Times New Roman"/>
          <w:b/>
          <w:sz w:val="24"/>
          <w:szCs w:val="24"/>
        </w:rPr>
      </w:pPr>
      <w:r w:rsidRPr="00B950B5">
        <w:rPr>
          <w:rFonts w:ascii="Times New Roman" w:eastAsia="Times New Roman" w:hAnsi="Times New Roman" w:cs="Times New Roman"/>
          <w:b/>
          <w:sz w:val="24"/>
          <w:szCs w:val="24"/>
        </w:rPr>
        <w:t>Fig.S1: Alteration of host physiology and gut barrier integrity due to various levels of gut perturbation in C57BL/6 and BALB/c mice.</w:t>
      </w:r>
    </w:p>
    <w:p w14:paraId="54D99E5E" w14:textId="77777777" w:rsidR="00C138ED" w:rsidRPr="00B950B5" w:rsidRDefault="00C138ED" w:rsidP="0098301C">
      <w:pPr>
        <w:spacing w:line="360" w:lineRule="auto"/>
        <w:jc w:val="both"/>
        <w:rPr>
          <w:rFonts w:ascii="Times New Roman" w:eastAsia="Times New Roman" w:hAnsi="Times New Roman" w:cs="Times New Roman"/>
          <w:sz w:val="24"/>
          <w:szCs w:val="24"/>
        </w:rPr>
      </w:pPr>
      <w:r w:rsidRPr="00B950B5">
        <w:rPr>
          <w:rFonts w:ascii="Times New Roman" w:eastAsia="Times New Roman" w:hAnsi="Times New Roman" w:cs="Times New Roman"/>
          <w:sz w:val="24"/>
          <w:szCs w:val="24"/>
        </w:rPr>
        <w:t xml:space="preserve">Gut perturbation leads to systemic changes. As a result, we measured the body weight (A, B) on every alternate day till the end of the treatment. We also measured the changes in the colon length (C) at the end of the treatment. We observed a shift in the cecum size due to treatment and measured the colon indices (D) of all the treatment groups at the end of the treatment in both the mouse strains. </w:t>
      </w:r>
    </w:p>
    <w:p w14:paraId="3B9D4FFE" w14:textId="77777777" w:rsidR="00C138ED" w:rsidRPr="00B950B5" w:rsidRDefault="00C138ED" w:rsidP="0098301C">
      <w:pPr>
        <w:spacing w:line="360" w:lineRule="auto"/>
        <w:jc w:val="both"/>
        <w:rPr>
          <w:rFonts w:ascii="Times New Roman" w:eastAsia="Times New Roman" w:hAnsi="Times New Roman" w:cs="Times New Roman"/>
          <w:sz w:val="24"/>
          <w:szCs w:val="24"/>
        </w:rPr>
      </w:pPr>
      <w:r w:rsidRPr="00B950B5">
        <w:rPr>
          <w:rFonts w:ascii="Times New Roman" w:eastAsia="Times New Roman" w:hAnsi="Times New Roman" w:cs="Times New Roman"/>
          <w:sz w:val="24"/>
          <w:szCs w:val="24"/>
        </w:rPr>
        <w:t xml:space="preserve">Gut microbial perturbation and altered intestinal morphology are significant factors for altered gut barrier integrity. We measured the leakiness of the gut using the FITC-dextran assay in both C57BL/6 and BALB/c mice (E). We also quantified the mRNA expressions of tight junction genes </w:t>
      </w:r>
      <w:r w:rsidRPr="00B950B5">
        <w:rPr>
          <w:rFonts w:ascii="Times New Roman" w:eastAsia="Times New Roman" w:hAnsi="Times New Roman" w:cs="Times New Roman"/>
          <w:i/>
          <w:sz w:val="24"/>
          <w:szCs w:val="24"/>
        </w:rPr>
        <w:t>Cldn2</w:t>
      </w:r>
      <w:r w:rsidRPr="00B950B5">
        <w:rPr>
          <w:rFonts w:ascii="Times New Roman" w:eastAsia="Times New Roman" w:hAnsi="Times New Roman" w:cs="Times New Roman"/>
          <w:sz w:val="24"/>
          <w:szCs w:val="24"/>
        </w:rPr>
        <w:t xml:space="preserve"> (F) &amp; </w:t>
      </w:r>
      <w:proofErr w:type="spellStart"/>
      <w:r w:rsidRPr="00B950B5">
        <w:rPr>
          <w:rFonts w:ascii="Times New Roman" w:eastAsia="Times New Roman" w:hAnsi="Times New Roman" w:cs="Times New Roman"/>
          <w:i/>
          <w:sz w:val="24"/>
          <w:szCs w:val="24"/>
        </w:rPr>
        <w:t>Ocln</w:t>
      </w:r>
      <w:proofErr w:type="spellEnd"/>
      <w:r w:rsidRPr="00B950B5">
        <w:rPr>
          <w:rFonts w:ascii="Times New Roman" w:eastAsia="Times New Roman" w:hAnsi="Times New Roman" w:cs="Times New Roman"/>
          <w:sz w:val="24"/>
          <w:szCs w:val="24"/>
        </w:rPr>
        <w:t xml:space="preserve"> (G) from the colon to quantify the loss of gut integrity as the effects of different treatments in both strains. </w:t>
      </w:r>
    </w:p>
    <w:p w14:paraId="1D12A6EE" w14:textId="77777777" w:rsidR="00C138ED" w:rsidRPr="00B950B5" w:rsidRDefault="00C138ED" w:rsidP="0098301C">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B950B5">
        <w:rPr>
          <w:rFonts w:ascii="Times New Roman" w:eastAsia="Times New Roman" w:hAnsi="Times New Roman" w:cs="Times New Roman"/>
          <w:color w:val="000000"/>
          <w:sz w:val="24"/>
          <w:szCs w:val="24"/>
        </w:rPr>
        <w:t xml:space="preserve">We presented data as the </w:t>
      </w:r>
      <w:proofErr w:type="spellStart"/>
      <w:r w:rsidRPr="00B950B5">
        <w:rPr>
          <w:rFonts w:ascii="Times New Roman" w:eastAsia="Times New Roman" w:hAnsi="Times New Roman" w:cs="Times New Roman"/>
          <w:color w:val="000000"/>
          <w:sz w:val="24"/>
          <w:szCs w:val="24"/>
        </w:rPr>
        <w:t>means±SEM</w:t>
      </w:r>
      <w:proofErr w:type="spellEnd"/>
      <w:r w:rsidRPr="00B950B5">
        <w:rPr>
          <w:rFonts w:ascii="Times New Roman" w:eastAsia="Times New Roman" w:hAnsi="Times New Roman" w:cs="Times New Roman"/>
          <w:color w:val="000000"/>
          <w:sz w:val="24"/>
          <w:szCs w:val="24"/>
        </w:rPr>
        <w:t xml:space="preserve"> (n=6). We performed two-way ANOVA for the physiological alterations and FITC-Dextran concentration data, followed by the Bonferroni test to determine the significance level. To determine the significance level of mRNA expression data, we performed a t-test </w:t>
      </w:r>
      <w:r w:rsidRPr="00B950B5">
        <w:rPr>
          <w:rFonts w:ascii="Times New Roman" w:eastAsia="Times" w:hAnsi="Times New Roman" w:cs="Times New Roman"/>
          <w:color w:val="000000"/>
          <w:sz w:val="24"/>
          <w:szCs w:val="24"/>
        </w:rPr>
        <w:t xml:space="preserve">and presented all values as </w:t>
      </w:r>
      <w:proofErr w:type="spellStart"/>
      <w:r w:rsidRPr="00B950B5">
        <w:rPr>
          <w:rFonts w:ascii="Times New Roman" w:eastAsia="Times" w:hAnsi="Times New Roman" w:cs="Times New Roman"/>
          <w:color w:val="000000"/>
          <w:sz w:val="24"/>
          <w:szCs w:val="24"/>
        </w:rPr>
        <w:t>means±SEM</w:t>
      </w:r>
      <w:proofErr w:type="spellEnd"/>
      <w:r w:rsidRPr="00B950B5">
        <w:rPr>
          <w:rFonts w:ascii="Times New Roman" w:eastAsia="Times" w:hAnsi="Times New Roman" w:cs="Times New Roman"/>
          <w:color w:val="000000"/>
          <w:sz w:val="24"/>
          <w:szCs w:val="24"/>
        </w:rPr>
        <w:t xml:space="preserve"> for 3 biological replicates</w:t>
      </w:r>
      <w:r w:rsidRPr="00B950B5">
        <w:rPr>
          <w:rFonts w:ascii="Times New Roman" w:eastAsia="Times New Roman" w:hAnsi="Times New Roman" w:cs="Times New Roman"/>
          <w:color w:val="000000"/>
          <w:sz w:val="24"/>
          <w:szCs w:val="24"/>
        </w:rPr>
        <w:t xml:space="preserve">. * Corresponds to P </w:t>
      </w:r>
      <w:r w:rsidRPr="00B950B5">
        <w:rPr>
          <w:rFonts w:ascii="Times New Roman" w:eastAsia="Symbol" w:hAnsi="Times New Roman" w:cs="Times New Roman"/>
          <w:color w:val="000000"/>
          <w:sz w:val="24"/>
          <w:szCs w:val="24"/>
        </w:rPr>
        <w:t>&gt;</w:t>
      </w:r>
      <w:r w:rsidRPr="00B950B5">
        <w:rPr>
          <w:rFonts w:ascii="Times New Roman" w:eastAsia="Times New Roman" w:hAnsi="Times New Roman" w:cs="Times New Roman"/>
          <w:color w:val="000000"/>
          <w:sz w:val="24"/>
          <w:szCs w:val="24"/>
        </w:rPr>
        <w:t xml:space="preserve"> 0.05, ** corresponds to P </w:t>
      </w:r>
      <w:r w:rsidRPr="00B950B5">
        <w:rPr>
          <w:rFonts w:ascii="Times New Roman" w:eastAsia="Symbol" w:hAnsi="Times New Roman" w:cs="Times New Roman"/>
          <w:color w:val="000000"/>
          <w:sz w:val="24"/>
          <w:szCs w:val="24"/>
        </w:rPr>
        <w:t>&gt;</w:t>
      </w:r>
      <w:r w:rsidRPr="00B950B5">
        <w:rPr>
          <w:rFonts w:ascii="Times New Roman" w:eastAsia="Times New Roman" w:hAnsi="Times New Roman" w:cs="Times New Roman"/>
          <w:color w:val="000000"/>
          <w:sz w:val="24"/>
          <w:szCs w:val="24"/>
        </w:rPr>
        <w:t xml:space="preserve"> 0.01, *** corresponds to P </w:t>
      </w:r>
      <w:r w:rsidRPr="00B950B5">
        <w:rPr>
          <w:rFonts w:ascii="Times New Roman" w:eastAsia="Symbol" w:hAnsi="Times New Roman" w:cs="Times New Roman"/>
          <w:color w:val="000000"/>
          <w:sz w:val="24"/>
          <w:szCs w:val="24"/>
        </w:rPr>
        <w:t>&gt;</w:t>
      </w:r>
      <w:r w:rsidRPr="00B950B5">
        <w:rPr>
          <w:rFonts w:ascii="Times New Roman" w:eastAsia="Times New Roman" w:hAnsi="Times New Roman" w:cs="Times New Roman"/>
          <w:color w:val="000000"/>
          <w:sz w:val="24"/>
          <w:szCs w:val="24"/>
        </w:rPr>
        <w:t xml:space="preserve"> 0.001, ****</w:t>
      </w:r>
      <w:r w:rsidRPr="00B950B5">
        <w:rPr>
          <w:rFonts w:ascii="Times New Roman" w:eastAsia="Times New Roman" w:hAnsi="Times New Roman" w:cs="Times New Roman"/>
          <w:b/>
          <w:color w:val="000000"/>
          <w:sz w:val="24"/>
          <w:szCs w:val="24"/>
        </w:rPr>
        <w:t xml:space="preserve"> </w:t>
      </w:r>
      <w:r w:rsidRPr="00B950B5">
        <w:rPr>
          <w:rFonts w:ascii="Times New Roman" w:eastAsia="Times New Roman" w:hAnsi="Times New Roman" w:cs="Times New Roman"/>
          <w:color w:val="000000"/>
          <w:sz w:val="24"/>
          <w:szCs w:val="24"/>
        </w:rPr>
        <w:t xml:space="preserve">corresponds to P </w:t>
      </w:r>
      <w:r w:rsidRPr="00B950B5">
        <w:rPr>
          <w:rFonts w:ascii="Times New Roman" w:eastAsia="Symbol" w:hAnsi="Times New Roman" w:cs="Times New Roman"/>
          <w:color w:val="000000"/>
          <w:sz w:val="24"/>
          <w:szCs w:val="24"/>
        </w:rPr>
        <w:t>&gt;</w:t>
      </w:r>
      <w:r w:rsidRPr="00B950B5">
        <w:rPr>
          <w:rFonts w:ascii="Times New Roman" w:eastAsia="Times New Roman" w:hAnsi="Times New Roman" w:cs="Times New Roman"/>
          <w:color w:val="000000"/>
          <w:sz w:val="24"/>
          <w:szCs w:val="24"/>
        </w:rPr>
        <w:t xml:space="preserve"> 0.0001. </w:t>
      </w:r>
    </w:p>
    <w:p w14:paraId="6F9AC243" w14:textId="77777777" w:rsidR="00C138ED" w:rsidRPr="00B950B5" w:rsidRDefault="00C138ED">
      <w:pPr>
        <w:rPr>
          <w:rFonts w:ascii="Times New Roman" w:hAnsi="Times New Roman" w:cs="Times New Roman"/>
          <w:sz w:val="24"/>
          <w:szCs w:val="24"/>
        </w:rPr>
      </w:pPr>
      <w:r w:rsidRPr="00B950B5">
        <w:rPr>
          <w:rFonts w:ascii="Times New Roman" w:hAnsi="Times New Roman" w:cs="Times New Roman"/>
          <w:noProof/>
          <w:color w:val="000000" w:themeColor="text1"/>
          <w:sz w:val="24"/>
          <w:szCs w:val="24"/>
        </w:rPr>
        <w:lastRenderedPageBreak/>
        <w:drawing>
          <wp:inline distT="0" distB="0" distL="0" distR="0" wp14:anchorId="1648604C" wp14:editId="71A3022C">
            <wp:extent cx="5731510" cy="3289300"/>
            <wp:effectExtent l="0" t="0" r="2540" b="6350"/>
            <wp:docPr id="17748378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37870" name="Picture 177483787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289300"/>
                    </a:xfrm>
                    <a:prstGeom prst="rect">
                      <a:avLst/>
                    </a:prstGeom>
                  </pic:spPr>
                </pic:pic>
              </a:graphicData>
            </a:graphic>
          </wp:inline>
        </w:drawing>
      </w:r>
    </w:p>
    <w:p w14:paraId="1F1B8153" w14:textId="77777777" w:rsidR="00C138ED" w:rsidRPr="00B950B5" w:rsidRDefault="00C138ED" w:rsidP="00F729A8">
      <w:pPr>
        <w:spacing w:line="360" w:lineRule="auto"/>
        <w:jc w:val="both"/>
        <w:rPr>
          <w:rFonts w:ascii="Times New Roman" w:eastAsia="Times New Roman" w:hAnsi="Times New Roman" w:cs="Times New Roman"/>
          <w:b/>
          <w:sz w:val="24"/>
          <w:szCs w:val="24"/>
        </w:rPr>
      </w:pPr>
      <w:r w:rsidRPr="00B950B5">
        <w:rPr>
          <w:rFonts w:ascii="Times New Roman" w:eastAsia="Times New Roman" w:hAnsi="Times New Roman" w:cs="Times New Roman"/>
          <w:b/>
          <w:sz w:val="24"/>
          <w:szCs w:val="24"/>
        </w:rPr>
        <w:t>Fig. S2: The individual and combinatorial effects of gut perturbing agents on the gut microbial compositions at the phylum level in Th1 and Th2 biased mice.</w:t>
      </w:r>
    </w:p>
    <w:p w14:paraId="7D3CFFBA" w14:textId="77777777" w:rsidR="00C138ED" w:rsidRPr="00B950B5" w:rsidRDefault="00C138ED" w:rsidP="00F729A8">
      <w:pPr>
        <w:spacing w:line="360" w:lineRule="auto"/>
        <w:jc w:val="both"/>
        <w:rPr>
          <w:rFonts w:ascii="Times New Roman" w:eastAsia="Times New Roman" w:hAnsi="Times New Roman" w:cs="Times New Roman"/>
          <w:sz w:val="24"/>
          <w:szCs w:val="24"/>
        </w:rPr>
      </w:pPr>
      <w:r w:rsidRPr="00B950B5">
        <w:rPr>
          <w:rFonts w:ascii="Times New Roman" w:eastAsia="Times New Roman" w:hAnsi="Times New Roman" w:cs="Times New Roman"/>
          <w:sz w:val="24"/>
          <w:szCs w:val="24"/>
        </w:rPr>
        <w:t xml:space="preserve">Similar perturbing agents have differential effects on gut microbial composition in different immune-biased mice at phylum levels (A) and (F). We tried to plot the kinetics of gut microbial alterations of the majorly altered phylum in C57BL/6 (B-E) and BALB/c (G-J) to quantify the strain-based variations due to differential treatment conditions. B and G represented the kinetics of the changes of Firmicutes in C57BL/6 (B) and BALB/c (G). Similarly, we represented the changes in Bacteroidetes (E, H), Proteobacteria (F, I), and </w:t>
      </w:r>
      <w:proofErr w:type="spellStart"/>
      <w:r w:rsidRPr="00B950B5">
        <w:rPr>
          <w:rFonts w:ascii="Times New Roman" w:eastAsia="Times New Roman" w:hAnsi="Times New Roman" w:cs="Times New Roman"/>
          <w:sz w:val="24"/>
          <w:szCs w:val="24"/>
        </w:rPr>
        <w:t>Verrucomicrobia</w:t>
      </w:r>
      <w:proofErr w:type="spellEnd"/>
      <w:r w:rsidRPr="00B950B5">
        <w:rPr>
          <w:rFonts w:ascii="Times New Roman" w:eastAsia="Times New Roman" w:hAnsi="Times New Roman" w:cs="Times New Roman"/>
          <w:sz w:val="24"/>
          <w:szCs w:val="24"/>
        </w:rPr>
        <w:t xml:space="preserve"> (G, J) phyla in both the mouse strains. </w:t>
      </w:r>
    </w:p>
    <w:p w14:paraId="282B73B7" w14:textId="77777777" w:rsidR="00C138ED" w:rsidRPr="00B950B5" w:rsidRDefault="00C138ED" w:rsidP="00F729A8">
      <w:pPr>
        <w:spacing w:line="360" w:lineRule="auto"/>
        <w:jc w:val="both"/>
        <w:rPr>
          <w:rFonts w:ascii="Times New Roman" w:eastAsia="Times New Roman" w:hAnsi="Times New Roman" w:cs="Times New Roman"/>
          <w:sz w:val="24"/>
          <w:szCs w:val="24"/>
        </w:rPr>
      </w:pPr>
      <w:r w:rsidRPr="00B950B5">
        <w:rPr>
          <w:rFonts w:ascii="Times New Roman" w:eastAsia="Times New Roman" w:hAnsi="Times New Roman" w:cs="Times New Roman"/>
          <w:sz w:val="24"/>
          <w:szCs w:val="24"/>
        </w:rPr>
        <w:t>The percent abundance was calculated from the average values of at least 3 replicates. Error bars are shown as standard deviation from the mean value of three replicates (</w:t>
      </w:r>
      <w:r w:rsidRPr="00B950B5">
        <w:rPr>
          <w:rFonts w:ascii="Times New Roman" w:eastAsia="Times New Roman" w:hAnsi="Times New Roman" w:cs="Times New Roman"/>
          <w:i/>
          <w:sz w:val="24"/>
          <w:szCs w:val="24"/>
        </w:rPr>
        <w:t xml:space="preserve">n </w:t>
      </w:r>
      <w:r w:rsidRPr="00B950B5">
        <w:rPr>
          <w:rFonts w:ascii="Times New Roman" w:eastAsia="Times New Roman" w:hAnsi="Times New Roman" w:cs="Times New Roman"/>
          <w:sz w:val="24"/>
          <w:szCs w:val="24"/>
        </w:rPr>
        <w:t>= 3).</w:t>
      </w:r>
    </w:p>
    <w:p w14:paraId="2602F199" w14:textId="77777777" w:rsidR="00C138ED" w:rsidRPr="00B950B5" w:rsidRDefault="00C138ED">
      <w:pPr>
        <w:rPr>
          <w:rFonts w:ascii="Times New Roman" w:hAnsi="Times New Roman" w:cs="Times New Roman"/>
          <w:sz w:val="24"/>
          <w:szCs w:val="24"/>
        </w:rPr>
      </w:pPr>
      <w:r w:rsidRPr="00B950B5">
        <w:rPr>
          <w:rFonts w:ascii="Times New Roman" w:hAnsi="Times New Roman" w:cs="Times New Roman"/>
          <w:noProof/>
          <w:sz w:val="24"/>
          <w:szCs w:val="24"/>
        </w:rPr>
        <w:lastRenderedPageBreak/>
        <w:drawing>
          <wp:inline distT="0" distB="0" distL="0" distR="0" wp14:anchorId="15974587" wp14:editId="675302F7">
            <wp:extent cx="5731510" cy="3318510"/>
            <wp:effectExtent l="0" t="0" r="2540" b="0"/>
            <wp:docPr id="252296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9629" name="Picture 2522962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318510"/>
                    </a:xfrm>
                    <a:prstGeom prst="rect">
                      <a:avLst/>
                    </a:prstGeom>
                  </pic:spPr>
                </pic:pic>
              </a:graphicData>
            </a:graphic>
          </wp:inline>
        </w:drawing>
      </w:r>
    </w:p>
    <w:p w14:paraId="59FB444F" w14:textId="77777777" w:rsidR="00C138ED" w:rsidRPr="00B950B5" w:rsidRDefault="00C138ED" w:rsidP="00F729A8">
      <w:pPr>
        <w:rPr>
          <w:rFonts w:ascii="Times New Roman" w:hAnsi="Times New Roman" w:cs="Times New Roman"/>
          <w:b/>
          <w:sz w:val="24"/>
          <w:szCs w:val="24"/>
          <w:lang w:val="en-US"/>
        </w:rPr>
      </w:pPr>
      <w:r w:rsidRPr="00B950B5">
        <w:rPr>
          <w:rFonts w:ascii="Times New Roman" w:hAnsi="Times New Roman" w:cs="Times New Roman"/>
          <w:b/>
          <w:sz w:val="24"/>
          <w:szCs w:val="24"/>
          <w:lang w:val="en-US"/>
        </w:rPr>
        <w:t>Fig. S3: Altered genus-level gut microbial composition and diversity of C57BL/6 and BALB/c mice in various treatment conditions.</w:t>
      </w:r>
    </w:p>
    <w:p w14:paraId="177880B7" w14:textId="77777777" w:rsidR="00C138ED" w:rsidRPr="00B950B5" w:rsidRDefault="00C138ED" w:rsidP="00F729A8">
      <w:pPr>
        <w:rPr>
          <w:rFonts w:ascii="Times New Roman" w:hAnsi="Times New Roman" w:cs="Times New Roman"/>
          <w:sz w:val="24"/>
          <w:szCs w:val="24"/>
          <w:lang w:val="en-US"/>
        </w:rPr>
      </w:pPr>
      <w:r w:rsidRPr="00B950B5">
        <w:rPr>
          <w:rFonts w:ascii="Times New Roman" w:hAnsi="Times New Roman" w:cs="Times New Roman"/>
          <w:sz w:val="24"/>
          <w:szCs w:val="24"/>
          <w:lang w:val="en-US"/>
        </w:rPr>
        <w:t xml:space="preserve">Differential changes in the % abundance of gut microbial compositions of various genera in C57BL/6 (A) and BALB/c (B) due to different treatment regimes. </w:t>
      </w:r>
    </w:p>
    <w:p w14:paraId="04EEA32F" w14:textId="77777777" w:rsidR="00C138ED" w:rsidRPr="00B950B5" w:rsidRDefault="00C138ED" w:rsidP="00F729A8">
      <w:pPr>
        <w:rPr>
          <w:rFonts w:ascii="Times New Roman" w:hAnsi="Times New Roman" w:cs="Times New Roman"/>
          <w:sz w:val="24"/>
          <w:szCs w:val="24"/>
          <w:lang w:val="en-US"/>
        </w:rPr>
      </w:pPr>
      <w:r w:rsidRPr="00B950B5">
        <w:rPr>
          <w:rFonts w:ascii="Times New Roman" w:hAnsi="Times New Roman" w:cs="Times New Roman"/>
          <w:sz w:val="24"/>
          <w:szCs w:val="24"/>
          <w:lang w:val="en-US"/>
        </w:rPr>
        <w:t>The percent abundance was calculated from the average values of at least 3 replicates.</w:t>
      </w:r>
    </w:p>
    <w:p w14:paraId="51F6E61D" w14:textId="77777777" w:rsidR="00C138ED" w:rsidRPr="00B950B5" w:rsidRDefault="00C138ED" w:rsidP="00F729A8">
      <w:pPr>
        <w:rPr>
          <w:rFonts w:ascii="Times New Roman" w:hAnsi="Times New Roman" w:cs="Times New Roman"/>
          <w:sz w:val="24"/>
          <w:szCs w:val="24"/>
          <w:lang w:val="en-US"/>
        </w:rPr>
      </w:pPr>
      <w:r w:rsidRPr="00B950B5">
        <w:rPr>
          <w:rFonts w:ascii="Times New Roman" w:hAnsi="Times New Roman" w:cs="Times New Roman"/>
          <w:sz w:val="24"/>
          <w:szCs w:val="24"/>
          <w:lang w:val="en-US"/>
        </w:rPr>
        <w:t xml:space="preserve">To get a comparative quantification of genus-level gut microbial alterations due to treatments, we plotted the fold change of different microbial genera comparing any two conditions at a time with all possible combinations in Th1 (C) and Th2 (D) biased mice. This analysis aimed to quantify how the treatment conditions differed based on their gut microbial alterations or as the perturbation outcome. </w:t>
      </w:r>
    </w:p>
    <w:p w14:paraId="07E6CE8A" w14:textId="77777777" w:rsidR="00C138ED" w:rsidRPr="00B950B5" w:rsidRDefault="00C138ED" w:rsidP="00F729A8">
      <w:pPr>
        <w:rPr>
          <w:rFonts w:ascii="Times New Roman" w:hAnsi="Times New Roman" w:cs="Times New Roman"/>
          <w:sz w:val="24"/>
          <w:szCs w:val="24"/>
          <w:lang w:val="en-US"/>
        </w:rPr>
      </w:pPr>
      <w:r w:rsidRPr="00B950B5">
        <w:rPr>
          <w:rFonts w:ascii="Times New Roman" w:hAnsi="Times New Roman" w:cs="Times New Roman"/>
          <w:sz w:val="24"/>
          <w:szCs w:val="24"/>
          <w:lang w:val="en-US"/>
        </w:rPr>
        <w:t>Perturbation also perturbed the diversity or the Evenness index of the gut microbiota. To quantify the perturbation effects due to various treatments, we calculated the Evenness index for both C57BL/6 and BALB/c mice (E).</w:t>
      </w:r>
    </w:p>
    <w:p w14:paraId="3C8E3C1B" w14:textId="77777777" w:rsidR="00C138ED" w:rsidRPr="00B950B5" w:rsidRDefault="00C138ED" w:rsidP="00F729A8">
      <w:pPr>
        <w:rPr>
          <w:rFonts w:ascii="Times New Roman" w:hAnsi="Times New Roman" w:cs="Times New Roman"/>
          <w:sz w:val="24"/>
          <w:szCs w:val="24"/>
          <w:lang w:val="en-US"/>
        </w:rPr>
      </w:pPr>
      <w:r w:rsidRPr="00B950B5">
        <w:rPr>
          <w:rFonts w:ascii="Times New Roman" w:hAnsi="Times New Roman" w:cs="Times New Roman"/>
          <w:sz w:val="24"/>
          <w:szCs w:val="24"/>
          <w:lang w:val="en-US"/>
        </w:rPr>
        <w:t>We calculated the statistical significance by comparing the values of the treated groups at various time points with their respective control groups and between the different treatment conditions through two-way ANOVA, followed by the Bonferroni test. * corresponds to P ≤ 0.05, ** corresponds to P ≤ 0.01, *** corresponds to P ≤ 0.001, ****</w:t>
      </w:r>
      <w:r w:rsidRPr="00B950B5">
        <w:rPr>
          <w:rFonts w:ascii="Times New Roman" w:hAnsi="Times New Roman" w:cs="Times New Roman"/>
          <w:b/>
          <w:sz w:val="24"/>
          <w:szCs w:val="24"/>
          <w:lang w:val="en-US"/>
        </w:rPr>
        <w:t xml:space="preserve"> </w:t>
      </w:r>
      <w:r w:rsidRPr="00B950B5">
        <w:rPr>
          <w:rFonts w:ascii="Times New Roman" w:hAnsi="Times New Roman" w:cs="Times New Roman"/>
          <w:sz w:val="24"/>
          <w:szCs w:val="24"/>
          <w:lang w:val="en-US"/>
        </w:rPr>
        <w:t>corresponds to P ≤ 0.0001. Error bars are shown as standard deviation from the mean value of three replicates (</w:t>
      </w:r>
      <w:r w:rsidRPr="00B950B5">
        <w:rPr>
          <w:rFonts w:ascii="Times New Roman" w:hAnsi="Times New Roman" w:cs="Times New Roman"/>
          <w:i/>
          <w:sz w:val="24"/>
          <w:szCs w:val="24"/>
          <w:lang w:val="en-US"/>
        </w:rPr>
        <w:t xml:space="preserve">n </w:t>
      </w:r>
      <w:r w:rsidRPr="00B950B5">
        <w:rPr>
          <w:rFonts w:ascii="Times New Roman" w:hAnsi="Times New Roman" w:cs="Times New Roman"/>
          <w:sz w:val="24"/>
          <w:szCs w:val="24"/>
          <w:lang w:val="en-US"/>
        </w:rPr>
        <w:t>= 3).</w:t>
      </w:r>
    </w:p>
    <w:p w14:paraId="37A4A596" w14:textId="77777777" w:rsidR="00C138ED" w:rsidRPr="00B950B5" w:rsidRDefault="00C138ED" w:rsidP="007D5412">
      <w:pPr>
        <w:rPr>
          <w:rFonts w:ascii="Times New Roman" w:hAnsi="Times New Roman" w:cs="Times New Roman"/>
          <w:bCs/>
          <w:sz w:val="24"/>
          <w:szCs w:val="24"/>
        </w:rPr>
      </w:pPr>
      <w:r w:rsidRPr="00B950B5">
        <w:rPr>
          <w:rFonts w:ascii="Times New Roman" w:hAnsi="Times New Roman" w:cs="Times New Roman"/>
          <w:bCs/>
          <w:noProof/>
          <w:sz w:val="24"/>
          <w:szCs w:val="24"/>
        </w:rPr>
        <w:lastRenderedPageBreak/>
        <w:drawing>
          <wp:inline distT="0" distB="0" distL="0" distR="0" wp14:anchorId="76A59D09" wp14:editId="4A866445">
            <wp:extent cx="4572000" cy="3396328"/>
            <wp:effectExtent l="0" t="0" r="0" b="0"/>
            <wp:docPr id="10269020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02018" name="Picture 1026902018"/>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00490" cy="3417492"/>
                    </a:xfrm>
                    <a:prstGeom prst="rect">
                      <a:avLst/>
                    </a:prstGeom>
                  </pic:spPr>
                </pic:pic>
              </a:graphicData>
            </a:graphic>
          </wp:inline>
        </w:drawing>
      </w:r>
    </w:p>
    <w:p w14:paraId="427133CC" w14:textId="77777777" w:rsidR="00C138ED" w:rsidRPr="00B950B5" w:rsidRDefault="00C138ED" w:rsidP="007D5412">
      <w:pPr>
        <w:rPr>
          <w:rFonts w:ascii="Times New Roman" w:hAnsi="Times New Roman" w:cs="Times New Roman"/>
          <w:b/>
          <w:bCs/>
          <w:sz w:val="24"/>
          <w:szCs w:val="24"/>
          <w:lang w:val="en-US"/>
        </w:rPr>
      </w:pPr>
      <w:r w:rsidRPr="00B950B5">
        <w:rPr>
          <w:rFonts w:ascii="Times New Roman" w:hAnsi="Times New Roman" w:cs="Times New Roman"/>
          <w:b/>
          <w:bCs/>
          <w:sz w:val="24"/>
          <w:szCs w:val="24"/>
          <w:lang w:val="en-US"/>
        </w:rPr>
        <w:t xml:space="preserve">Fig.S4: </w:t>
      </w:r>
      <w:r w:rsidRPr="00B950B5">
        <w:rPr>
          <w:rFonts w:ascii="Times New Roman" w:hAnsi="Times New Roman" w:cs="Times New Roman"/>
          <w:sz w:val="24"/>
          <w:szCs w:val="24"/>
        </w:rPr>
        <w:t>Connectome of metabolite and the correlated microbes in C57BL/6 mice. Network showing significant correlation of microbe and metabolite in C57BL/6 mice. Green edge indicates positive correlation; red edge indicates negative correlation.</w:t>
      </w:r>
    </w:p>
    <w:p w14:paraId="0BDCFDD1" w14:textId="77777777" w:rsidR="00C138ED" w:rsidRPr="00B950B5" w:rsidRDefault="00C138ED" w:rsidP="007D5412">
      <w:pPr>
        <w:rPr>
          <w:rFonts w:ascii="Times New Roman" w:hAnsi="Times New Roman" w:cs="Times New Roman"/>
          <w:bCs/>
          <w:sz w:val="24"/>
          <w:szCs w:val="24"/>
          <w:lang w:val="en-US"/>
        </w:rPr>
      </w:pPr>
      <w:r w:rsidRPr="00B950B5">
        <w:rPr>
          <w:rFonts w:ascii="Times New Roman" w:hAnsi="Times New Roman" w:cs="Times New Roman"/>
          <w:bCs/>
          <w:noProof/>
          <w:sz w:val="24"/>
          <w:szCs w:val="24"/>
          <w:lang w:val="en-US"/>
        </w:rPr>
        <w:drawing>
          <wp:inline distT="0" distB="0" distL="0" distR="0" wp14:anchorId="20C18A9A" wp14:editId="3BEF0020">
            <wp:extent cx="4829175" cy="3172189"/>
            <wp:effectExtent l="0" t="0" r="0" b="9525"/>
            <wp:docPr id="3496926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92655" name="Picture 3496926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33210" cy="3174839"/>
                    </a:xfrm>
                    <a:prstGeom prst="rect">
                      <a:avLst/>
                    </a:prstGeom>
                  </pic:spPr>
                </pic:pic>
              </a:graphicData>
            </a:graphic>
          </wp:inline>
        </w:drawing>
      </w:r>
    </w:p>
    <w:p w14:paraId="3801F333" w14:textId="77777777" w:rsidR="00C138ED" w:rsidRPr="00B950B5" w:rsidRDefault="00C138ED" w:rsidP="007D5412">
      <w:pPr>
        <w:rPr>
          <w:rFonts w:ascii="Times New Roman" w:hAnsi="Times New Roman" w:cs="Times New Roman"/>
          <w:bCs/>
          <w:sz w:val="24"/>
          <w:szCs w:val="24"/>
        </w:rPr>
      </w:pPr>
      <w:r w:rsidRPr="00B950B5">
        <w:rPr>
          <w:rFonts w:ascii="Times New Roman" w:hAnsi="Times New Roman" w:cs="Times New Roman"/>
          <w:b/>
          <w:bCs/>
          <w:sz w:val="24"/>
          <w:szCs w:val="24"/>
          <w:lang w:val="en-US"/>
        </w:rPr>
        <w:t xml:space="preserve">Fig.S5: </w:t>
      </w:r>
      <w:r w:rsidRPr="00B950B5">
        <w:rPr>
          <w:rFonts w:ascii="Times New Roman" w:hAnsi="Times New Roman" w:cs="Times New Roman"/>
          <w:sz w:val="24"/>
          <w:szCs w:val="24"/>
        </w:rPr>
        <w:t>Connectome of metabolite and the correlated microbes in BALB/c mice. Network showing significant correlation of microbe and metabolite in BALB/c mice. Green edge indicates positive correlation; red edge indicates negative correlation.</w:t>
      </w:r>
    </w:p>
    <w:p w14:paraId="3DDBAED0" w14:textId="77777777" w:rsidR="00C138ED" w:rsidRPr="00B950B5" w:rsidRDefault="00C138ED" w:rsidP="00F729A8">
      <w:pPr>
        <w:rPr>
          <w:rFonts w:ascii="Times New Roman" w:hAnsi="Times New Roman" w:cs="Times New Roman"/>
          <w:sz w:val="24"/>
          <w:szCs w:val="24"/>
          <w:lang w:val="en-US"/>
        </w:rPr>
      </w:pPr>
    </w:p>
    <w:p w14:paraId="2FCE3FC0" w14:textId="77777777" w:rsidR="00C138ED" w:rsidRPr="00B950B5" w:rsidRDefault="00C138ED" w:rsidP="00F729A8">
      <w:pPr>
        <w:rPr>
          <w:rFonts w:ascii="Times New Roman" w:hAnsi="Times New Roman" w:cs="Times New Roman"/>
          <w:sz w:val="24"/>
          <w:szCs w:val="24"/>
          <w:lang w:val="en-US"/>
        </w:rPr>
      </w:pPr>
    </w:p>
    <w:p w14:paraId="16706897" w14:textId="77777777" w:rsidR="00C138ED" w:rsidRPr="00B950B5" w:rsidRDefault="00C138ED">
      <w:pPr>
        <w:rPr>
          <w:rFonts w:ascii="Times New Roman" w:hAnsi="Times New Roman" w:cs="Times New Roman"/>
          <w:sz w:val="24"/>
          <w:szCs w:val="24"/>
        </w:rPr>
      </w:pPr>
      <w:r w:rsidRPr="00B950B5">
        <w:rPr>
          <w:rFonts w:ascii="Times New Roman" w:hAnsi="Times New Roman" w:cs="Times New Roman"/>
          <w:noProof/>
          <w:sz w:val="24"/>
          <w:szCs w:val="24"/>
        </w:rPr>
        <w:lastRenderedPageBreak/>
        <w:drawing>
          <wp:inline distT="0" distB="0" distL="0" distR="0" wp14:anchorId="5AE49EB8" wp14:editId="0FA9E38B">
            <wp:extent cx="6574583" cy="3609975"/>
            <wp:effectExtent l="0" t="0" r="0" b="0"/>
            <wp:docPr id="18172355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35507" name="Picture 181723550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77018" cy="3611312"/>
                    </a:xfrm>
                    <a:prstGeom prst="rect">
                      <a:avLst/>
                    </a:prstGeom>
                  </pic:spPr>
                </pic:pic>
              </a:graphicData>
            </a:graphic>
          </wp:inline>
        </w:drawing>
      </w:r>
    </w:p>
    <w:p w14:paraId="71693967" w14:textId="77777777" w:rsidR="00C138ED" w:rsidRPr="00B950B5" w:rsidRDefault="00C138ED" w:rsidP="00DB7700">
      <w:pPr>
        <w:rPr>
          <w:rFonts w:ascii="Times New Roman" w:hAnsi="Times New Roman" w:cs="Times New Roman"/>
          <w:b/>
          <w:sz w:val="24"/>
          <w:szCs w:val="24"/>
          <w:lang w:val="en-US"/>
        </w:rPr>
      </w:pPr>
      <w:r w:rsidRPr="00B950B5">
        <w:rPr>
          <w:rFonts w:ascii="Times New Roman" w:hAnsi="Times New Roman" w:cs="Times New Roman"/>
          <w:b/>
          <w:sz w:val="24"/>
          <w:szCs w:val="24"/>
          <w:lang w:val="en-US"/>
        </w:rPr>
        <w:t>Fig.S6: Networking of microbes and host metabolic pathways in different treatment conditions in C57BL/6 mice.</w:t>
      </w:r>
    </w:p>
    <w:p w14:paraId="6CCC085F" w14:textId="77777777" w:rsidR="00C138ED" w:rsidRPr="00B950B5" w:rsidRDefault="00C138ED" w:rsidP="00DB7700">
      <w:pPr>
        <w:rPr>
          <w:rFonts w:ascii="Times New Roman" w:hAnsi="Times New Roman" w:cs="Times New Roman"/>
          <w:bCs/>
          <w:sz w:val="24"/>
          <w:szCs w:val="24"/>
          <w:lang w:val="en-US"/>
        </w:rPr>
      </w:pPr>
      <w:r w:rsidRPr="00B950B5">
        <w:rPr>
          <w:rFonts w:ascii="Times New Roman" w:hAnsi="Times New Roman" w:cs="Times New Roman"/>
          <w:bCs/>
          <w:sz w:val="24"/>
          <w:szCs w:val="24"/>
          <w:lang w:val="en-US"/>
        </w:rPr>
        <w:t>Altered host and gut microbial metabolites ultimately led to up- and down-regulations of various host metabolic pathways in different treatment conditions. Different treatment conditions were connected with other metabolic pathways and with respective microbes. The connectome (A) analysis gave us a clear idea of how various treatment conditions were connected regarding microbes and microbiota-driven metabolic alterations in C57BL/6 mice (A). We also quantified the fold change of the significantly impacted pathways compared to the control condition, and the microbes correlated with the specific pathway in C57BL/6 mice (B).</w:t>
      </w:r>
    </w:p>
    <w:p w14:paraId="6A6A0A30" w14:textId="77777777" w:rsidR="00C138ED" w:rsidRPr="00B950B5" w:rsidRDefault="00C138ED" w:rsidP="00DB7700">
      <w:pPr>
        <w:rPr>
          <w:rFonts w:ascii="Times New Roman" w:hAnsi="Times New Roman" w:cs="Times New Roman"/>
          <w:bCs/>
          <w:sz w:val="24"/>
          <w:szCs w:val="24"/>
          <w:lang w:val="en-US"/>
        </w:rPr>
      </w:pPr>
    </w:p>
    <w:p w14:paraId="0115C003" w14:textId="77777777" w:rsidR="00C138ED" w:rsidRPr="00B950B5" w:rsidRDefault="00C138ED" w:rsidP="00DB7700">
      <w:pPr>
        <w:rPr>
          <w:rFonts w:ascii="Times New Roman" w:hAnsi="Times New Roman" w:cs="Times New Roman"/>
          <w:bCs/>
          <w:sz w:val="24"/>
          <w:szCs w:val="24"/>
          <w:lang w:val="en-US"/>
        </w:rPr>
      </w:pPr>
      <w:r w:rsidRPr="00B950B5">
        <w:rPr>
          <w:rFonts w:ascii="Times New Roman" w:hAnsi="Times New Roman" w:cs="Times New Roman"/>
          <w:bCs/>
          <w:noProof/>
          <w:sz w:val="24"/>
          <w:szCs w:val="24"/>
          <w:lang w:val="en-US"/>
        </w:rPr>
        <w:lastRenderedPageBreak/>
        <w:drawing>
          <wp:inline distT="0" distB="0" distL="0" distR="0" wp14:anchorId="038B1827" wp14:editId="0A2A3CAE">
            <wp:extent cx="5731510" cy="3238500"/>
            <wp:effectExtent l="0" t="0" r="2540" b="0"/>
            <wp:docPr id="1881185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85256" name="Picture 188118525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38500"/>
                    </a:xfrm>
                    <a:prstGeom prst="rect">
                      <a:avLst/>
                    </a:prstGeom>
                  </pic:spPr>
                </pic:pic>
              </a:graphicData>
            </a:graphic>
          </wp:inline>
        </w:drawing>
      </w:r>
    </w:p>
    <w:p w14:paraId="3A73EE22" w14:textId="77777777" w:rsidR="00C138ED" w:rsidRPr="00B950B5" w:rsidRDefault="00C138ED" w:rsidP="00DB7700">
      <w:pPr>
        <w:rPr>
          <w:rFonts w:ascii="Times New Roman" w:hAnsi="Times New Roman" w:cs="Times New Roman"/>
          <w:bCs/>
          <w:sz w:val="24"/>
          <w:szCs w:val="24"/>
          <w:lang w:val="en-US"/>
        </w:rPr>
      </w:pPr>
    </w:p>
    <w:p w14:paraId="0C836D4A" w14:textId="77777777" w:rsidR="00C138ED" w:rsidRPr="00B950B5" w:rsidRDefault="00C138ED" w:rsidP="00DB7700">
      <w:pPr>
        <w:rPr>
          <w:rFonts w:ascii="Times New Roman" w:hAnsi="Times New Roman" w:cs="Times New Roman"/>
          <w:b/>
          <w:bCs/>
          <w:sz w:val="24"/>
          <w:szCs w:val="24"/>
          <w:lang w:val="en-US"/>
        </w:rPr>
      </w:pPr>
      <w:r w:rsidRPr="00B950B5">
        <w:rPr>
          <w:rFonts w:ascii="Times New Roman" w:hAnsi="Times New Roman" w:cs="Times New Roman"/>
          <w:b/>
          <w:sz w:val="24"/>
          <w:szCs w:val="24"/>
          <w:lang w:val="en-US"/>
        </w:rPr>
        <w:t>Fig.S7</w:t>
      </w:r>
      <w:r w:rsidRPr="00B950B5">
        <w:rPr>
          <w:rFonts w:ascii="Times New Roman" w:hAnsi="Times New Roman" w:cs="Times New Roman"/>
          <w:b/>
          <w:bCs/>
          <w:sz w:val="24"/>
          <w:szCs w:val="24"/>
          <w:lang w:val="en-US"/>
        </w:rPr>
        <w:t>: Networking of microbes and host metabolic pathways in different treatment conditions in BALB/c mice.</w:t>
      </w:r>
    </w:p>
    <w:p w14:paraId="29047425" w14:textId="77777777" w:rsidR="00C138ED" w:rsidRPr="00B950B5" w:rsidRDefault="00C138ED" w:rsidP="00DB7700">
      <w:pPr>
        <w:rPr>
          <w:rFonts w:ascii="Times New Roman" w:hAnsi="Times New Roman" w:cs="Times New Roman"/>
          <w:bCs/>
          <w:sz w:val="24"/>
          <w:szCs w:val="24"/>
          <w:lang w:val="en-US"/>
        </w:rPr>
      </w:pPr>
      <w:r w:rsidRPr="00B950B5">
        <w:rPr>
          <w:rFonts w:ascii="Times New Roman" w:hAnsi="Times New Roman" w:cs="Times New Roman"/>
          <w:bCs/>
          <w:sz w:val="24"/>
          <w:szCs w:val="24"/>
          <w:lang w:val="en-US"/>
        </w:rPr>
        <w:t>Altered host and gut microbial metabolites ultimately led to up- and down-regulations of various host metabolic pathways in different treatment conditions. Different treatment conditions were connected with other metabolic pathways and with respective microbes. The connectome (A) analysis clearly showed how various treatment conditions were linked regarding microbes and microbiota-driven metabolic alterations in BALB/c mice (A). We also quantified the fold change of the significantly impacted pathways compared to the control condition, and the microbes correlated with the specific pathway in BALB/c mice (B).</w:t>
      </w:r>
    </w:p>
    <w:p w14:paraId="2AE87520" w14:textId="77777777" w:rsidR="00C138ED" w:rsidRPr="00B950B5" w:rsidRDefault="00C138ED" w:rsidP="00DB7700">
      <w:pPr>
        <w:rPr>
          <w:rFonts w:ascii="Times New Roman" w:hAnsi="Times New Roman" w:cs="Times New Roman"/>
          <w:bCs/>
          <w:sz w:val="24"/>
          <w:szCs w:val="24"/>
          <w:lang w:val="en-US"/>
        </w:rPr>
      </w:pPr>
    </w:p>
    <w:p w14:paraId="32E2239E" w14:textId="77777777" w:rsidR="00C138ED" w:rsidRPr="00B950B5" w:rsidRDefault="00C138ED" w:rsidP="00BC7EBD">
      <w:pPr>
        <w:rPr>
          <w:rFonts w:ascii="Times New Roman" w:hAnsi="Times New Roman" w:cs="Times New Roman"/>
          <w:sz w:val="24"/>
          <w:szCs w:val="24"/>
          <w:lang w:val="en-US"/>
        </w:rPr>
      </w:pPr>
      <w:r w:rsidRPr="00B950B5">
        <w:rPr>
          <w:rFonts w:ascii="Times New Roman" w:hAnsi="Times New Roman" w:cs="Times New Roman"/>
          <w:noProof/>
          <w:sz w:val="24"/>
          <w:szCs w:val="24"/>
          <w:lang w:val="en-US"/>
        </w:rPr>
        <w:lastRenderedPageBreak/>
        <w:drawing>
          <wp:inline distT="0" distB="0" distL="0" distR="0" wp14:anchorId="11668EA5" wp14:editId="267B0298">
            <wp:extent cx="5731510" cy="3246755"/>
            <wp:effectExtent l="0" t="0" r="2540" b="0"/>
            <wp:docPr id="16750588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7573" name="Picture 10599757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246755"/>
                    </a:xfrm>
                    <a:prstGeom prst="rect">
                      <a:avLst/>
                    </a:prstGeom>
                  </pic:spPr>
                </pic:pic>
              </a:graphicData>
            </a:graphic>
          </wp:inline>
        </w:drawing>
      </w:r>
    </w:p>
    <w:p w14:paraId="287D39D2" w14:textId="77777777" w:rsidR="00C138ED" w:rsidRPr="00B950B5" w:rsidRDefault="00C138ED" w:rsidP="00BC7EBD">
      <w:pPr>
        <w:rPr>
          <w:rFonts w:ascii="Times New Roman" w:hAnsi="Times New Roman" w:cs="Times New Roman"/>
          <w:b/>
          <w:sz w:val="24"/>
          <w:szCs w:val="24"/>
          <w:lang w:val="en-US"/>
        </w:rPr>
      </w:pPr>
      <w:r w:rsidRPr="00B950B5">
        <w:rPr>
          <w:rFonts w:ascii="Times New Roman" w:hAnsi="Times New Roman" w:cs="Times New Roman"/>
          <w:b/>
          <w:sz w:val="24"/>
          <w:szCs w:val="24"/>
          <w:lang w:val="en-US"/>
        </w:rPr>
        <w:t xml:space="preserve">Fig.S8: Connectome of various metabolic pathways and the respective microbes across multiple treatment conditions in C57BL/6 mice. </w:t>
      </w:r>
    </w:p>
    <w:p w14:paraId="671FE376" w14:textId="77777777" w:rsidR="00C138ED" w:rsidRPr="00B950B5" w:rsidRDefault="00C138ED" w:rsidP="00BC7EBD">
      <w:pPr>
        <w:rPr>
          <w:rFonts w:ascii="Times New Roman" w:hAnsi="Times New Roman" w:cs="Times New Roman"/>
          <w:sz w:val="24"/>
          <w:szCs w:val="24"/>
          <w:lang w:val="en-US"/>
        </w:rPr>
      </w:pPr>
      <w:r w:rsidRPr="00B950B5">
        <w:rPr>
          <w:rFonts w:ascii="Times New Roman" w:hAnsi="Times New Roman" w:cs="Times New Roman"/>
          <w:sz w:val="24"/>
          <w:szCs w:val="24"/>
          <w:lang w:val="en-US"/>
        </w:rPr>
        <w:t>Individual treatment condition-based metabolic alterations of the host and the correlated microbes for the modifications in various treatment conditions: 9AB (A), DSS (B), 9AB&amp;DSS (C), 9AB+DSS (D), DSS+9AB (E), 9AB+H</w:t>
      </w:r>
      <w:r w:rsidRPr="00B950B5">
        <w:rPr>
          <w:rFonts w:ascii="Times New Roman" w:hAnsi="Times New Roman" w:cs="Times New Roman"/>
          <w:sz w:val="24"/>
          <w:szCs w:val="24"/>
          <w:vertAlign w:val="subscript"/>
          <w:lang w:val="en-US"/>
        </w:rPr>
        <w:t>2</w:t>
      </w:r>
      <w:r w:rsidRPr="00B950B5">
        <w:rPr>
          <w:rFonts w:ascii="Times New Roman" w:hAnsi="Times New Roman" w:cs="Times New Roman"/>
          <w:sz w:val="24"/>
          <w:szCs w:val="24"/>
          <w:lang w:val="en-US"/>
        </w:rPr>
        <w:t>O (F), DSS+H</w:t>
      </w:r>
      <w:r w:rsidRPr="00B950B5">
        <w:rPr>
          <w:rFonts w:ascii="Times New Roman" w:hAnsi="Times New Roman" w:cs="Times New Roman"/>
          <w:sz w:val="24"/>
          <w:szCs w:val="24"/>
          <w:vertAlign w:val="subscript"/>
          <w:lang w:val="en-US"/>
        </w:rPr>
        <w:t>2</w:t>
      </w:r>
      <w:r w:rsidRPr="00B950B5">
        <w:rPr>
          <w:rFonts w:ascii="Times New Roman" w:hAnsi="Times New Roman" w:cs="Times New Roman"/>
          <w:sz w:val="24"/>
          <w:szCs w:val="24"/>
          <w:lang w:val="en-US"/>
        </w:rPr>
        <w:t>O (G), 9AB&amp;DSS+H</w:t>
      </w:r>
      <w:r w:rsidRPr="00B950B5">
        <w:rPr>
          <w:rFonts w:ascii="Times New Roman" w:hAnsi="Times New Roman" w:cs="Times New Roman"/>
          <w:sz w:val="24"/>
          <w:szCs w:val="24"/>
          <w:vertAlign w:val="subscript"/>
          <w:lang w:val="en-US"/>
        </w:rPr>
        <w:t>2</w:t>
      </w:r>
      <w:r w:rsidRPr="00B950B5">
        <w:rPr>
          <w:rFonts w:ascii="Times New Roman" w:hAnsi="Times New Roman" w:cs="Times New Roman"/>
          <w:sz w:val="24"/>
          <w:szCs w:val="24"/>
          <w:lang w:val="en-US"/>
        </w:rPr>
        <w:t>O (H) in C57BL/6 mice.</w:t>
      </w:r>
    </w:p>
    <w:p w14:paraId="4D660C38" w14:textId="77777777" w:rsidR="00C138ED" w:rsidRPr="00B950B5" w:rsidRDefault="00C138ED" w:rsidP="00BC7EBD">
      <w:pPr>
        <w:rPr>
          <w:rFonts w:ascii="Times New Roman" w:hAnsi="Times New Roman" w:cs="Times New Roman"/>
          <w:sz w:val="24"/>
          <w:szCs w:val="24"/>
          <w:lang w:val="en-US"/>
        </w:rPr>
      </w:pPr>
    </w:p>
    <w:p w14:paraId="5EEF9ED4" w14:textId="77777777" w:rsidR="00C138ED" w:rsidRPr="00B950B5" w:rsidRDefault="00C138ED" w:rsidP="00BC7EBD">
      <w:pPr>
        <w:rPr>
          <w:rFonts w:ascii="Times New Roman" w:hAnsi="Times New Roman" w:cs="Times New Roman"/>
          <w:sz w:val="24"/>
          <w:szCs w:val="24"/>
          <w:lang w:val="en-US"/>
        </w:rPr>
      </w:pPr>
    </w:p>
    <w:p w14:paraId="29AD06BB" w14:textId="77777777" w:rsidR="00C138ED" w:rsidRPr="00B950B5" w:rsidRDefault="00C138ED" w:rsidP="00BC7EBD">
      <w:pPr>
        <w:rPr>
          <w:rFonts w:ascii="Times New Roman" w:hAnsi="Times New Roman" w:cs="Times New Roman"/>
          <w:sz w:val="24"/>
          <w:szCs w:val="24"/>
          <w:lang w:val="en-US"/>
        </w:rPr>
      </w:pPr>
    </w:p>
    <w:p w14:paraId="6DE7F3FF" w14:textId="77777777" w:rsidR="00C138ED" w:rsidRPr="00B950B5" w:rsidRDefault="00C138ED" w:rsidP="00BC7EBD">
      <w:pPr>
        <w:rPr>
          <w:rFonts w:ascii="Times New Roman" w:hAnsi="Times New Roman" w:cs="Times New Roman"/>
          <w:sz w:val="24"/>
          <w:szCs w:val="24"/>
          <w:lang w:val="en-US"/>
        </w:rPr>
      </w:pPr>
    </w:p>
    <w:p w14:paraId="76886316" w14:textId="77777777" w:rsidR="00C138ED" w:rsidRPr="00B950B5" w:rsidRDefault="00C138ED" w:rsidP="00BC7EBD">
      <w:pPr>
        <w:rPr>
          <w:rFonts w:ascii="Times New Roman" w:hAnsi="Times New Roman" w:cs="Times New Roman"/>
          <w:sz w:val="24"/>
          <w:szCs w:val="24"/>
          <w:lang w:val="en-US"/>
        </w:rPr>
      </w:pPr>
    </w:p>
    <w:p w14:paraId="694E40F2" w14:textId="77777777" w:rsidR="00C138ED" w:rsidRPr="00B950B5" w:rsidRDefault="00C138ED" w:rsidP="00BC7EBD">
      <w:pPr>
        <w:rPr>
          <w:rFonts w:ascii="Times New Roman" w:hAnsi="Times New Roman" w:cs="Times New Roman"/>
          <w:sz w:val="24"/>
          <w:szCs w:val="24"/>
          <w:lang w:val="en-US"/>
        </w:rPr>
      </w:pPr>
      <w:r w:rsidRPr="00B950B5">
        <w:rPr>
          <w:rFonts w:ascii="Times New Roman" w:hAnsi="Times New Roman" w:cs="Times New Roman"/>
          <w:noProof/>
          <w:sz w:val="24"/>
          <w:szCs w:val="24"/>
          <w:lang w:val="en-US"/>
        </w:rPr>
        <w:lastRenderedPageBreak/>
        <w:drawing>
          <wp:inline distT="0" distB="0" distL="0" distR="0" wp14:anchorId="581F52F7" wp14:editId="44BEAE17">
            <wp:extent cx="5731510" cy="3277870"/>
            <wp:effectExtent l="0" t="0" r="2540" b="0"/>
            <wp:docPr id="7223672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06061" name="Picture 95200606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277870"/>
                    </a:xfrm>
                    <a:prstGeom prst="rect">
                      <a:avLst/>
                    </a:prstGeom>
                  </pic:spPr>
                </pic:pic>
              </a:graphicData>
            </a:graphic>
          </wp:inline>
        </w:drawing>
      </w:r>
    </w:p>
    <w:p w14:paraId="7A1E6ACA" w14:textId="77777777" w:rsidR="00C138ED" w:rsidRPr="00B950B5" w:rsidRDefault="00C138ED" w:rsidP="00BC7EBD">
      <w:pPr>
        <w:rPr>
          <w:rFonts w:ascii="Times New Roman" w:hAnsi="Times New Roman" w:cs="Times New Roman"/>
          <w:b/>
          <w:sz w:val="24"/>
          <w:szCs w:val="24"/>
          <w:lang w:val="en-US"/>
        </w:rPr>
      </w:pPr>
      <w:r w:rsidRPr="00B950B5">
        <w:rPr>
          <w:rFonts w:ascii="Times New Roman" w:hAnsi="Times New Roman" w:cs="Times New Roman"/>
          <w:b/>
          <w:sz w:val="24"/>
          <w:szCs w:val="24"/>
          <w:lang w:val="en-US"/>
        </w:rPr>
        <w:t xml:space="preserve">Fig.S9: Connectome of various metabolic pathways and the respective microbes across multiple treatment conditions in BALB/c mice. </w:t>
      </w:r>
    </w:p>
    <w:p w14:paraId="7BF3B047" w14:textId="77777777" w:rsidR="00C138ED" w:rsidRPr="00B950B5" w:rsidRDefault="00C138ED" w:rsidP="00BC7EBD">
      <w:pPr>
        <w:rPr>
          <w:rFonts w:ascii="Times New Roman" w:hAnsi="Times New Roman" w:cs="Times New Roman"/>
          <w:sz w:val="24"/>
          <w:szCs w:val="24"/>
          <w:lang w:val="en-US"/>
        </w:rPr>
      </w:pPr>
      <w:r w:rsidRPr="00B950B5">
        <w:rPr>
          <w:rFonts w:ascii="Times New Roman" w:hAnsi="Times New Roman" w:cs="Times New Roman"/>
          <w:sz w:val="24"/>
          <w:szCs w:val="24"/>
          <w:lang w:val="en-US"/>
        </w:rPr>
        <w:t>Individual treatment condition-based metabolic alterations of the host and the correlated microbes for the modifications in various treatment conditions: 9AB (A), DSS (B), 9AB&amp;DSS (C), 9AB+DSS (D), DSS+9AB (E), 9AB+H</w:t>
      </w:r>
      <w:r w:rsidRPr="00B950B5">
        <w:rPr>
          <w:rFonts w:ascii="Times New Roman" w:hAnsi="Times New Roman" w:cs="Times New Roman"/>
          <w:sz w:val="24"/>
          <w:szCs w:val="24"/>
          <w:vertAlign w:val="subscript"/>
          <w:lang w:val="en-US"/>
        </w:rPr>
        <w:t>2</w:t>
      </w:r>
      <w:r w:rsidRPr="00B950B5">
        <w:rPr>
          <w:rFonts w:ascii="Times New Roman" w:hAnsi="Times New Roman" w:cs="Times New Roman"/>
          <w:sz w:val="24"/>
          <w:szCs w:val="24"/>
          <w:lang w:val="en-US"/>
        </w:rPr>
        <w:t>O (F), DSS+H</w:t>
      </w:r>
      <w:r w:rsidRPr="00B950B5">
        <w:rPr>
          <w:rFonts w:ascii="Times New Roman" w:hAnsi="Times New Roman" w:cs="Times New Roman"/>
          <w:sz w:val="24"/>
          <w:szCs w:val="24"/>
          <w:vertAlign w:val="subscript"/>
          <w:lang w:val="en-US"/>
        </w:rPr>
        <w:t>2</w:t>
      </w:r>
      <w:r w:rsidRPr="00B950B5">
        <w:rPr>
          <w:rFonts w:ascii="Times New Roman" w:hAnsi="Times New Roman" w:cs="Times New Roman"/>
          <w:sz w:val="24"/>
          <w:szCs w:val="24"/>
          <w:lang w:val="en-US"/>
        </w:rPr>
        <w:t>O (G), 9AB&amp;DSS+H</w:t>
      </w:r>
      <w:r w:rsidRPr="00B950B5">
        <w:rPr>
          <w:rFonts w:ascii="Times New Roman" w:hAnsi="Times New Roman" w:cs="Times New Roman"/>
          <w:sz w:val="24"/>
          <w:szCs w:val="24"/>
          <w:vertAlign w:val="subscript"/>
          <w:lang w:val="en-US"/>
        </w:rPr>
        <w:t>2</w:t>
      </w:r>
      <w:r w:rsidRPr="00B950B5">
        <w:rPr>
          <w:rFonts w:ascii="Times New Roman" w:hAnsi="Times New Roman" w:cs="Times New Roman"/>
          <w:sz w:val="24"/>
          <w:szCs w:val="24"/>
          <w:lang w:val="en-US"/>
        </w:rPr>
        <w:t>O (H) in BALB/c mice.</w:t>
      </w:r>
    </w:p>
    <w:p w14:paraId="4EBE9F62" w14:textId="77777777" w:rsidR="00C138ED" w:rsidRPr="00B950B5" w:rsidRDefault="00C138ED" w:rsidP="00DB7700">
      <w:pPr>
        <w:rPr>
          <w:rFonts w:ascii="Times New Roman" w:hAnsi="Times New Roman" w:cs="Times New Roman"/>
          <w:bCs/>
          <w:sz w:val="24"/>
          <w:szCs w:val="24"/>
        </w:rPr>
      </w:pPr>
    </w:p>
    <w:p w14:paraId="4D376A77" w14:textId="77777777" w:rsidR="00C138ED" w:rsidRDefault="00C138ED"/>
    <w:sectPr w:rsidR="00C138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D"/>
    <w:rsid w:val="00066A3B"/>
    <w:rsid w:val="000D23F8"/>
    <w:rsid w:val="00BF6458"/>
    <w:rsid w:val="00C138ED"/>
    <w:rsid w:val="00C6530D"/>
    <w:rsid w:val="00CC5363"/>
    <w:rsid w:val="00CF50F9"/>
    <w:rsid w:val="00CF514C"/>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D492C"/>
  <w15:chartTrackingRefBased/>
  <w15:docId w15:val="{6D18218C-82E9-4E8C-9E83-8D636CFE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30D"/>
  </w:style>
  <w:style w:type="paragraph" w:styleId="Heading1">
    <w:name w:val="heading 1"/>
    <w:basedOn w:val="Normal"/>
    <w:next w:val="Normal"/>
    <w:link w:val="Heading1Char"/>
    <w:uiPriority w:val="9"/>
    <w:qFormat/>
    <w:rsid w:val="00C653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53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53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53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53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5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3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53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53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53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53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5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30D"/>
    <w:rPr>
      <w:rFonts w:eastAsiaTheme="majorEastAsia" w:cstheme="majorBidi"/>
      <w:color w:val="272727" w:themeColor="text1" w:themeTint="D8"/>
    </w:rPr>
  </w:style>
  <w:style w:type="paragraph" w:styleId="Title">
    <w:name w:val="Title"/>
    <w:basedOn w:val="Normal"/>
    <w:next w:val="Normal"/>
    <w:link w:val="TitleChar"/>
    <w:uiPriority w:val="10"/>
    <w:qFormat/>
    <w:rsid w:val="00C65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30D"/>
    <w:pPr>
      <w:spacing w:before="160"/>
      <w:jc w:val="center"/>
    </w:pPr>
    <w:rPr>
      <w:i/>
      <w:iCs/>
      <w:color w:val="404040" w:themeColor="text1" w:themeTint="BF"/>
    </w:rPr>
  </w:style>
  <w:style w:type="character" w:customStyle="1" w:styleId="QuoteChar">
    <w:name w:val="Quote Char"/>
    <w:basedOn w:val="DefaultParagraphFont"/>
    <w:link w:val="Quote"/>
    <w:uiPriority w:val="29"/>
    <w:rsid w:val="00C6530D"/>
    <w:rPr>
      <w:i/>
      <w:iCs/>
      <w:color w:val="404040" w:themeColor="text1" w:themeTint="BF"/>
    </w:rPr>
  </w:style>
  <w:style w:type="paragraph" w:styleId="ListParagraph">
    <w:name w:val="List Paragraph"/>
    <w:basedOn w:val="Normal"/>
    <w:uiPriority w:val="34"/>
    <w:qFormat/>
    <w:rsid w:val="00C6530D"/>
    <w:pPr>
      <w:ind w:left="720"/>
      <w:contextualSpacing/>
    </w:pPr>
  </w:style>
  <w:style w:type="character" w:styleId="IntenseEmphasis">
    <w:name w:val="Intense Emphasis"/>
    <w:basedOn w:val="DefaultParagraphFont"/>
    <w:uiPriority w:val="21"/>
    <w:qFormat/>
    <w:rsid w:val="00C6530D"/>
    <w:rPr>
      <w:i/>
      <w:iCs/>
      <w:color w:val="2F5496" w:themeColor="accent1" w:themeShade="BF"/>
    </w:rPr>
  </w:style>
  <w:style w:type="paragraph" w:styleId="IntenseQuote">
    <w:name w:val="Intense Quote"/>
    <w:basedOn w:val="Normal"/>
    <w:next w:val="Normal"/>
    <w:link w:val="IntenseQuoteChar"/>
    <w:uiPriority w:val="30"/>
    <w:qFormat/>
    <w:rsid w:val="00C653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530D"/>
    <w:rPr>
      <w:i/>
      <w:iCs/>
      <w:color w:val="2F5496" w:themeColor="accent1" w:themeShade="BF"/>
    </w:rPr>
  </w:style>
  <w:style w:type="character" w:styleId="IntenseReference">
    <w:name w:val="Intense Reference"/>
    <w:basedOn w:val="DefaultParagraphFont"/>
    <w:uiPriority w:val="32"/>
    <w:qFormat/>
    <w:rsid w:val="00C653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1252</Words>
  <Characters>6915</Characters>
  <Application>Microsoft Office Word</Application>
  <DocSecurity>0</DocSecurity>
  <Lines>987</Lines>
  <Paragraphs>480</Paragraphs>
  <ScaleCrop>false</ScaleCrop>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Aich LAB</dc:creator>
  <cp:keywords/>
  <dc:description/>
  <cp:lastModifiedBy>Palok</cp:lastModifiedBy>
  <cp:revision>3</cp:revision>
  <dcterms:created xsi:type="dcterms:W3CDTF">2026-05-15T07:29:00Z</dcterms:created>
  <dcterms:modified xsi:type="dcterms:W3CDTF">2026-05-15T07:30:00Z</dcterms:modified>
</cp:coreProperties>
</file>