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sz w:val="21"/>
        </w:rPr>
        <w:t>Supplementary Information</w:t>
      </w:r>
    </w:p>
    <w:p>
      <w:r>
        <w:rPr>
          <w:rFonts w:ascii="Times New Roman" w:hAnsi="Times New Roman" w:eastAsia="Times New Roman"/>
          <w:sz w:val="21"/>
        </w:rPr>
        <w:t>Machine Learning-Based Identification of Drug-Resistant Pathogen Infection in Patients With Sepsis: A Multicenter Cohort Study</w:t>
      </w:r>
    </w:p>
    <w:p>
      <w:r>
        <w:rPr>
          <w:rFonts w:ascii="Times New Roman" w:hAnsi="Times New Roman" w:eastAsia="Times New Roman"/>
          <w:sz w:val="21"/>
        </w:rPr>
        <w:t>Supplementary Tables S1-S7</w:t>
      </w:r>
    </w:p>
    <w:p>
      <w:r>
        <w:rPr>
          <w:rFonts w:ascii="Times New Roman" w:hAnsi="Times New Roman" w:eastAsia="Times New Roman"/>
          <w:sz w:val="21"/>
        </w:rPr>
        <w:t>This file contains all supplementary tables cited in the main manuscript. Each supplementary table is provided below with an appropriate caption.</w:t>
      </w:r>
    </w:p>
    <w:p/>
    <w:p w14:paraId="16AF0EF2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S1. Top Boruta-selected features across outcomes after excluding length-of-stay and other post-index variables. This table was moved to the Supplementary Material to avoid redundancy with Figures 1–3.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2880"/>
        <w:gridCol w:w="2880"/>
        <w:gridCol w:w="2880"/>
      </w:tblGrid>
      <w:tr w:rsidR="005F6690" w14:paraId="12ADDA90" w14:textId="77777777">
        <w:trPr>
          <w:jc w:val="center"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54DD078B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b/>
                <w:sz w:val="18"/>
              </w:rPr>
              <w:lastRenderedPageBreak/>
              <w:t>Rank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3E775116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b/>
                <w:sz w:val="18"/>
              </w:rPr>
              <w:t>MRSA (Boruta)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026EA0EC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b/>
                <w:sz w:val="18"/>
              </w:rPr>
              <w:t>VRE (Boruta)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69202EBC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b/>
                <w:sz w:val="18"/>
              </w:rPr>
              <w:t>CRPA (Boruta)</w:t>
            </w:r>
          </w:p>
        </w:tc>
      </w:tr>
      <w:tr w:rsidR="005F6690" w14:paraId="463737B4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7EE2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8343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white_blood_cell_count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6F0B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white_blood_cell_count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BA56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pco2</w:t>
            </w:r>
          </w:p>
        </w:tc>
      </w:tr>
      <w:tr w:rsidR="005F6690" w14:paraId="55480CA3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D2A6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1779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age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6FC0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platelet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D6B8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fibrinogen</w:t>
            </w:r>
          </w:p>
        </w:tc>
      </w:tr>
      <w:tr w:rsidR="005F6690" w14:paraId="5A472F88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A11B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651F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platelet.1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27B6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fibrinogen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A3599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white_blood_cell_count</w:t>
            </w:r>
            <w:proofErr w:type="spellEnd"/>
          </w:p>
        </w:tc>
      </w:tr>
      <w:tr w:rsidR="005F6690" w14:paraId="67DB5585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6578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B077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glucose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B97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pco2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19B0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lymphocytes</w:t>
            </w:r>
          </w:p>
        </w:tc>
      </w:tr>
      <w:tr w:rsidR="005F6690" w14:paraId="17738CD1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AE53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8C48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hemoglobin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A6FBD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amyloid_a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675F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ldl</w:t>
            </w:r>
            <w:proofErr w:type="spellEnd"/>
          </w:p>
        </w:tc>
      </w:tr>
      <w:tr w:rsidR="005F6690" w14:paraId="7092CA02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F795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FD7CF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po2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0161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lymphocytes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CD6A1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platelet</w:t>
            </w:r>
          </w:p>
        </w:tc>
      </w:tr>
      <w:tr w:rsidR="005F6690" w14:paraId="39D92056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A1BE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C8F8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avg_gcs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AEDA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tsh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DC74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alveolar_arterial_oxygen_gradient</w:t>
            </w:r>
            <w:proofErr w:type="spellEnd"/>
          </w:p>
        </w:tc>
      </w:tr>
      <w:tr w:rsidR="005F6690" w14:paraId="739DA3EA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670C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0F19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avg_sofa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26D3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inr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1FFB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glycated_hemoglobin</w:t>
            </w:r>
            <w:proofErr w:type="spellEnd"/>
          </w:p>
        </w:tc>
      </w:tr>
      <w:tr w:rsidR="005F6690" w14:paraId="483E9793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5002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03EA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eosinophils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1C6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total_bilirubin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DF1A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potassium</w:t>
            </w:r>
          </w:p>
        </w:tc>
      </w:tr>
      <w:tr w:rsidR="005F6690" w14:paraId="391075FE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C5E9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3783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basophils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7B7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potassium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C2F7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cholesterol</w:t>
            </w:r>
          </w:p>
        </w:tc>
      </w:tr>
      <w:tr w:rsidR="005F6690" w14:paraId="1B365B43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5934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A081E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oass_score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33C6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glucose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1AB5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phosphate</w:t>
            </w:r>
          </w:p>
        </w:tc>
      </w:tr>
      <w:tr w:rsidR="005F6690" w14:paraId="17FC371F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D416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130E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platelet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C95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magnesium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4E75A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ph</w:t>
            </w:r>
            <w:proofErr w:type="spellEnd"/>
          </w:p>
        </w:tc>
      </w:tr>
      <w:tr w:rsidR="005F6690" w14:paraId="569CE8D7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686B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A7A4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glycated_hemoglobin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8FF18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albumin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FE41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basophils</w:t>
            </w:r>
          </w:p>
        </w:tc>
      </w:tr>
      <w:tr w:rsidR="005F6690" w14:paraId="34C5E32D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6927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7F056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aps_iii_score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CDB1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hemoglobin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A67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alt</w:t>
            </w:r>
          </w:p>
        </w:tc>
      </w:tr>
      <w:tr w:rsidR="005F6690" w14:paraId="712D9B31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0E70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B767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ldl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C6A7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sodium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E58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age</w:t>
            </w:r>
          </w:p>
        </w:tc>
      </w:tr>
      <w:tr w:rsidR="005F6690" w14:paraId="326FAC40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A760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0264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shadowMax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7B31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creatinine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B78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sodium</w:t>
            </w:r>
          </w:p>
        </w:tc>
      </w:tr>
      <w:tr w:rsidR="005F6690" w14:paraId="3B025FA7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EBAB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0BF7D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pco2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ED303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temperature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ECB4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glucose</w:t>
            </w:r>
          </w:p>
        </w:tc>
      </w:tr>
      <w:tr w:rsidR="005F6690" w14:paraId="1F5BED0A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4E3A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E8A1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inr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2F00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lactate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C38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hemoglobin</w:t>
            </w:r>
          </w:p>
        </w:tc>
      </w:tr>
      <w:tr w:rsidR="005F6690" w14:paraId="00F01B82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15301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13F2" w14:textId="77777777" w:rsidR="005F6690" w:rsidRDefault="00000000">
            <w:pPr>
              <w:jc w:val="both"/>
            </w:pPr>
            <w:proofErr w:type="spellStart"/>
            <w:r>
              <w:rPr>
                <w:rFonts w:eastAsia="Times New Roman" w:ascii="Times New Roman" w:hAnsi="Times New Roman"/>
                <w:sz w:val="18"/>
              </w:rPr>
              <w:t>length_of_stay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08C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phosphate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6AC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bicarbonate</w:t>
            </w:r>
          </w:p>
        </w:tc>
      </w:tr>
      <w:tr w:rsidR="005F6690" w14:paraId="6E7C883C" w14:textId="77777777">
        <w:trPr>
          <w:jc w:val="center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C0652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B4530" w14:textId="77777777" w:rsidR="005F6690" w:rsidRDefault="00000000">
            <w:pPr>
              <w:jc w:val="both"/>
            </w:pPr>
            <w:r>
              <w:rPr>
                <w:rFonts w:eastAsia="Times New Roman" w:ascii="Times New Roman" w:hAnsi="Times New Roman"/>
                <w:sz w:val="18"/>
              </w:rPr>
              <w:t>sodium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A402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basophils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B139F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po2</w:t>
            </w:r>
          </w:p>
        </w:tc>
      </w:tr>
    </w:tbl>
    <w:p/>
    <w:p w14:paraId="45CAA647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S2. Univariable odds ratios for candidate predictors by resistant pathogen outcome; length-of-stay predictors were excluded from final model development.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5F6690" w14:paraId="2F3F3AC7" w14:textId="77777777"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0A59D45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Variable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3333488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OR (95% CI)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5172046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P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1E1F1D4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OR (95% CI)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2AB352C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P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3C7AC32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OR (95% CI)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vAlign w:val="center"/>
          </w:tcPr>
          <w:p w14:paraId="4C9C9CF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P</w:t>
            </w:r>
          </w:p>
        </w:tc>
      </w:tr>
      <w:tr w:rsidR="005F6690" w14:paraId="7C6B692E" w14:textId="77777777">
        <w:tc>
          <w:tcPr>
            <w:tcW w:w="1234" w:type="dxa"/>
            <w:vAlign w:val="center"/>
          </w:tcPr>
          <w:p w14:paraId="27BEA5D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age</w:t>
            </w:r>
          </w:p>
        </w:tc>
        <w:tc>
          <w:tcPr>
            <w:tcW w:w="1234" w:type="dxa"/>
            <w:vAlign w:val="center"/>
          </w:tcPr>
          <w:p w14:paraId="57ED99E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0.79 (0.71–0.87)</w:t>
            </w:r>
          </w:p>
        </w:tc>
        <w:tc>
          <w:tcPr>
            <w:tcW w:w="1234" w:type="dxa"/>
            <w:vAlign w:val="center"/>
          </w:tcPr>
          <w:p w14:paraId="5136EAF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42E2009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1.19 (1.12–1.27)</w:t>
            </w:r>
          </w:p>
        </w:tc>
        <w:tc>
          <w:tcPr>
            <w:tcW w:w="1234" w:type="dxa"/>
            <w:vAlign w:val="center"/>
          </w:tcPr>
          <w:p w14:paraId="733CA2E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784244C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2156078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774BB924" w14:textId="77777777">
        <w:tc>
          <w:tcPr>
            <w:tcW w:w="1234" w:type="dxa"/>
            <w:vAlign w:val="center"/>
          </w:tcPr>
          <w:p w14:paraId="3FAF112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avg sofa</w:t>
            </w:r>
          </w:p>
        </w:tc>
        <w:tc>
          <w:tcPr>
            <w:tcW w:w="1234" w:type="dxa"/>
            <w:vAlign w:val="center"/>
          </w:tcPr>
          <w:p w14:paraId="3A32FB2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0D936F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81FA0D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1.01 (0.95–1.08)</w:t>
            </w:r>
          </w:p>
        </w:tc>
        <w:tc>
          <w:tcPr>
            <w:tcW w:w="1234" w:type="dxa"/>
            <w:vAlign w:val="center"/>
          </w:tcPr>
          <w:p w14:paraId="306A278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0.670</w:t>
            </w:r>
          </w:p>
        </w:tc>
        <w:tc>
          <w:tcPr>
            <w:tcW w:w="1234" w:type="dxa"/>
            <w:vAlign w:val="center"/>
          </w:tcPr>
          <w:p w14:paraId="737B548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D67EF1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7762DA18" w14:textId="77777777">
        <w:tc>
          <w:tcPr>
            <w:tcW w:w="1234" w:type="dxa"/>
            <w:vAlign w:val="center"/>
          </w:tcPr>
          <w:p w14:paraId="2F0A82F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lastRenderedPageBreak/>
              <w:t>white blood cell count</w:t>
            </w:r>
          </w:p>
        </w:tc>
        <w:tc>
          <w:tcPr>
            <w:tcW w:w="1234" w:type="dxa"/>
            <w:vAlign w:val="center"/>
          </w:tcPr>
          <w:p w14:paraId="414F960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1.02 (0.97–1.06)</w:t>
            </w:r>
          </w:p>
        </w:tc>
        <w:tc>
          <w:tcPr>
            <w:tcW w:w="1234" w:type="dxa"/>
            <w:vAlign w:val="center"/>
          </w:tcPr>
          <w:p w14:paraId="253C336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0.467</w:t>
            </w:r>
          </w:p>
        </w:tc>
        <w:tc>
          <w:tcPr>
            <w:tcW w:w="1234" w:type="dxa"/>
            <w:vAlign w:val="center"/>
          </w:tcPr>
          <w:p w14:paraId="118D0FF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1.00 (0.94–1.06)</w:t>
            </w:r>
          </w:p>
        </w:tc>
        <w:tc>
          <w:tcPr>
            <w:tcW w:w="1234" w:type="dxa"/>
            <w:vAlign w:val="center"/>
          </w:tcPr>
          <w:p w14:paraId="6BA997B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0.969</w:t>
            </w:r>
          </w:p>
        </w:tc>
        <w:tc>
          <w:tcPr>
            <w:tcW w:w="1234" w:type="dxa"/>
            <w:vAlign w:val="center"/>
          </w:tcPr>
          <w:p w14:paraId="642E61C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1.02 (0.99–1.06)</w:t>
            </w:r>
          </w:p>
        </w:tc>
        <w:tc>
          <w:tcPr>
            <w:tcW w:w="1234" w:type="dxa"/>
            <w:vAlign w:val="center"/>
          </w:tcPr>
          <w:p w14:paraId="6269295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0.168</w:t>
            </w:r>
          </w:p>
        </w:tc>
      </w:tr>
      <w:tr w:rsidR="005F6690" w14:paraId="734F5961" w14:textId="77777777">
        <w:tc>
          <w:tcPr>
            <w:tcW w:w="1234" w:type="dxa"/>
            <w:vAlign w:val="center"/>
          </w:tcPr>
          <w:p w14:paraId="2655CA7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lymphocytes</w:t>
            </w:r>
          </w:p>
        </w:tc>
        <w:tc>
          <w:tcPr>
            <w:tcW w:w="1234" w:type="dxa"/>
            <w:vAlign w:val="center"/>
          </w:tcPr>
          <w:p w14:paraId="4445524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1.41 (1.32–1.51)</w:t>
            </w:r>
          </w:p>
        </w:tc>
        <w:tc>
          <w:tcPr>
            <w:tcW w:w="1234" w:type="dxa"/>
            <w:vAlign w:val="center"/>
          </w:tcPr>
          <w:p w14:paraId="327180B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47631AE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00B315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0871676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1.44 (1.36–1.52)</w:t>
            </w:r>
          </w:p>
        </w:tc>
        <w:tc>
          <w:tcPr>
            <w:tcW w:w="1234" w:type="dxa"/>
            <w:vAlign w:val="center"/>
          </w:tcPr>
          <w:p w14:paraId="01995B4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</w:tr>
      <w:tr w:rsidR="005F6690" w14:paraId="77E53A78" w14:textId="77777777">
        <w:tc>
          <w:tcPr>
            <w:tcW w:w="1234" w:type="dxa"/>
            <w:vAlign w:val="center"/>
          </w:tcPr>
          <w:p w14:paraId="4624CCF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eosinophils</w:t>
            </w:r>
          </w:p>
        </w:tc>
        <w:tc>
          <w:tcPr>
            <w:tcW w:w="1234" w:type="dxa"/>
            <w:vAlign w:val="center"/>
          </w:tcPr>
          <w:p w14:paraId="0CD8B06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FF3EC2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7BB78FB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1.04 (0.97–1.11)</w:t>
            </w:r>
          </w:p>
        </w:tc>
        <w:tc>
          <w:tcPr>
            <w:tcW w:w="1234" w:type="dxa"/>
            <w:vAlign w:val="center"/>
          </w:tcPr>
          <w:p w14:paraId="4C119A4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0.269</w:t>
            </w:r>
          </w:p>
        </w:tc>
        <w:tc>
          <w:tcPr>
            <w:tcW w:w="1234" w:type="dxa"/>
            <w:vAlign w:val="center"/>
          </w:tcPr>
          <w:p w14:paraId="5A58693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0CC836A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47CFF3C1" w14:textId="77777777">
        <w:tc>
          <w:tcPr>
            <w:tcW w:w="1234" w:type="dxa"/>
            <w:vAlign w:val="center"/>
          </w:tcPr>
          <w:p w14:paraId="3001085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basophils</w:t>
            </w:r>
          </w:p>
        </w:tc>
        <w:tc>
          <w:tcPr>
            <w:tcW w:w="1234" w:type="dxa"/>
            <w:vAlign w:val="center"/>
          </w:tcPr>
          <w:p w14:paraId="32A9463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1.20 (1.02–1.41)</w:t>
            </w:r>
          </w:p>
        </w:tc>
        <w:tc>
          <w:tcPr>
            <w:tcW w:w="1234" w:type="dxa"/>
            <w:vAlign w:val="center"/>
          </w:tcPr>
          <w:p w14:paraId="22F7CC0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0.024</w:t>
            </w:r>
          </w:p>
        </w:tc>
        <w:tc>
          <w:tcPr>
            <w:tcW w:w="1234" w:type="dxa"/>
            <w:vAlign w:val="center"/>
          </w:tcPr>
          <w:p w14:paraId="175B01C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9603C5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BF676B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93455E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733E3EF5" w14:textId="77777777">
        <w:tc>
          <w:tcPr>
            <w:tcW w:w="1234" w:type="dxa"/>
            <w:vAlign w:val="center"/>
          </w:tcPr>
          <w:p w14:paraId="0FC70A7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platelet</w:t>
            </w:r>
          </w:p>
        </w:tc>
        <w:tc>
          <w:tcPr>
            <w:tcW w:w="1234" w:type="dxa"/>
            <w:vAlign w:val="center"/>
          </w:tcPr>
          <w:p w14:paraId="61E9E29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1.79 (1.65–1.93)</w:t>
            </w:r>
          </w:p>
        </w:tc>
        <w:tc>
          <w:tcPr>
            <w:tcW w:w="1234" w:type="dxa"/>
            <w:vAlign w:val="center"/>
          </w:tcPr>
          <w:p w14:paraId="64A6360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5774C5A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5D04AB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2CF82F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1.96 (1.83–2.09)</w:t>
            </w:r>
          </w:p>
        </w:tc>
        <w:tc>
          <w:tcPr>
            <w:tcW w:w="1234" w:type="dxa"/>
            <w:vAlign w:val="center"/>
          </w:tcPr>
          <w:p w14:paraId="3DE0C6F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</w:tr>
      <w:tr w:rsidR="005F6690" w14:paraId="0E435BE7" w14:textId="77777777">
        <w:tc>
          <w:tcPr>
            <w:tcW w:w="1234" w:type="dxa"/>
            <w:vAlign w:val="center"/>
          </w:tcPr>
          <w:p w14:paraId="36022A8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platelet</w:t>
            </w:r>
          </w:p>
        </w:tc>
        <w:tc>
          <w:tcPr>
            <w:tcW w:w="1234" w:type="dxa"/>
            <w:vAlign w:val="center"/>
          </w:tcPr>
          <w:p w14:paraId="0C272C2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5D4BDB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D7ED32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1.08 (1.02–1.14)</w:t>
            </w:r>
          </w:p>
        </w:tc>
        <w:tc>
          <w:tcPr>
            <w:tcW w:w="1234" w:type="dxa"/>
            <w:vAlign w:val="center"/>
          </w:tcPr>
          <w:p w14:paraId="65771F1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0.013</w:t>
            </w:r>
          </w:p>
        </w:tc>
        <w:tc>
          <w:tcPr>
            <w:tcW w:w="1234" w:type="dxa"/>
            <w:vAlign w:val="center"/>
          </w:tcPr>
          <w:p w14:paraId="25F0775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5202BF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5621EC64" w14:textId="77777777">
        <w:tc>
          <w:tcPr>
            <w:tcW w:w="1234" w:type="dxa"/>
            <w:vAlign w:val="center"/>
          </w:tcPr>
          <w:p w14:paraId="4929771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glucose</w:t>
            </w:r>
          </w:p>
        </w:tc>
        <w:tc>
          <w:tcPr>
            <w:tcW w:w="1234" w:type="dxa"/>
            <w:vAlign w:val="center"/>
          </w:tcPr>
          <w:p w14:paraId="56CACD2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D2E220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2DDCF30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1.07 (1.01–1.14)</w:t>
            </w:r>
          </w:p>
        </w:tc>
        <w:tc>
          <w:tcPr>
            <w:tcW w:w="1234" w:type="dxa"/>
            <w:vAlign w:val="center"/>
          </w:tcPr>
          <w:p w14:paraId="10638CF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0.016</w:t>
            </w:r>
          </w:p>
        </w:tc>
        <w:tc>
          <w:tcPr>
            <w:tcW w:w="1234" w:type="dxa"/>
            <w:vAlign w:val="center"/>
          </w:tcPr>
          <w:p w14:paraId="56238F2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2D37F0E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43FF7726" w14:textId="77777777">
        <w:tc>
          <w:tcPr>
            <w:tcW w:w="1234" w:type="dxa"/>
            <w:vAlign w:val="center"/>
          </w:tcPr>
          <w:p w14:paraId="6E7698A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glycated hemoglobin</w:t>
            </w:r>
          </w:p>
        </w:tc>
        <w:tc>
          <w:tcPr>
            <w:tcW w:w="1234" w:type="dxa"/>
            <w:vAlign w:val="center"/>
          </w:tcPr>
          <w:p w14:paraId="56CC620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1.25 (1.19–1.31)</w:t>
            </w:r>
          </w:p>
        </w:tc>
        <w:tc>
          <w:tcPr>
            <w:tcW w:w="1234" w:type="dxa"/>
            <w:vAlign w:val="center"/>
          </w:tcPr>
          <w:p w14:paraId="79DA0C3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3D12CFF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5C08BC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6BFE7E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B2F634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520EE79F" w14:textId="77777777">
        <w:tc>
          <w:tcPr>
            <w:tcW w:w="1234" w:type="dxa"/>
            <w:vAlign w:val="center"/>
          </w:tcPr>
          <w:p w14:paraId="3A8AD209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ldl</w:t>
            </w:r>
            <w:proofErr w:type="spellEnd"/>
          </w:p>
        </w:tc>
        <w:tc>
          <w:tcPr>
            <w:tcW w:w="1234" w:type="dxa"/>
            <w:vAlign w:val="center"/>
          </w:tcPr>
          <w:p w14:paraId="7AA865F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1.25 (1.19–1.31)</w:t>
            </w:r>
          </w:p>
        </w:tc>
        <w:tc>
          <w:tcPr>
            <w:tcW w:w="1234" w:type="dxa"/>
            <w:vAlign w:val="center"/>
          </w:tcPr>
          <w:p w14:paraId="295C34C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5162A3B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02F9E5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DDB2B6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C1DE60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3892E80B" w14:textId="77777777">
        <w:tc>
          <w:tcPr>
            <w:tcW w:w="1234" w:type="dxa"/>
            <w:vAlign w:val="center"/>
          </w:tcPr>
          <w:p w14:paraId="20D89E7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cholesterol</w:t>
            </w:r>
          </w:p>
        </w:tc>
        <w:tc>
          <w:tcPr>
            <w:tcW w:w="1234" w:type="dxa"/>
            <w:vAlign w:val="center"/>
          </w:tcPr>
          <w:p w14:paraId="3143538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1.60 (1.48–1.72)</w:t>
            </w:r>
          </w:p>
        </w:tc>
        <w:tc>
          <w:tcPr>
            <w:tcW w:w="1234" w:type="dxa"/>
            <w:vAlign w:val="center"/>
          </w:tcPr>
          <w:p w14:paraId="7EE8534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31CEF66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BD0793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7C6B64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D4B9B5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0C7850F4" w14:textId="77777777">
        <w:tc>
          <w:tcPr>
            <w:tcW w:w="1234" w:type="dxa"/>
            <w:vAlign w:val="center"/>
          </w:tcPr>
          <w:p w14:paraId="76DCB18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alt</w:t>
            </w:r>
          </w:p>
        </w:tc>
        <w:tc>
          <w:tcPr>
            <w:tcW w:w="1234" w:type="dxa"/>
            <w:vAlign w:val="center"/>
          </w:tcPr>
          <w:p w14:paraId="0B9294F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1.55 (1.43–1.67)</w:t>
            </w:r>
          </w:p>
        </w:tc>
        <w:tc>
          <w:tcPr>
            <w:tcW w:w="1234" w:type="dxa"/>
            <w:vAlign w:val="center"/>
          </w:tcPr>
          <w:p w14:paraId="11692E7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0B28F65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D7FDA7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CEC3C0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DC6BE1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6E03E964" w14:textId="77777777">
        <w:tc>
          <w:tcPr>
            <w:tcW w:w="1234" w:type="dxa"/>
            <w:vAlign w:val="center"/>
          </w:tcPr>
          <w:p w14:paraId="7EC6622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hemoglobin</w:t>
            </w:r>
          </w:p>
        </w:tc>
        <w:tc>
          <w:tcPr>
            <w:tcW w:w="1234" w:type="dxa"/>
            <w:vAlign w:val="center"/>
          </w:tcPr>
          <w:p w14:paraId="1BAF5C6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178180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73FC5F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1.01 (0.95–1.08)</w:t>
            </w:r>
          </w:p>
        </w:tc>
        <w:tc>
          <w:tcPr>
            <w:tcW w:w="1234" w:type="dxa"/>
            <w:vAlign w:val="center"/>
          </w:tcPr>
          <w:p w14:paraId="149AC91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0.705</w:t>
            </w:r>
          </w:p>
        </w:tc>
        <w:tc>
          <w:tcPr>
            <w:tcW w:w="1234" w:type="dxa"/>
            <w:vAlign w:val="center"/>
          </w:tcPr>
          <w:p w14:paraId="11210C7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3BE8D36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0736FBDF" w14:textId="77777777">
        <w:tc>
          <w:tcPr>
            <w:tcW w:w="1234" w:type="dxa"/>
            <w:vAlign w:val="center"/>
          </w:tcPr>
          <w:p w14:paraId="271D97A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po2</w:t>
            </w:r>
          </w:p>
        </w:tc>
        <w:tc>
          <w:tcPr>
            <w:tcW w:w="1234" w:type="dxa"/>
            <w:vAlign w:val="center"/>
          </w:tcPr>
          <w:p w14:paraId="354F413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1.12 (1.01–1.25)</w:t>
            </w:r>
          </w:p>
        </w:tc>
        <w:tc>
          <w:tcPr>
            <w:tcW w:w="1234" w:type="dxa"/>
            <w:vAlign w:val="center"/>
          </w:tcPr>
          <w:p w14:paraId="3C860EF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0.026</w:t>
            </w:r>
          </w:p>
        </w:tc>
        <w:tc>
          <w:tcPr>
            <w:tcW w:w="1234" w:type="dxa"/>
            <w:vAlign w:val="center"/>
          </w:tcPr>
          <w:p w14:paraId="7DF8B26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0.99 (0.93–1.05)</w:t>
            </w:r>
          </w:p>
        </w:tc>
        <w:tc>
          <w:tcPr>
            <w:tcW w:w="1234" w:type="dxa"/>
            <w:vAlign w:val="center"/>
          </w:tcPr>
          <w:p w14:paraId="48E02A3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0.669</w:t>
            </w:r>
          </w:p>
        </w:tc>
        <w:tc>
          <w:tcPr>
            <w:tcW w:w="1234" w:type="dxa"/>
            <w:vAlign w:val="center"/>
          </w:tcPr>
          <w:p w14:paraId="5AC0B7A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2E517D0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5499C3A8" w14:textId="77777777">
        <w:tc>
          <w:tcPr>
            <w:tcW w:w="1234" w:type="dxa"/>
            <w:vAlign w:val="center"/>
          </w:tcPr>
          <w:p w14:paraId="63694A9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pco2</w:t>
            </w:r>
          </w:p>
        </w:tc>
        <w:tc>
          <w:tcPr>
            <w:tcW w:w="1234" w:type="dxa"/>
            <w:vAlign w:val="center"/>
          </w:tcPr>
          <w:p w14:paraId="595E6B2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2.10 (1.91–2.31)</w:t>
            </w:r>
          </w:p>
        </w:tc>
        <w:tc>
          <w:tcPr>
            <w:tcW w:w="1234" w:type="dxa"/>
            <w:vAlign w:val="center"/>
          </w:tcPr>
          <w:p w14:paraId="16408B4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452C2F2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B190D5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B224C6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1.51 (1.39–1.64)</w:t>
            </w:r>
          </w:p>
        </w:tc>
        <w:tc>
          <w:tcPr>
            <w:tcW w:w="1234" w:type="dxa"/>
            <w:vAlign w:val="center"/>
          </w:tcPr>
          <w:p w14:paraId="0DD8E36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</w:tr>
      <w:tr w:rsidR="005F6690" w14:paraId="54DD564B" w14:textId="77777777">
        <w:tc>
          <w:tcPr>
            <w:tcW w:w="1234" w:type="dxa"/>
            <w:vAlign w:val="center"/>
          </w:tcPr>
          <w:p w14:paraId="29F3F5ED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ph</w:t>
            </w:r>
            <w:proofErr w:type="spellEnd"/>
          </w:p>
        </w:tc>
        <w:tc>
          <w:tcPr>
            <w:tcW w:w="1234" w:type="dxa"/>
            <w:vAlign w:val="center"/>
          </w:tcPr>
          <w:p w14:paraId="0F2E3C2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1.44 (1.23–1.67)</w:t>
            </w:r>
          </w:p>
        </w:tc>
        <w:tc>
          <w:tcPr>
            <w:tcW w:w="1234" w:type="dxa"/>
            <w:vAlign w:val="center"/>
          </w:tcPr>
          <w:p w14:paraId="7BC72AD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22C45A0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1BF384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7FDEE54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250F3E7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134D203D" w14:textId="77777777">
        <w:tc>
          <w:tcPr>
            <w:tcW w:w="1234" w:type="dxa"/>
            <w:vAlign w:val="center"/>
          </w:tcPr>
          <w:p w14:paraId="4A44520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alveolar arterial oxygen gradient</w:t>
            </w:r>
          </w:p>
        </w:tc>
        <w:tc>
          <w:tcPr>
            <w:tcW w:w="1234" w:type="dxa"/>
            <w:vAlign w:val="center"/>
          </w:tcPr>
          <w:p w14:paraId="3A0B23F8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2.26 (1.98–2.58)</w:t>
            </w:r>
          </w:p>
        </w:tc>
        <w:tc>
          <w:tcPr>
            <w:tcW w:w="1234" w:type="dxa"/>
            <w:vAlign w:val="center"/>
          </w:tcPr>
          <w:p w14:paraId="586FA3A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4DE53CB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E57218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1FAE2B3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77BC712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27D97716" w14:textId="77777777">
        <w:tc>
          <w:tcPr>
            <w:tcW w:w="1234" w:type="dxa"/>
            <w:vAlign w:val="center"/>
          </w:tcPr>
          <w:p w14:paraId="10DA737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lastRenderedPageBreak/>
              <w:t>fibrinogen</w:t>
            </w:r>
          </w:p>
        </w:tc>
        <w:tc>
          <w:tcPr>
            <w:tcW w:w="1234" w:type="dxa"/>
            <w:vAlign w:val="center"/>
          </w:tcPr>
          <w:p w14:paraId="278B812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1.58 (1.47–1.70)</w:t>
            </w:r>
          </w:p>
        </w:tc>
        <w:tc>
          <w:tcPr>
            <w:tcW w:w="1234" w:type="dxa"/>
            <w:vAlign w:val="center"/>
          </w:tcPr>
          <w:p w14:paraId="2DE5A8F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5E905E6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6383731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4E3C82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1.53 (1.44–1.64)</w:t>
            </w:r>
          </w:p>
        </w:tc>
        <w:tc>
          <w:tcPr>
            <w:tcW w:w="1234" w:type="dxa"/>
            <w:vAlign w:val="center"/>
          </w:tcPr>
          <w:p w14:paraId="71821E8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</w:tr>
      <w:tr w:rsidR="005F6690" w14:paraId="20B41D8C" w14:textId="77777777">
        <w:tc>
          <w:tcPr>
            <w:tcW w:w="1234" w:type="dxa"/>
            <w:vAlign w:val="center"/>
          </w:tcPr>
          <w:p w14:paraId="5CBA454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phosphate</w:t>
            </w:r>
          </w:p>
        </w:tc>
        <w:tc>
          <w:tcPr>
            <w:tcW w:w="1234" w:type="dxa"/>
            <w:vAlign w:val="center"/>
          </w:tcPr>
          <w:p w14:paraId="70FFCCA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1.47 (1.36–1.59)</w:t>
            </w:r>
          </w:p>
        </w:tc>
        <w:tc>
          <w:tcPr>
            <w:tcW w:w="1234" w:type="dxa"/>
            <w:vAlign w:val="center"/>
          </w:tcPr>
          <w:p w14:paraId="205A9D5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4F533D3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76057A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610428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48D4A46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  <w:tr w:rsidR="005F6690" w14:paraId="1195C5E8" w14:textId="77777777">
        <w:tc>
          <w:tcPr>
            <w:tcW w:w="1234" w:type="dxa"/>
            <w:vAlign w:val="center"/>
          </w:tcPr>
          <w:p w14:paraId="38DE4FB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potassium</w:t>
            </w:r>
          </w:p>
        </w:tc>
        <w:tc>
          <w:tcPr>
            <w:tcW w:w="1234" w:type="dxa"/>
            <w:vAlign w:val="center"/>
          </w:tcPr>
          <w:p w14:paraId="43A3E5E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1.55 (1.43–1.67)</w:t>
            </w:r>
          </w:p>
        </w:tc>
        <w:tc>
          <w:tcPr>
            <w:tcW w:w="1234" w:type="dxa"/>
            <w:vAlign w:val="center"/>
          </w:tcPr>
          <w:p w14:paraId="01B6EBD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&lt;0.001</w:t>
            </w:r>
          </w:p>
        </w:tc>
        <w:tc>
          <w:tcPr>
            <w:tcW w:w="1234" w:type="dxa"/>
            <w:vAlign w:val="center"/>
          </w:tcPr>
          <w:p w14:paraId="6183522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05F480D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0FFF5F3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  <w:tc>
          <w:tcPr>
            <w:tcW w:w="1234" w:type="dxa"/>
            <w:vAlign w:val="center"/>
          </w:tcPr>
          <w:p w14:paraId="52F4BA2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—</w:t>
            </w:r>
          </w:p>
        </w:tc>
      </w:tr>
    </w:tbl>
    <w:p/>
    <w:p w14:paraId="0F36C050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S3. Classification performance metrics in the validation set (specificity, sensitivity, AUC with 95% CI, and PPV).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8"/>
        <w:gridCol w:w="660"/>
        <w:gridCol w:w="660"/>
        <w:gridCol w:w="660"/>
        <w:gridCol w:w="660"/>
        <w:gridCol w:w="687"/>
        <w:gridCol w:w="687"/>
        <w:gridCol w:w="687"/>
        <w:gridCol w:w="687"/>
        <w:gridCol w:w="575"/>
        <w:gridCol w:w="567"/>
        <w:gridCol w:w="629"/>
        <w:gridCol w:w="553"/>
      </w:tblGrid>
      <w:tr w:rsidR="005F6690" w14:paraId="313E1356" w14:textId="77777777">
        <w:trPr>
          <w:tblHeader/>
          <w:jc w:val="center"/>
        </w:trPr>
        <w:tc>
          <w:tcPr>
            <w:tcW w:w="13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27C8751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Classifier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60087D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Spec.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53289FE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Sens.</w:t>
            </w:r>
          </w:p>
        </w:tc>
        <w:tc>
          <w:tcPr>
            <w:tcW w:w="12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EE47BEF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AUC (95% CI)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73758A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CRPA PPV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70F065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Spec.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C3348C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Sens.</w:t>
            </w:r>
          </w:p>
        </w:tc>
        <w:tc>
          <w:tcPr>
            <w:tcW w:w="12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C3C13E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AUC (95% CI)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4D92DF6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MRSA PPV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C4DFF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Spec.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D06637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Sens.</w:t>
            </w:r>
          </w:p>
        </w:tc>
        <w:tc>
          <w:tcPr>
            <w:tcW w:w="12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EE05E7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AUC (95% CI)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65320D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VRE PPV</w:t>
            </w:r>
          </w:p>
        </w:tc>
      </w:tr>
      <w:tr w:rsidR="005F6690" w14:paraId="5211F78B" w14:textId="77777777">
        <w:trPr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925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LASSO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249F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DA47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97F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 (0.75–0.84)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546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5579F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39B0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075A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0.83 (0.77–0.87)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7EF9E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7E22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89E2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9167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 (0.77–0.86)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CEEC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0.68</w:t>
            </w:r>
          </w:p>
        </w:tc>
      </w:tr>
      <w:tr w:rsidR="005F6690" w14:paraId="0A69D9CB" w14:textId="77777777">
        <w:trPr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7819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AdaBoost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206F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3BD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323A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0.77 (0.71–0.82)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A39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81E31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B101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78D0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 (0.76–0.85)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A5DE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1B79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EB6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42D86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0.85 (0.82–0.89)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517D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</w:tr>
      <w:tr w:rsidR="005F6690" w14:paraId="25C149BC" w14:textId="77777777">
        <w:trPr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4E8C3" w14:textId="77777777" w:rsidR="005F6690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LightGBM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342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195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99B1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 (0.77–0.86)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E8C6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BED16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5A41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53B8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 (0.77–0.87)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8719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87F9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36A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B33F5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 (0.77–0.86)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4F39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0.69</w:t>
            </w:r>
          </w:p>
        </w:tc>
      </w:tr>
      <w:tr w:rsidR="005F6690" w14:paraId="6F37AE5C" w14:textId="77777777">
        <w:trPr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8A64" w14:textId="77777777" w:rsidR="005F6690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XGBoost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D0AE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7F7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404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0.81 (0.77–0.85)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109E1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D7C7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BB5F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E95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 (0.77–0.87)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A0FB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7F6D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7A9A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1F1D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 (0.76–0.84)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8C1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0.68</w:t>
            </w:r>
          </w:p>
        </w:tc>
      </w:tr>
      <w:tr w:rsidR="005F6690" w14:paraId="798F4834" w14:textId="77777777">
        <w:trPr>
          <w:jc w:val="center"/>
        </w:trPr>
        <w:tc>
          <w:tcPr>
            <w:tcW w:w="13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628EA1F" w14:textId="77777777" w:rsidR="005F6690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CatBoost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AAA73EA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2DAAE0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014F88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 (0.70–0.80)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C54ED6C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12519FC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762928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9CA89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0.81 (0.77–0.87)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FCE81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5FE95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883AB3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40BB6B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0.85 (0.81–0.89)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62E244" w14:textId="77777777" w:rsidR="005F6690" w:rsidRDefault="00000000">
            <w:pPr>
              <w:spacing w:after="0"/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0.77</w:t>
            </w:r>
          </w:p>
        </w:tc>
      </w:tr>
    </w:tbl>
    <w:p/>
    <w:p w14:paraId="4F426CBA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S4. AUROC by classifier and outcome in the validation set.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5F6690" w14:paraId="68583F6F" w14:textId="77777777">
        <w:trPr>
          <w:jc w:val="center"/>
        </w:trPr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4251ED9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Outcome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5C159C4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LASSO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4418BCB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AdaBoost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40B7991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b/>
                <w:sz w:val="18"/>
              </w:rPr>
              <w:t>LightGBM</w:t>
            </w:r>
            <w:proofErr w:type="spellEnd"/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47436A0B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b/>
                <w:sz w:val="18"/>
              </w:rPr>
              <w:t>XGBoost</w:t>
            </w:r>
            <w:proofErr w:type="spellEnd"/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04814F2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b/>
                <w:sz w:val="18"/>
              </w:rPr>
              <w:t>CatBoost</w:t>
            </w:r>
            <w:proofErr w:type="spellEnd"/>
          </w:p>
        </w:tc>
      </w:tr>
      <w:tr w:rsidR="005F6690" w14:paraId="7B81907D" w14:textId="77777777">
        <w:trPr>
          <w:jc w:val="center"/>
        </w:trPr>
        <w:tc>
          <w:tcPr>
            <w:tcW w:w="1440" w:type="dxa"/>
            <w:vAlign w:val="center"/>
          </w:tcPr>
          <w:p w14:paraId="1C86760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CRPA infection</w:t>
            </w:r>
          </w:p>
        </w:tc>
        <w:tc>
          <w:tcPr>
            <w:tcW w:w="1440" w:type="dxa"/>
            <w:vAlign w:val="center"/>
          </w:tcPr>
          <w:p w14:paraId="6D6A66D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</w:t>
            </w:r>
          </w:p>
        </w:tc>
        <w:tc>
          <w:tcPr>
            <w:tcW w:w="1440" w:type="dxa"/>
            <w:vAlign w:val="center"/>
          </w:tcPr>
          <w:p w14:paraId="25F956A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0.77</w:t>
            </w:r>
          </w:p>
        </w:tc>
        <w:tc>
          <w:tcPr>
            <w:tcW w:w="1440" w:type="dxa"/>
            <w:vAlign w:val="center"/>
          </w:tcPr>
          <w:p w14:paraId="697EE04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0.82</w:t>
            </w:r>
          </w:p>
        </w:tc>
        <w:tc>
          <w:tcPr>
            <w:tcW w:w="1440" w:type="dxa"/>
            <w:vAlign w:val="center"/>
          </w:tcPr>
          <w:p w14:paraId="436EA47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0.81</w:t>
            </w:r>
          </w:p>
        </w:tc>
        <w:tc>
          <w:tcPr>
            <w:tcW w:w="1440" w:type="dxa"/>
            <w:vAlign w:val="center"/>
          </w:tcPr>
          <w:p w14:paraId="06A8243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0.75</w:t>
            </w:r>
          </w:p>
        </w:tc>
      </w:tr>
      <w:tr w:rsidR="005F6690" w14:paraId="289A90F3" w14:textId="77777777">
        <w:trPr>
          <w:jc w:val="center"/>
        </w:trPr>
        <w:tc>
          <w:tcPr>
            <w:tcW w:w="1440" w:type="dxa"/>
            <w:vAlign w:val="center"/>
          </w:tcPr>
          <w:p w14:paraId="3491150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MRSA infection</w:t>
            </w:r>
          </w:p>
        </w:tc>
        <w:tc>
          <w:tcPr>
            <w:tcW w:w="1440" w:type="dxa"/>
            <w:vAlign w:val="center"/>
          </w:tcPr>
          <w:p w14:paraId="3CE1877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0.83</w:t>
            </w:r>
          </w:p>
        </w:tc>
        <w:tc>
          <w:tcPr>
            <w:tcW w:w="1440" w:type="dxa"/>
            <w:vAlign w:val="center"/>
          </w:tcPr>
          <w:p w14:paraId="3317923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</w:t>
            </w:r>
          </w:p>
        </w:tc>
        <w:tc>
          <w:tcPr>
            <w:tcW w:w="1440" w:type="dxa"/>
            <w:vAlign w:val="center"/>
          </w:tcPr>
          <w:p w14:paraId="2A52011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</w:t>
            </w:r>
          </w:p>
        </w:tc>
        <w:tc>
          <w:tcPr>
            <w:tcW w:w="1440" w:type="dxa"/>
            <w:vAlign w:val="center"/>
          </w:tcPr>
          <w:p w14:paraId="2701459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</w:t>
            </w:r>
          </w:p>
        </w:tc>
        <w:tc>
          <w:tcPr>
            <w:tcW w:w="1440" w:type="dxa"/>
            <w:vAlign w:val="center"/>
          </w:tcPr>
          <w:p w14:paraId="76D6C6E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0.81</w:t>
            </w:r>
          </w:p>
        </w:tc>
      </w:tr>
      <w:tr w:rsidR="005F6690" w14:paraId="3F6C9646" w14:textId="77777777">
        <w:trPr>
          <w:jc w:val="center"/>
        </w:trPr>
        <w:tc>
          <w:tcPr>
            <w:tcW w:w="1440" w:type="dxa"/>
            <w:vAlign w:val="center"/>
          </w:tcPr>
          <w:p w14:paraId="4CB770C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VRE infection</w:t>
            </w:r>
          </w:p>
        </w:tc>
        <w:tc>
          <w:tcPr>
            <w:tcW w:w="1440" w:type="dxa"/>
            <w:vAlign w:val="center"/>
          </w:tcPr>
          <w:p w14:paraId="346D519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</w:t>
            </w:r>
          </w:p>
        </w:tc>
        <w:tc>
          <w:tcPr>
            <w:tcW w:w="1440" w:type="dxa"/>
            <w:vAlign w:val="center"/>
          </w:tcPr>
          <w:p w14:paraId="60E0C20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0.85</w:t>
            </w:r>
          </w:p>
        </w:tc>
        <w:tc>
          <w:tcPr>
            <w:tcW w:w="1440" w:type="dxa"/>
            <w:vAlign w:val="center"/>
          </w:tcPr>
          <w:p w14:paraId="2980B07B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0.82</w:t>
            </w:r>
          </w:p>
        </w:tc>
        <w:tc>
          <w:tcPr>
            <w:tcW w:w="1440" w:type="dxa"/>
            <w:vAlign w:val="center"/>
          </w:tcPr>
          <w:p w14:paraId="48FF3706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0.80</w:t>
            </w:r>
          </w:p>
        </w:tc>
        <w:tc>
          <w:tcPr>
            <w:tcW w:w="1440" w:type="dxa"/>
            <w:vAlign w:val="center"/>
          </w:tcPr>
          <w:p w14:paraId="01EEC0F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0.85</w:t>
            </w:r>
          </w:p>
        </w:tc>
      </w:tr>
    </w:tbl>
    <w:p/>
    <w:p w14:paraId="711C66AC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S5. Cross-validated LASSO tuning parameters (</w:t>
      </w:r>
      <w:proofErr w:type="spellStart"/>
      <w:r>
        <w:rPr>
          <w:rFonts w:ascii="Times New Roman" w:hAnsi="Times New Roman" w:eastAsia="Times New Roman"/>
          <w:sz w:val="21"/>
        </w:rPr>
        <w:t>lambda.min</w:t>
      </w:r>
      <w:proofErr w:type="spellEnd"/>
      <w:r>
        <w:rPr>
          <w:rFonts w:ascii="Times New Roman" w:hAnsi="Times New Roman" w:eastAsia="Times New Roman"/>
          <w:sz w:val="21"/>
        </w:rPr>
        <w:t xml:space="preserve"> and lambda.1se) by outcome.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F6690" w14:paraId="61AE90FB" w14:textId="77777777">
        <w:trPr>
          <w:jc w:val="center"/>
        </w:trPr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14:paraId="699BD62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Outcome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14:paraId="1A74B31A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b/>
                <w:sz w:val="18"/>
              </w:rPr>
              <w:t>lambda.min</w:t>
            </w:r>
            <w:proofErr w:type="spellEnd"/>
          </w:p>
        </w:tc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14:paraId="0A07A0C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lambda.1se</w:t>
            </w:r>
          </w:p>
        </w:tc>
      </w:tr>
      <w:tr w:rsidR="005F6690" w14:paraId="7AA93DF5" w14:textId="77777777">
        <w:trPr>
          <w:jc w:val="center"/>
        </w:trPr>
        <w:tc>
          <w:tcPr>
            <w:tcW w:w="2880" w:type="dxa"/>
            <w:vAlign w:val="center"/>
          </w:tcPr>
          <w:p w14:paraId="00FCE5F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CRPA infection</w:t>
            </w:r>
          </w:p>
        </w:tc>
        <w:tc>
          <w:tcPr>
            <w:tcW w:w="2880" w:type="dxa"/>
            <w:vAlign w:val="center"/>
          </w:tcPr>
          <w:p w14:paraId="010F2D7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0.0003052318</w:t>
            </w:r>
          </w:p>
        </w:tc>
        <w:tc>
          <w:tcPr>
            <w:tcW w:w="2880" w:type="dxa"/>
            <w:vAlign w:val="center"/>
          </w:tcPr>
          <w:p w14:paraId="3E4F136E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0.001962053</w:t>
            </w:r>
          </w:p>
        </w:tc>
      </w:tr>
      <w:tr w:rsidR="005F6690" w14:paraId="363ADB06" w14:textId="77777777">
        <w:trPr>
          <w:jc w:val="center"/>
        </w:trPr>
        <w:tc>
          <w:tcPr>
            <w:tcW w:w="2880" w:type="dxa"/>
            <w:vAlign w:val="center"/>
          </w:tcPr>
          <w:p w14:paraId="49BACD2D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MRSA infection</w:t>
            </w:r>
          </w:p>
        </w:tc>
        <w:tc>
          <w:tcPr>
            <w:tcW w:w="2880" w:type="dxa"/>
            <w:vAlign w:val="center"/>
          </w:tcPr>
          <w:p w14:paraId="1E5E03DA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0.0009354695</w:t>
            </w:r>
          </w:p>
        </w:tc>
        <w:tc>
          <w:tcPr>
            <w:tcW w:w="2880" w:type="dxa"/>
            <w:vAlign w:val="center"/>
          </w:tcPr>
          <w:p w14:paraId="17C6872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0.00957482</w:t>
            </w:r>
          </w:p>
        </w:tc>
      </w:tr>
      <w:tr w:rsidR="005F6690" w14:paraId="2A7C1A71" w14:textId="77777777">
        <w:trPr>
          <w:jc w:val="center"/>
        </w:trPr>
        <w:tc>
          <w:tcPr>
            <w:tcW w:w="2880" w:type="dxa"/>
            <w:vAlign w:val="center"/>
          </w:tcPr>
          <w:p w14:paraId="0AF14D73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VRE infection</w:t>
            </w:r>
          </w:p>
        </w:tc>
        <w:tc>
          <w:tcPr>
            <w:tcW w:w="2880" w:type="dxa"/>
            <w:vAlign w:val="center"/>
          </w:tcPr>
          <w:p w14:paraId="6634E734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5.68689e-06</w:t>
            </w:r>
          </w:p>
        </w:tc>
        <w:tc>
          <w:tcPr>
            <w:tcW w:w="2880" w:type="dxa"/>
            <w:vAlign w:val="center"/>
          </w:tcPr>
          <w:p w14:paraId="1696991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0.001657759</w:t>
            </w:r>
          </w:p>
        </w:tc>
      </w:tr>
    </w:tbl>
    <w:p/>
    <w:p w14:paraId="2E01F576" w14:textId="77777777" w:rsidR="005F6690" w:rsidRDefault="00000000">
      <w:pPr>
        <w:jc w:val="both"/>
      </w:pPr>
      <w:r>
        <w:rPr>
          <w:rFonts w:ascii="Times New Roman" w:hAnsi="Times New Roman" w:eastAsia="Times New Roman"/>
          <w:sz w:val="21"/>
        </w:rPr>
        <w:t>Supplementary Table S6. Decision curve analysis summary by outcome [25].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F6690" w14:paraId="3134BF3A" w14:textId="77777777">
        <w:trPr>
          <w:jc w:val="center"/>
        </w:trPr>
        <w:tc>
          <w:tcPr>
            <w:tcW w:w="2160" w:type="dxa"/>
            <w:tcBorders>
              <w:bottom w:val="single" w:sz="8" w:space="0" w:color="auto"/>
            </w:tcBorders>
            <w:vAlign w:val="center"/>
          </w:tcPr>
          <w:p w14:paraId="1C326BF7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Outcome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center"/>
          </w:tcPr>
          <w:p w14:paraId="5564A0C5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Threshold probability range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center"/>
          </w:tcPr>
          <w:p w14:paraId="10788EB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Dominant model (visual estimate)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center"/>
          </w:tcPr>
          <w:p w14:paraId="7C06F011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b/>
                <w:sz w:val="18"/>
              </w:rPr>
              <w:t>Notes</w:t>
            </w:r>
          </w:p>
        </w:tc>
      </w:tr>
      <w:tr w:rsidR="005F6690" w14:paraId="16425C9F" w14:textId="77777777">
        <w:trPr>
          <w:jc w:val="center"/>
        </w:trPr>
        <w:tc>
          <w:tcPr>
            <w:tcW w:w="2160" w:type="dxa"/>
            <w:vAlign w:val="center"/>
          </w:tcPr>
          <w:p w14:paraId="4F98E212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CRPA infection</w:t>
            </w:r>
          </w:p>
        </w:tc>
        <w:tc>
          <w:tcPr>
            <w:tcW w:w="2160" w:type="dxa"/>
            <w:vAlign w:val="center"/>
          </w:tcPr>
          <w:p w14:paraId="3725A9C0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0–50%</w:t>
            </w:r>
          </w:p>
        </w:tc>
        <w:tc>
          <w:tcPr>
            <w:tcW w:w="2160" w:type="dxa"/>
            <w:vAlign w:val="center"/>
          </w:tcPr>
          <w:p w14:paraId="3AEE0317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LightGBM</w:t>
            </w:r>
            <w:proofErr w:type="spellEnd"/>
            <w:r>
              <w:rPr>
                <w:rFonts w:ascii="Times New Roman" w:hAnsi="Times New Roman" w:eastAsia="Times New Roman"/>
                <w:sz w:val="18"/>
              </w:rPr>
              <w:t xml:space="preserve"> (~20–50%)</w:t>
            </w:r>
          </w:p>
        </w:tc>
        <w:tc>
          <w:tcPr>
            <w:tcW w:w="2160" w:type="dxa"/>
            <w:vAlign w:val="center"/>
          </w:tcPr>
          <w:p w14:paraId="57F9691D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Positive net benefit across 0–50%; AdaBoost slightly higher at very low thresholds. Length-of-stay variables were excluded from the final models.</w:t>
            </w:r>
          </w:p>
        </w:tc>
      </w:tr>
      <w:tr w:rsidR="005F6690" w14:paraId="4027BB54" w14:textId="77777777">
        <w:trPr>
          <w:jc w:val="center"/>
        </w:trPr>
        <w:tc>
          <w:tcPr>
            <w:tcW w:w="2160" w:type="dxa"/>
            <w:vAlign w:val="center"/>
          </w:tcPr>
          <w:p w14:paraId="0AE8067F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MRSA infection</w:t>
            </w:r>
          </w:p>
        </w:tc>
        <w:tc>
          <w:tcPr>
            <w:tcW w:w="2160" w:type="dxa"/>
            <w:vAlign w:val="center"/>
          </w:tcPr>
          <w:p w14:paraId="024DFB9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0–50%</w:t>
            </w:r>
          </w:p>
        </w:tc>
        <w:tc>
          <w:tcPr>
            <w:tcW w:w="2160" w:type="dxa"/>
            <w:vAlign w:val="center"/>
          </w:tcPr>
          <w:p w14:paraId="04B9DEA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LASSO (~10–35%)</w:t>
            </w:r>
          </w:p>
        </w:tc>
        <w:tc>
          <w:tcPr>
            <w:tcW w:w="2160" w:type="dxa"/>
            <w:vAlign w:val="center"/>
          </w:tcPr>
          <w:p w14:paraId="69A027E7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Positive net benefit across 0–50%; curves converge after ~35%; AdaBoost dips around ~40%. Length-of-stay variables were excluded from the final models.</w:t>
            </w:r>
          </w:p>
        </w:tc>
      </w:tr>
      <w:tr w:rsidR="005F6690" w14:paraId="1CB1475C" w14:textId="77777777">
        <w:trPr>
          <w:jc w:val="center"/>
        </w:trPr>
        <w:tc>
          <w:tcPr>
            <w:tcW w:w="2160" w:type="dxa"/>
            <w:vAlign w:val="center"/>
          </w:tcPr>
          <w:p w14:paraId="4F4A65B9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VRE infection</w:t>
            </w:r>
          </w:p>
        </w:tc>
        <w:tc>
          <w:tcPr>
            <w:tcW w:w="2160" w:type="dxa"/>
            <w:vAlign w:val="center"/>
          </w:tcPr>
          <w:p w14:paraId="742D4CBC" w14:textId="77777777" w:rsidR="005F6690" w:rsidRDefault="00000000">
            <w:pPr>
              <w:jc w:val="both"/>
            </w:pPr>
            <w:r>
              <w:rPr>
                <w:rFonts w:ascii="Times New Roman" w:hAnsi="Times New Roman" w:eastAsia="Times New Roman"/>
                <w:sz w:val="18"/>
              </w:rPr>
              <w:t>0–50%</w:t>
            </w:r>
          </w:p>
        </w:tc>
        <w:tc>
          <w:tcPr>
            <w:tcW w:w="2160" w:type="dxa"/>
            <w:vAlign w:val="center"/>
          </w:tcPr>
          <w:p w14:paraId="08E5C308" w14:textId="77777777" w:rsidR="005F6690" w:rsidRDefault="00000000">
            <w:pPr>
              <w:jc w:val="both"/>
            </w:pPr>
            <w:proofErr w:type="spellStart"/>
            <w:r>
              <w:rPr>
                <w:rFonts w:ascii="Times New Roman" w:hAnsi="Times New Roman" w:eastAsia="Times New Roman"/>
                <w:sz w:val="18"/>
              </w:rPr>
              <w:t>CatBoost</w:t>
            </w:r>
            <w:proofErr w:type="spellEnd"/>
            <w:r>
              <w:rPr>
                <w:rFonts w:ascii="Times New Roman" w:hAnsi="Times New Roman" w:eastAsia="Times New Roman"/>
                <w:sz w:val="18"/>
              </w:rPr>
              <w:t xml:space="preserve"> (~10–50%)</w:t>
            </w:r>
          </w:p>
        </w:tc>
        <w:tc>
          <w:tcPr>
            <w:tcW w:w="2160" w:type="dxa"/>
            <w:vAlign w:val="center"/>
          </w:tcPr>
          <w:p w14:paraId="7177D19C" w14:textId="77777777" w:rsidR="005F6690" w:rsidRDefault="00000000">
            <w:proofErr w:type="spellStart"/>
            <w:r>
              <w:rPr>
                <w:rFonts w:ascii="Times New Roman" w:hAnsi="Times New Roman" w:eastAsia="Times New Roman"/>
                <w:sz w:val="18"/>
              </w:rPr>
              <w:t>CatBoost</w:t>
            </w:r>
            <w:proofErr w:type="spellEnd"/>
            <w:r>
              <w:rPr>
                <w:rFonts w:ascii="Times New Roman" w:hAnsi="Times New Roman" w:eastAsia="Times New Roman"/>
                <w:sz w:val="18"/>
              </w:rPr>
              <w:t xml:space="preserve"> consistently highest; AdaBoost dips around ~40% then rebounds near 50%. Length-of-</w:t>
            </w:r>
            <w:r>
              <w:rPr>
                <w:rFonts w:ascii="Times New Roman" w:hAnsi="Times New Roman" w:eastAsia="Times New Roman"/>
                <w:sz w:val="18"/>
              </w:rPr>
              <w:lastRenderedPageBreak/>
              <w:t>stay variables were excluded from the final models.</w:t>
            </w:r>
          </w:p>
        </w:tc>
      </w:tr>
    </w:tbl>
    <w:p/>
    <w:p w14:paraId="252C1173" w14:textId="77777777" w:rsidR="005F6690" w:rsidRDefault="00000000">
      <w:r>
        <w:rPr>
          <w:rFonts w:ascii="Times New Roman" w:hAnsi="Times New Roman" w:eastAsia="Times New Roman"/>
          <w:sz w:val="21"/>
        </w:rPr>
        <w:t>Supplementary Table S7. Added reporting details for culture curation and missingness assessment.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5F6690" w14:paraId="7CB5AC7B" w14:textId="77777777">
        <w:tc>
          <w:tcPr>
            <w:tcW w:w="2880" w:type="dxa"/>
            <w:vAlign w:val="center"/>
          </w:tcPr>
          <w:p w14:paraId="26A63249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Domain</w:t>
            </w:r>
          </w:p>
        </w:tc>
        <w:tc>
          <w:tcPr>
            <w:tcW w:w="2880" w:type="dxa"/>
            <w:vAlign w:val="center"/>
          </w:tcPr>
          <w:p w14:paraId="50E3D543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Revised reporting item</w:t>
            </w:r>
          </w:p>
        </w:tc>
        <w:tc>
          <w:tcPr>
            <w:tcW w:w="2880" w:type="dxa"/>
            <w:vAlign w:val="center"/>
          </w:tcPr>
          <w:p w14:paraId="4F7954C3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Location in revised manuscript</w:t>
            </w:r>
          </w:p>
        </w:tc>
      </w:tr>
      <w:tr w:rsidR="005F6690" w14:paraId="740F8F05" w14:textId="77777777">
        <w:tc>
          <w:tcPr>
            <w:tcW w:w="2880" w:type="dxa"/>
            <w:vAlign w:val="center"/>
          </w:tcPr>
          <w:p w14:paraId="60A6DD3F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Culture sources</w:t>
            </w:r>
          </w:p>
        </w:tc>
        <w:tc>
          <w:tcPr>
            <w:tcW w:w="2880" w:type="dxa"/>
            <w:vAlign w:val="center"/>
          </w:tcPr>
          <w:p w14:paraId="7C82AFBF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 xml:space="preserve">Blood, respiratory, urine, wound/tissue, and other body-fluid cultures were eligible if clinically ordered within </w:t>
            </w:r>
            <w:proofErr w:type="gramStart"/>
            <w:r>
              <w:rPr>
                <w:rFonts w:ascii="Times New Roman" w:hAnsi="Times New Roman" w:eastAsia="Times New Roman"/>
                <w:sz w:val="18"/>
              </w:rPr>
              <w:t>ICU day</w:t>
            </w:r>
            <w:proofErr w:type="gramEnd"/>
            <w:r>
              <w:rPr>
                <w:rFonts w:ascii="Times New Roman" w:hAnsi="Times New Roman" w:eastAsia="Times New Roman"/>
                <w:sz w:val="18"/>
              </w:rPr>
              <w:t xml:space="preserve"> 0–7.</w:t>
            </w:r>
          </w:p>
        </w:tc>
        <w:tc>
          <w:tcPr>
            <w:tcW w:w="2880" w:type="dxa"/>
            <w:vAlign w:val="center"/>
          </w:tcPr>
          <w:p w14:paraId="3C9D27E0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Methods: Outcomes; Table 1 captions</w:t>
            </w:r>
          </w:p>
        </w:tc>
      </w:tr>
      <w:tr w:rsidR="005F6690" w14:paraId="348D4F2D" w14:textId="77777777">
        <w:tc>
          <w:tcPr>
            <w:tcW w:w="2880" w:type="dxa"/>
            <w:vAlign w:val="center"/>
          </w:tcPr>
          <w:p w14:paraId="13EE9A12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Resistance determination</w:t>
            </w:r>
          </w:p>
        </w:tc>
        <w:tc>
          <w:tcPr>
            <w:tcW w:w="2880" w:type="dxa"/>
            <w:vAlign w:val="center"/>
          </w:tcPr>
          <w:p w14:paraId="4399638E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 xml:space="preserve">Resistance was based on organism identification and phenotypic susceptibility </w:t>
            </w:r>
            <w:r>
              <w:rPr>
                <w:rFonts w:ascii="Times New Roman" w:hAnsi="Times New Roman" w:eastAsia="Times New Roman"/>
                <w:sz w:val="18"/>
              </w:rPr>
              <w:lastRenderedPageBreak/>
              <w:t>results recorded in microbiology tables; rapid diagnostics were not consistently distinguishable.</w:t>
            </w:r>
          </w:p>
        </w:tc>
        <w:tc>
          <w:tcPr>
            <w:tcW w:w="2880" w:type="dxa"/>
            <w:vAlign w:val="center"/>
          </w:tcPr>
          <w:p w14:paraId="6E8D0F35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lastRenderedPageBreak/>
              <w:t>Methods: Outcomes</w:t>
            </w:r>
          </w:p>
        </w:tc>
      </w:tr>
      <w:tr w:rsidR="005F6690" w14:paraId="552BC8A0" w14:textId="77777777">
        <w:tc>
          <w:tcPr>
            <w:tcW w:w="2880" w:type="dxa"/>
            <w:vAlign w:val="center"/>
          </w:tcPr>
          <w:p w14:paraId="2C2352FB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Colonization vs infection</w:t>
            </w:r>
          </w:p>
        </w:tc>
        <w:tc>
          <w:tcPr>
            <w:tcW w:w="2880" w:type="dxa"/>
            <w:vAlign w:val="center"/>
          </w:tcPr>
          <w:p w14:paraId="623334A8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Surveillance/screening cultures were excluded when identifiable; non-sterile-site isolates required clinical ordering and temporal consistency with treatment for suspected infection.</w:t>
            </w:r>
          </w:p>
        </w:tc>
        <w:tc>
          <w:tcPr>
            <w:tcW w:w="2880" w:type="dxa"/>
            <w:vAlign w:val="center"/>
          </w:tcPr>
          <w:p w14:paraId="61780A30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Methods: Outcomes; Limitations</w:t>
            </w:r>
          </w:p>
        </w:tc>
      </w:tr>
      <w:tr w:rsidR="005F6690" w14:paraId="23676859" w14:textId="77777777">
        <w:tc>
          <w:tcPr>
            <w:tcW w:w="2880" w:type="dxa"/>
            <w:vAlign w:val="center"/>
          </w:tcPr>
          <w:p w14:paraId="0BBC7F44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Missingness</w:t>
            </w:r>
          </w:p>
        </w:tc>
        <w:tc>
          <w:tcPr>
            <w:tcW w:w="2880" w:type="dxa"/>
            <w:vAlign w:val="center"/>
          </w:tcPr>
          <w:p w14:paraId="596AFEB6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Variable-level missingness was quantified and imputation parameters were derived only in the training set, then applied to validation data.</w:t>
            </w:r>
          </w:p>
        </w:tc>
        <w:tc>
          <w:tcPr>
            <w:tcW w:w="2880" w:type="dxa"/>
            <w:vAlign w:val="center"/>
          </w:tcPr>
          <w:p w14:paraId="78BA6FFE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Methods: Missing data</w:t>
            </w:r>
          </w:p>
        </w:tc>
      </w:tr>
      <w:tr w:rsidR="005F6690" w14:paraId="6BD94A48" w14:textId="77777777">
        <w:tc>
          <w:tcPr>
            <w:tcW w:w="2880" w:type="dxa"/>
            <w:vAlign w:val="center"/>
          </w:tcPr>
          <w:p w14:paraId="511AE896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Temporal leakage</w:t>
            </w:r>
          </w:p>
        </w:tc>
        <w:tc>
          <w:tcPr>
            <w:tcW w:w="2880" w:type="dxa"/>
            <w:vAlign w:val="center"/>
          </w:tcPr>
          <w:p w14:paraId="10599C8F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Length-of-stay and other post-index variables were excluded from feature selection, model training, SHAP, and DCA.</w:t>
            </w:r>
          </w:p>
        </w:tc>
        <w:tc>
          <w:tcPr>
            <w:tcW w:w="2880" w:type="dxa"/>
            <w:vAlign w:val="center"/>
          </w:tcPr>
          <w:p w14:paraId="58D7DA29" w14:textId="77777777" w:rsidR="005F6690" w:rsidRDefault="00000000">
            <w:r>
              <w:rPr>
                <w:rFonts w:ascii="Times New Roman" w:hAnsi="Times New Roman" w:eastAsia="Times New Roman"/>
                <w:sz w:val="18"/>
              </w:rPr>
              <w:t>Methods; Results; Figure legends</w:t>
            </w:r>
          </w:p>
        </w:tc>
      </w:tr>
    </w:tbl>
    <w:p/>
    <w:sectPr w:rsidR="00FC693F" w:rsidRPr="0006063C" w:rsidSect="00034616"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