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A4235" w14:textId="77777777" w:rsidR="006C442F" w:rsidRDefault="006C442F" w:rsidP="006C442F">
      <w:pPr>
        <w:pStyle w:val="NormalWeb"/>
        <w:widowControl/>
        <w:shd w:val="clear" w:color="auto" w:fill="FFFFFF"/>
        <w:spacing w:before="240" w:after="240"/>
        <w:rPr>
          <w:rFonts w:ascii="Times New Roman" w:hAnsi="Times New Roman" w:cs="Times New Roman"/>
          <w:sz w:val="21"/>
          <w:szCs w:val="21"/>
        </w:rPr>
      </w:pPr>
      <w:bookmarkStart w:id="0" w:name="OLE_LINK9"/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Supplementary Information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The supplementary material includes additional tables and figures:</w:t>
      </w:r>
    </w:p>
    <w:p w14:paraId="667AD786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Table S1.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Detailed composition of chili oil series</w:t>
      </w:r>
    </w:p>
    <w:p w14:paraId="11AB1BA8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Table S2.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FTIR spectral characteristics before and after carbonization</w:t>
      </w:r>
    </w:p>
    <w:p w14:paraId="6C50A5B0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Table S3.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XPS elemental composition proportions</w:t>
      </w:r>
    </w:p>
    <w:p w14:paraId="6CF150D6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Table S4.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Raman characteristic peak assignments</w:t>
      </w:r>
    </w:p>
    <w:p w14:paraId="00B72459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Table S5.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Model compounds for mechanism study</w:t>
      </w:r>
    </w:p>
    <w:p w14:paraId="0CFA0E87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Table S6.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Quantitative performance metrics (R², RMSE, MAE)</w:t>
      </w:r>
    </w:p>
    <w:p w14:paraId="700BFA41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Table S7.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Classification performance metrics (accuracy, precision, recall, F1)</w:t>
      </w:r>
    </w:p>
    <w:p w14:paraId="168C7136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Table S8.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Apparent recovery results</w:t>
      </w:r>
    </w:p>
    <w:p w14:paraId="24DFDB8B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Table S9.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</w:t>
      </w:r>
      <w:r w:rsidRPr="00F36AED"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HPLC comparison for commercial chili oils</w:t>
      </w:r>
    </w:p>
    <w:p w14:paraId="3AF61C71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Table S10.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</w:t>
      </w:r>
      <w:r w:rsidRPr="00F36AED"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Spiked recovery for commercial chili oils</w:t>
      </w:r>
    </w:p>
    <w:p w14:paraId="0EADF6B1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Fig. S1.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Additional TEM images</w:t>
      </w:r>
    </w:p>
    <w:p w14:paraId="42DD9D65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Fig. S2.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High-resolution XPS spectra of MNP@Ag-CPDAB and MNP@Ag-CPDH</w:t>
      </w:r>
    </w:p>
    <w:p w14:paraId="4AEC1544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Fig. S</w:t>
      </w:r>
      <w:r>
        <w:rPr>
          <w:rFonts w:ascii="Times New Roman" w:hAnsi="Times New Roman" w:cs="Times New Roman" w:hint="eastAsia"/>
          <w:b/>
          <w:bCs/>
          <w:color w:val="0F1115"/>
          <w:sz w:val="21"/>
          <w:szCs w:val="21"/>
          <w:shd w:val="clear" w:color="auto" w:fill="FFFFFF"/>
        </w:rPr>
        <w:t>3</w:t>
      </w: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</w:t>
      </w:r>
      <w:r w:rsidRPr="00F36AED"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EF calculation using HTP</w:t>
      </w:r>
    </w:p>
    <w:p w14:paraId="5DF8A8EB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Fig. S</w:t>
      </w:r>
      <w:r>
        <w:rPr>
          <w:rFonts w:ascii="Times New Roman" w:hAnsi="Times New Roman" w:cs="Times New Roman" w:hint="eastAsia"/>
          <w:b/>
          <w:bCs/>
          <w:color w:val="0F1115"/>
          <w:sz w:val="21"/>
          <w:szCs w:val="21"/>
          <w:shd w:val="clear" w:color="auto" w:fill="FFFFFF"/>
        </w:rPr>
        <w:t>4</w:t>
      </w: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</w:t>
      </w:r>
      <w:r w:rsidRPr="00F36AED"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HTP response and reproducibility</w:t>
      </w:r>
    </w:p>
    <w:p w14:paraId="277529B2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Fig. S5.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Batch-to-batch reproducibility</w:t>
      </w:r>
    </w:p>
    <w:p w14:paraId="54CD61D6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Fig. S6.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Stability over 28 days</w:t>
      </w:r>
    </w:p>
    <w:p w14:paraId="662F3637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Fig. S7.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PLS-R calibration plots comparing single and multi-sensor arrays</w:t>
      </w:r>
    </w:p>
    <w:p w14:paraId="3C3FD644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Fig. S8.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Representative super-spectrum profiles</w:t>
      </w:r>
    </w:p>
    <w:p w14:paraId="780BB2F6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Fig. S</w:t>
      </w:r>
      <w:r>
        <w:rPr>
          <w:rFonts w:ascii="Times New Roman" w:hAnsi="Times New Roman" w:cs="Times New Roman" w:hint="eastAsia"/>
          <w:b/>
          <w:bCs/>
          <w:color w:val="0F1115"/>
          <w:sz w:val="21"/>
          <w:szCs w:val="21"/>
          <w:shd w:val="clear" w:color="auto" w:fill="FFFFFF"/>
        </w:rPr>
        <w:t>9</w:t>
      </w: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</w:t>
      </w:r>
      <w:r w:rsidRPr="00F36AED"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PCA plots of nine chili oil series</w:t>
      </w:r>
    </w:p>
    <w:p w14:paraId="73DD7369" w14:textId="77777777" w:rsidR="006C442F" w:rsidRPr="00F36AED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Fig. S1</w:t>
      </w:r>
      <w:r>
        <w:rPr>
          <w:rFonts w:ascii="Times New Roman" w:hAnsi="Times New Roman" w:cs="Times New Roman" w:hint="eastAsia"/>
          <w:b/>
          <w:bCs/>
          <w:color w:val="0F1115"/>
          <w:sz w:val="21"/>
          <w:szCs w:val="21"/>
          <w:shd w:val="clear" w:color="auto" w:fill="FFFFFF"/>
        </w:rPr>
        <w:t>0</w:t>
      </w: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</w:t>
      </w:r>
      <w:r w:rsidRPr="00F36AED"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SERS heatmaps before and after data augmentation</w:t>
      </w:r>
    </w:p>
    <w:p w14:paraId="11A180A7" w14:textId="77777777" w:rsidR="006C442F" w:rsidRDefault="006C442F" w:rsidP="006C442F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egoe UI" w:hAnsi="Times New Roman" w:cs="Times New Roman"/>
          <w:b/>
          <w:bCs/>
          <w:color w:val="0F1115"/>
          <w:sz w:val="21"/>
          <w:szCs w:val="21"/>
          <w:shd w:val="clear" w:color="auto" w:fill="FFFFFF"/>
        </w:rPr>
        <w:t>Fig. S11.</w:t>
      </w:r>
      <w:r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 </w:t>
      </w:r>
      <w:r w:rsidRPr="00F36AED">
        <w:rPr>
          <w:rFonts w:ascii="Times New Roman" w:eastAsia="Segoe UI" w:hAnsi="Times New Roman" w:cs="Times New Roman"/>
          <w:color w:val="0F1115"/>
          <w:sz w:val="21"/>
          <w:szCs w:val="21"/>
          <w:shd w:val="clear" w:color="auto" w:fill="FFFFFF"/>
        </w:rPr>
        <w:t>Training curves</w:t>
      </w:r>
    </w:p>
    <w:bookmarkEnd w:id="0"/>
    <w:p w14:paraId="7BD143B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2F"/>
    <w:rsid w:val="000C4033"/>
    <w:rsid w:val="00173ED8"/>
    <w:rsid w:val="002F50B1"/>
    <w:rsid w:val="004B42CB"/>
    <w:rsid w:val="005F2B46"/>
    <w:rsid w:val="006C442F"/>
    <w:rsid w:val="006E1731"/>
    <w:rsid w:val="00866D74"/>
    <w:rsid w:val="00882A73"/>
    <w:rsid w:val="00906905"/>
    <w:rsid w:val="00952E8B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841B8"/>
  <w15:chartTrackingRefBased/>
  <w15:docId w15:val="{31C6BBE3-F531-4AF8-AF68-79D1B7A2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4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4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4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4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4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4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4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4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4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4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4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42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qFormat/>
    <w:rsid w:val="006C442F"/>
    <w:pPr>
      <w:widowControl w:val="0"/>
      <w:spacing w:after="0" w:line="240" w:lineRule="auto"/>
      <w:jc w:val="both"/>
    </w:pPr>
    <w:rPr>
      <w:rFonts w:eastAsiaTheme="minorEastAsia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2026-07-27T19:42:00Z</dcterms:created>
  <dcterms:modified xsi:type="dcterms:W3CDTF">2026-07-27T19:42:00Z</dcterms:modified>
</cp:coreProperties>
</file>