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9C4A8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Arial" w:cs="Times New Roman"/>
          <w:sz w:val="24"/>
          <w:szCs w:val="24"/>
        </w:rPr>
        <w:t xml:space="preserve">Additional file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4: Open Coding Analysis and Selective Coding Analysis</w:t>
      </w:r>
    </w:p>
    <w:tbl>
      <w:tblPr>
        <w:tblStyle w:val="5"/>
        <w:tblW w:w="5122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4"/>
        <w:gridCol w:w="5836"/>
        <w:gridCol w:w="1065"/>
      </w:tblGrid>
      <w:tr w14:paraId="4F1138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3"/>
            <w:tcBorders>
              <w:left w:val="nil"/>
              <w:bottom w:val="single" w:color="000000" w:sz="12" w:space="0"/>
              <w:right w:val="nil"/>
              <w:tl2br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82D08B">
            <w:pPr>
              <w:pStyle w:val="2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</w:rPr>
              <w:t>Table 1 Results of Open-Code Analysis</w:t>
            </w:r>
          </w:p>
          <w:p w14:paraId="79871A84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Table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 xml:space="preserve"> Open Coding Analysis</w:t>
            </w:r>
          </w:p>
        </w:tc>
      </w:tr>
      <w:tr w14:paraId="36DAE5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BA44A9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b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</w:rPr>
              <w:t>Encoding</w:t>
            </w:r>
          </w:p>
        </w:tc>
        <w:tc>
          <w:tcPr>
            <w:tcW w:w="333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E8E25C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b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</w:rPr>
              <w:t>Source of specific statements</w:t>
            </w:r>
          </w:p>
        </w:tc>
        <w:tc>
          <w:tcPr>
            <w:tcW w:w="60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40AA87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</w:rPr>
              <w:t>Number of sources</w:t>
            </w:r>
          </w:p>
        </w:tc>
      </w:tr>
      <w:tr w14:paraId="60774D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9D34D1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 motivational effect of peer comparison</w:t>
            </w:r>
          </w:p>
        </w:tc>
        <w:tc>
          <w:tcPr>
            <w:tcW w:w="333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FFF337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“It’s very important. By comparing with peers, one can identify gaps and learn from the practices of industry leaders.”</w:t>
            </w:r>
          </w:p>
          <w:p w14:paraId="11227527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“In the pharmaceutical industry today, there’s something similar to peer-reviewed prescription evaluations, which are very useful.”</w:t>
            </w:r>
          </w:p>
        </w:tc>
        <w:tc>
          <w:tcPr>
            <w:tcW w:w="60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F5096B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</w:t>
            </w:r>
          </w:p>
        </w:tc>
      </w:tr>
      <w:tr w14:paraId="3E3559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D88233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Limitations of peer comparisons</w:t>
            </w:r>
          </w:p>
        </w:tc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07C9FA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“Limitations: Human initiative is of utmost importance. If doctors don’t agree, peer comparisons won’t be effective in promoting progress.”</w:t>
            </w:r>
          </w:p>
          <w:p w14:paraId="71DC416D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“Internet doctors don’t care about comparisons with their peers.”</w:t>
            </w:r>
          </w:p>
          <w:p w14:paraId="29C6E8FC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“The performance of internet doctors may not reflect their true abilities. Comparisons among peers should be made under certain conditions.”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E4E516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5</w:t>
            </w:r>
          </w:p>
        </w:tc>
      </w:tr>
      <w:tr w14:paraId="55C1D7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AA170B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 importance of goal setting</w:t>
            </w:r>
          </w:p>
        </w:tc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42CDB9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“Very important. It serves as the starting point for doctors’ actions and changes.”</w:t>
            </w:r>
          </w:p>
          <w:p w14:paraId="2CDB0C0C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“It’s necessary to know exactly where the standards that need to be met in the future lie.”</w:t>
            </w:r>
          </w:p>
          <w:p w14:paraId="6A69FA07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“Doctors should be aware of their own capabilities and the goals they should strive to achieve.”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A9DE4B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4</w:t>
            </w:r>
          </w:p>
        </w:tc>
      </w:tr>
      <w:tr w14:paraId="4C04C0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81F880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Feasibility constraints in goal setting</w:t>
            </w:r>
          </w:p>
        </w:tc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26EC1C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“Goals that are too high or too low are both unacceptable.”</w:t>
            </w:r>
          </w:p>
          <w:p w14:paraId="593CF56B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“Doctors are limited in their ability to respond to targets due to platform arrangements.”</w:t>
            </w:r>
          </w:p>
          <w:p w14:paraId="129FDE78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“Online consultations are more of a consultative nature; setting goals for them isn’t very meaningful.”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2657D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5</w:t>
            </w:r>
          </w:p>
        </w:tc>
      </w:tr>
      <w:tr w14:paraId="1AE604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56EFF5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 necessity of improvement plans</w:t>
            </w:r>
          </w:p>
        </w:tc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408C74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“The improvement plan is the starting point for behavioral change.”</w:t>
            </w:r>
          </w:p>
          <w:p w14:paraId="3659211F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“The doctor needs to know what areas need improvement.”</w:t>
            </w:r>
          </w:p>
          <w:p w14:paraId="14587A15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“The improvement plan needs to take into account factors such as human resources and the environment.”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50269C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</w:p>
        </w:tc>
      </w:tr>
      <w:tr w14:paraId="1BAA43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3D82A3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Barriers to implementing the improvement plan</w:t>
            </w:r>
          </w:p>
        </w:tc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C95EF7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“High workload, labor requirements, and time consumption”</w:t>
            </w:r>
          </w:p>
          <w:p w14:paraId="7F4CE299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“Internet doctors have a loose relationship with the platforms, resulting in low compliance with improvement plans.”</w:t>
            </w:r>
          </w:p>
          <w:p w14:paraId="439E029D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“It needs to cover every doctor, but the feasibility is low.”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D724C4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4</w:t>
            </w:r>
          </w:p>
        </w:tc>
      </w:tr>
      <w:tr w14:paraId="5BF5AB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FEA050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 authority of clinical guidelines</w:t>
            </w:r>
          </w:p>
        </w:tc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591CBD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“Feedback should include national standards, not just guidelines.”</w:t>
            </w:r>
          </w:p>
          <w:p w14:paraId="61B06C47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“A standard that is widely recognized in the industry must be selected.”</w:t>
            </w:r>
          </w:p>
          <w:p w14:paraId="4836D608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“The guidelines must be universal in nature.”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BDBC81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</w:p>
        </w:tc>
      </w:tr>
      <w:tr w14:paraId="69783B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C6289C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Representative questions from patients</w:t>
            </w:r>
          </w:p>
        </w:tc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10E2CF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“Can anonymously standardized patients represent real patients?”</w:t>
            </w:r>
          </w:p>
          <w:p w14:paraId="65D9D5AC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"Healthy people and patients have different needs; it’s important to ensure the authenticity of their voices."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E70358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2</w:t>
            </w:r>
          </w:p>
        </w:tc>
      </w:tr>
      <w:tr w14:paraId="0DDF25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89092A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Feedback methods and feasibility</w:t>
            </w:r>
          </w:p>
        </w:tc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316F91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"Face-to-face feedback is the most effective, but it’s not practical."</w:t>
            </w:r>
          </w:p>
          <w:p w14:paraId="7B91E94F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“Low frequency of email use”</w:t>
            </w:r>
          </w:p>
          <w:p w14:paraId="27B08186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"The most feasible approach is to use the platform’s built-in feedback mechanism."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65B50A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6</w:t>
            </w:r>
          </w:p>
        </w:tc>
      </w:tr>
      <w:tr w14:paraId="296781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E7C9E5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Advantages of graphical feedback</w:t>
            </w:r>
          </w:p>
        </w:tc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394563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“Charts are more intuitive and easier to read.”</w:t>
            </w:r>
          </w:p>
          <w:p w14:paraId="3A27AFB9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“Simple charts (such as radar charts) are required.”</w:t>
            </w:r>
          </w:p>
          <w:p w14:paraId="1F8D0DFF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“Integrate achieved and unachieved targets to enhance practicality”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5EB58D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4</w:t>
            </w:r>
          </w:p>
        </w:tc>
      </w:tr>
      <w:tr w14:paraId="005897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DBC8C0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Acceptance of hybrid frameworks</w:t>
            </w:r>
          </w:p>
        </w:tc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B1308C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“The hybrid framework objectively identifies strengths and weaknesses, making it easier for doctors to accept.”</w:t>
            </w:r>
          </w:p>
          <w:p w14:paraId="5CA0554C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“Subjective expressions should be avoided (such as ‘but’, ‘only’)”</w:t>
            </w:r>
          </w:p>
          <w:p w14:paraId="0DF52306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“Affirm first, then suggest improvements for better results.”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4D4B90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3</w:t>
            </w:r>
          </w:p>
        </w:tc>
      </w:tr>
      <w:tr w14:paraId="51439B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B8C837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Combining authoritative sources with platforms</w:t>
            </w:r>
          </w:p>
        </w:tc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E5C119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“Reports must be prepared by authoritative institutions, with the platform responsible for distributing them.”</w:t>
            </w:r>
          </w:p>
          <w:p w14:paraId="712D9925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“Feedback from platform regulators is more reliable”</w:t>
            </w:r>
          </w:p>
          <w:p w14:paraId="7D592210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“Rating websites are binding, but they’re not widely used in China”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7CC94E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4</w:t>
            </w:r>
          </w:p>
        </w:tc>
      </w:tr>
      <w:tr w14:paraId="2B19AC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A46E54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 motivational effects of multiple feedback sessions</w:t>
            </w:r>
          </w:p>
        </w:tc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95EB7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“Repeated feedback can continuously motivate doctors to make improvements.”</w:t>
            </w:r>
          </w:p>
          <w:p w14:paraId="62234FEB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“The doctor may not respond to the initial feedback; multiple attempts are needed.”</w:t>
            </w:r>
          </w:p>
          <w:p w14:paraId="7FBDE879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“Multiple feedbacks demonstrate the scientific nature of the research”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8C5EB2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4</w:t>
            </w:r>
          </w:p>
        </w:tc>
      </w:tr>
      <w:tr w14:paraId="288590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FBA28A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Practical limitations of feedback frequency</w:t>
            </w:r>
          </w:p>
        </w:tc>
        <w:tc>
          <w:tcPr>
            <w:tcW w:w="333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973B28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“The workload from multiple evaluations is too heavy.”</w:t>
            </w:r>
          </w:p>
          <w:p w14:paraId="76C5621E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“The volume of business for online doctors is limited, so the intervals between consultations shouldn’t be too short.”</w:t>
            </w:r>
          </w:p>
          <w:p w14:paraId="0D520B05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“Repeating the same message has little meaning.”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7D6482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5</w:t>
            </w:r>
          </w:p>
        </w:tc>
      </w:tr>
    </w:tbl>
    <w:p w14:paraId="42E91CD3">
      <w:pP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 w14:paraId="661F3B16">
      <w:pPr>
        <w:pStyle w:val="2"/>
        <w:adjustRightInd w:val="0"/>
        <w:snapToGrid w:val="0"/>
        <w:jc w:val="center"/>
        <w:rPr>
          <w:rFonts w:hint="default" w:ascii="Times New Roman" w:hAnsi="Times New Roman" w:eastAsia="宋体" w:cs="Times New Roman"/>
          <w:sz w:val="21"/>
        </w:rPr>
      </w:pPr>
      <w:bookmarkStart w:id="0" w:name="_Ref223460532"/>
      <w:r>
        <w:rPr>
          <w:rFonts w:hint="default" w:ascii="Times New Roman" w:hAnsi="Times New Roman" w:eastAsia="宋体" w:cs="Times New Roman"/>
          <w:sz w:val="21"/>
        </w:rPr>
        <w:t>Table 2 Selective Coding Analysis Table</w:t>
      </w:r>
      <w:bookmarkEnd w:id="0"/>
    </w:p>
    <w:p w14:paraId="572AB041">
      <w:pPr>
        <w:adjustRightInd w:val="0"/>
        <w:snapToGrid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 xml:space="preserve"> Selective Coding Analysis</w:t>
      </w:r>
      <w:bookmarkStart w:id="1" w:name="_GoBack"/>
      <w:bookmarkEnd w:id="1"/>
    </w:p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9"/>
        <w:gridCol w:w="1877"/>
        <w:gridCol w:w="3451"/>
        <w:gridCol w:w="1519"/>
      </w:tblGrid>
      <w:tr w14:paraId="150DD1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tblHeader/>
        </w:trPr>
        <w:tc>
          <w:tcPr>
            <w:tcW w:w="99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B891B8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b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</w:rPr>
              <w:t>Core categories</w:t>
            </w:r>
          </w:p>
        </w:tc>
        <w:tc>
          <w:tcPr>
            <w:tcW w:w="109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BB0D19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b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</w:rPr>
              <w:t>Supportive coding</w:t>
            </w:r>
          </w:p>
        </w:tc>
        <w:tc>
          <w:tcPr>
            <w:tcW w:w="201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F235F9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b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</w:rPr>
              <w:t>Specific sentence examples</w:t>
            </w:r>
          </w:p>
        </w:tc>
        <w:tc>
          <w:tcPr>
            <w:tcW w:w="88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0D6CA5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b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</w:rPr>
              <w:t>Theoretical connections</w:t>
            </w:r>
          </w:p>
        </w:tc>
      </w:tr>
      <w:tr w14:paraId="3544A5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994" w:type="pct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3C5994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 effectiveness of the feedback</w:t>
            </w:r>
          </w:p>
        </w:tc>
        <w:tc>
          <w:tcPr>
            <w:tcW w:w="109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4557BB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 motivational effect of peer comparison</w:t>
            </w:r>
          </w:p>
        </w:tc>
        <w:tc>
          <w:tcPr>
            <w:tcW w:w="201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43A064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“Identify gaps through peer comparisons and learn from best practices.”</w:t>
            </w:r>
          </w:p>
        </w:tc>
        <w:tc>
          <w:tcPr>
            <w:tcW w:w="88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6CCEC1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Social Comparison Theory</w:t>
            </w:r>
          </w:p>
        </w:tc>
      </w:tr>
      <w:tr w14:paraId="5E2E31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9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870126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43D7C9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 necessity of setting goals</w:t>
            </w:r>
          </w:p>
        </w:tc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A10B7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“Goals are the starting point for action and change.”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1FF606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Goal Setting Theory</w:t>
            </w:r>
          </w:p>
        </w:tc>
      </w:tr>
      <w:tr w14:paraId="7EC253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25662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58B3D0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 authority of clinical guidelines</w:t>
            </w:r>
          </w:p>
        </w:tc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F6ED9A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“Feedback should include national standards, not just guidelines.”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06323E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Enhanced authoritative information</w:t>
            </w:r>
          </w:p>
        </w:tc>
      </w:tr>
      <w:tr w14:paraId="31BBEE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9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140E3A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7264F8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 Promoting Effect of Negative Reminders</w:t>
            </w:r>
          </w:p>
        </w:tc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9843C7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“Doctors pay more attention to indicators that are below industry standards.”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6D0DEC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Loss Aversion Theory</w:t>
            </w:r>
          </w:p>
        </w:tc>
      </w:tr>
      <w:tr w14:paraId="58C04F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9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B88CB3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Feasibility of the feedback mechanism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FA625A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Technology-first distribution approach</w:t>
            </w:r>
          </w:p>
        </w:tc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9C00CA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"The most feasible approach is to use the platform’s built-in feedback mechanism."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D74D61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Technology Acceptance Model</w:t>
            </w:r>
          </w:p>
        </w:tc>
      </w:tr>
      <w:tr w14:paraId="132506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9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C1D225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A7C681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Advantages of graphical design</w:t>
            </w:r>
          </w:p>
        </w:tc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7746BE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“The charts are more intuitive, and compliance data is integrated seamlessly.”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E18E83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Cognitive Load Theory</w:t>
            </w:r>
          </w:p>
        </w:tc>
      </w:tr>
      <w:tr w14:paraId="35EB06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9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852CDF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171FA9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Acceptance of hybrid frameworks</w:t>
            </w:r>
          </w:p>
        </w:tc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265628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“Affirm first, then suggest improvements for better results.”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C42C7A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Theory of Communication Effectiveness</w:t>
            </w:r>
          </w:p>
        </w:tc>
      </w:tr>
      <w:tr w14:paraId="4A6AD5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9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534636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Obstacles to the improvement plan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B94F45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Resource limitations</w:t>
            </w:r>
          </w:p>
        </w:tc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22F91C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“High workload, labor requirements, and time consumption”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BB885B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Resource Dependence Theory</w:t>
            </w:r>
          </w:p>
        </w:tc>
      </w:tr>
      <w:tr w14:paraId="6D0274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9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D9883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50CC88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Low doctor compliance</w:t>
            </w:r>
          </w:p>
        </w:tc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C34976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“Internet doctors have a loose relationship with the platforms”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E5F55C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Social Exchange Theory</w:t>
            </w:r>
          </w:p>
        </w:tc>
      </w:tr>
      <w:tr w14:paraId="731E7C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9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3A8286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 value of multiple feedbacks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AE163C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Sustained stimulation effect</w:t>
            </w:r>
          </w:p>
        </w:tc>
        <w:tc>
          <w:tcPr>
            <w:tcW w:w="2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97E78B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“Repeated feedback can continuously motivate doctors”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9AA0FB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Reinforcement Theory</w:t>
            </w:r>
          </w:p>
        </w:tc>
      </w:tr>
      <w:tr w14:paraId="41072B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994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A3A03E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09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475F09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The balance between frequency and cost</w:t>
            </w:r>
          </w:p>
        </w:tc>
        <w:tc>
          <w:tcPr>
            <w:tcW w:w="201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15C77E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“The volume of online transactions is limited, so the intervals between transactions shouldn’t be too short.”</w:t>
            </w:r>
          </w:p>
        </w:tc>
        <w:tc>
          <w:tcPr>
            <w:tcW w:w="88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9303D7">
            <w:pPr>
              <w:adjustRightInd w:val="0"/>
              <w:snapToGrid w:val="0"/>
              <w:spacing w:line="240" w:lineRule="exact"/>
              <w:rPr>
                <w:rFonts w:hint="default" w:ascii="Times New Roman" w:hAnsi="Times New Roman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</w:rPr>
              <w:t>Cost-Benefit Analysis</w:t>
            </w:r>
          </w:p>
        </w:tc>
      </w:tr>
    </w:tbl>
    <w:p w14:paraId="4BA62A9E">
      <w:pP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DD0B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22C8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322C8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6166B"/>
    <w:rsid w:val="29515F79"/>
    <w:rsid w:val="53A6166B"/>
    <w:rsid w:val="7F4B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590</Words>
  <Characters>3499</Characters>
  <Lines>0</Lines>
  <Paragraphs>0</Paragraphs>
  <TotalTime>0</TotalTime>
  <ScaleCrop>false</ScaleCrop>
  <LinksUpToDate>false</LinksUpToDate>
  <CharactersWithSpaces>4012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2026-04-20T09:33:00Z</dcterms:created>
  <dc:creator>钟冬梅</dc:creator>
  <cp:lastModifiedBy>钟冬梅</cp:lastModifiedBy>
  <dcterms:modified xsi:type="dcterms:W3CDTF">2026-07-10T08:42:04Z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E044C0AB79CE4EB89BB0FBA832DA3638_11</vt:lpwstr>
  </property>
  <property fmtid="{D5CDD505-2E9C-101B-9397-08002B2CF9AE}" pid="4" name="KSOTemplateDocerSaveRecord">
    <vt:lpwstr>eyJoZGlkIjoiNDI1NGQ4MDY4NjMxYWVlMzc3ODM2NDE0MmU1ODUxYzYiLCJ1c2VySWQiOiI1MDcxMTM0OTUifQ==</vt:lpwstr>
  </property>
</Properties>
</file>